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E6" w:rsidRDefault="00AB7DE6" w:rsidP="00AB7DE6">
      <w:pPr>
        <w:ind w:left="0" w:firstLine="0"/>
        <w:rPr>
          <w:b/>
          <w:sz w:val="22"/>
          <w:u w:val="single"/>
        </w:rPr>
      </w:pPr>
      <w:r w:rsidRPr="002C75B8">
        <w:rPr>
          <w:b/>
          <w:sz w:val="22"/>
          <w:u w:val="single"/>
        </w:rPr>
        <w:t>KYRGYZSTAN</w:t>
      </w:r>
    </w:p>
    <w:p w:rsidR="00AB7DE6" w:rsidRPr="002C75B8" w:rsidRDefault="00AB7DE6" w:rsidP="00AB7DE6">
      <w:pPr>
        <w:ind w:left="0" w:firstLine="0"/>
        <w:rPr>
          <w:b/>
          <w:sz w:val="22"/>
          <w:u w:val="single"/>
        </w:rPr>
      </w:pP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734945" cy="1932305"/>
            <wp:effectExtent l="19050" t="0" r="8255" b="0"/>
            <wp:docPr id="1" name="Imagen 33" descr="KG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 descr="KG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Pr="002C75B8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AB7DE6" w:rsidRPr="002C75B8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5</w:t>
      </w:r>
      <w:r>
        <w:rPr>
          <w:sz w:val="22"/>
          <w:lang w:val="en-US"/>
        </w:rPr>
        <w:t>,365,167</w:t>
      </w:r>
      <w:r w:rsidRPr="002C75B8">
        <w:rPr>
          <w:sz w:val="22"/>
          <w:lang w:val="en-US"/>
        </w:rPr>
        <w:t xml:space="preserve"> 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30%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Rural population: 6</w:t>
      </w:r>
      <w:r>
        <w:rPr>
          <w:sz w:val="22"/>
          <w:lang w:val="en-US"/>
        </w:rPr>
        <w:t>3</w:t>
      </w:r>
      <w:r w:rsidRPr="002C75B8">
        <w:rPr>
          <w:sz w:val="22"/>
          <w:lang w:val="en-US"/>
        </w:rPr>
        <w:t xml:space="preserve">% 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1.9</w:t>
      </w:r>
      <w:r w:rsidRPr="002C75B8">
        <w:rPr>
          <w:sz w:val="22"/>
          <w:lang w:val="en-US"/>
        </w:rPr>
        <w:t>%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no data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Low income economy 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 Medium human development (ranking 12</w:t>
      </w:r>
      <w:r>
        <w:rPr>
          <w:sz w:val="22"/>
          <w:lang w:val="en-US"/>
        </w:rPr>
        <w:t>6</w:t>
      </w:r>
      <w:r w:rsidRPr="002C75B8">
        <w:rPr>
          <w:sz w:val="22"/>
          <w:lang w:val="en-US"/>
        </w:rPr>
        <w:t>)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Per capita total expenditure on health at average exchange rate (US dollar): 5</w:t>
      </w:r>
      <w:r>
        <w:rPr>
          <w:sz w:val="22"/>
          <w:lang w:val="en-US"/>
        </w:rPr>
        <w:t>7</w:t>
      </w:r>
      <w:r w:rsidRPr="002C75B8">
        <w:rPr>
          <w:sz w:val="22"/>
          <w:lang w:val="en-US"/>
        </w:rPr>
        <w:t xml:space="preserve"> 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Life expectancy at birth (years): 6</w:t>
      </w:r>
      <w:r>
        <w:rPr>
          <w:sz w:val="22"/>
          <w:lang w:val="en-US"/>
        </w:rPr>
        <w:t>9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55 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</w:p>
    <w:p w:rsidR="00AB7DE6" w:rsidRPr="002C75B8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AB7DE6" w:rsidRPr="002C75B8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VL was first registered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Kyrgyzstan</w:t>
          </w:r>
        </w:smartTag>
      </w:smartTag>
      <w:r>
        <w:rPr>
          <w:sz w:val="22"/>
          <w:lang w:val="en-US"/>
        </w:rPr>
        <w:t xml:space="preserve"> in 1939</w:t>
      </w:r>
      <w:r w:rsidRPr="002C75B8">
        <w:rPr>
          <w:sz w:val="22"/>
          <w:lang w:val="en-US"/>
        </w:rPr>
        <w:t>. During the period 1939 to 1960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191 patients were reported in </w:t>
      </w:r>
      <w:smartTag w:uri="urn:schemas-microsoft-com:office:smarttags" w:element="City">
        <w:smartTag w:uri="urn:schemas-microsoft-com:office:smarttags" w:element="place">
          <w:r w:rsidRPr="002C75B8">
            <w:rPr>
              <w:sz w:val="22"/>
              <w:lang w:val="en-US"/>
            </w:rPr>
            <w:t>Osh</w:t>
          </w:r>
        </w:smartTag>
      </w:smartTag>
      <w:r w:rsidRPr="002C75B8">
        <w:rPr>
          <w:sz w:val="22"/>
          <w:lang w:val="en-US"/>
        </w:rPr>
        <w:t xml:space="preserve"> city and 6 rural districts, with a peak in 1953 (22 cases). All patients were under 7 years of age. No more cases have been reported since 1968. 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</w:p>
    <w:p w:rsidR="00AB7DE6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CL was also registered in </w:t>
      </w:r>
      <w:smartTag w:uri="urn:schemas-microsoft-com:office:smarttags" w:element="place">
        <w:smartTag w:uri="urn:schemas-microsoft-com:office:smarttags" w:element="City">
          <w:r w:rsidRPr="002C75B8">
            <w:rPr>
              <w:sz w:val="22"/>
              <w:lang w:val="en-US"/>
            </w:rPr>
            <w:t>Osh</w:t>
          </w:r>
        </w:smartTag>
      </w:smartTag>
      <w:r w:rsidRPr="002C75B8">
        <w:rPr>
          <w:sz w:val="22"/>
          <w:lang w:val="en-US"/>
        </w:rPr>
        <w:t xml:space="preserve"> region w</w:t>
      </w:r>
      <w:r>
        <w:rPr>
          <w:sz w:val="22"/>
          <w:lang w:val="en-US"/>
        </w:rPr>
        <w:t xml:space="preserve">ith a peak (28 cases) in 1956. </w:t>
      </w:r>
      <w:r w:rsidRPr="002C75B8">
        <w:rPr>
          <w:sz w:val="22"/>
          <w:lang w:val="en-US"/>
        </w:rPr>
        <w:t>60 CL cases were reported in total between 1950 and 1982. After 1982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CL was no more reported. 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</w:p>
    <w:p w:rsidR="00AB7DE6" w:rsidRDefault="00AB7DE6" w:rsidP="00AB7DE6">
      <w:pPr>
        <w:ind w:left="0" w:firstLine="0"/>
        <w:rPr>
          <w:color w:val="000000"/>
          <w:sz w:val="22"/>
          <w:lang w:val="en-US"/>
        </w:rPr>
      </w:pPr>
      <w:r w:rsidRPr="002C75B8">
        <w:rPr>
          <w:sz w:val="22"/>
          <w:lang w:val="en-US"/>
        </w:rPr>
        <w:t>As both vector and reservoir are present in the country and neighboring countries are endemic, it is strongly suspected that both VL and CL cases still occur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but are never diagnosed. The awareness</w:t>
      </w:r>
      <w:r>
        <w:rPr>
          <w:sz w:val="22"/>
          <w:lang w:val="en-US"/>
        </w:rPr>
        <w:t xml:space="preserve"> of leishmaniasis</w:t>
      </w:r>
      <w:r w:rsidRPr="002C75B8">
        <w:rPr>
          <w:sz w:val="22"/>
          <w:lang w:val="en-US"/>
        </w:rPr>
        <w:t xml:space="preserve"> among doctors is very low and there are no trained laboratory workers </w:t>
      </w:r>
      <w:r>
        <w:rPr>
          <w:sz w:val="22"/>
          <w:lang w:val="en-US"/>
        </w:rPr>
        <w:t>to</w:t>
      </w:r>
      <w:r w:rsidRPr="002C75B8">
        <w:rPr>
          <w:sz w:val="22"/>
          <w:lang w:val="en-US"/>
        </w:rPr>
        <w:t xml:space="preserve"> perform the </w:t>
      </w:r>
      <w:r w:rsidRPr="002C75B8">
        <w:rPr>
          <w:color w:val="000000"/>
          <w:sz w:val="22"/>
          <w:lang w:val="en-US"/>
        </w:rPr>
        <w:t>diagnosis</w:t>
      </w:r>
      <w:r>
        <w:rPr>
          <w:color w:val="000000"/>
          <w:sz w:val="22"/>
          <w:lang w:val="en-US"/>
        </w:rPr>
        <w:t xml:space="preserve">. </w:t>
      </w:r>
    </w:p>
    <w:p w:rsidR="00AB7DE6" w:rsidRPr="002C75B8" w:rsidRDefault="00AB7DE6" w:rsidP="00AB7DE6">
      <w:pPr>
        <w:ind w:left="0" w:firstLine="0"/>
        <w:rPr>
          <w:color w:val="000000"/>
          <w:sz w:val="22"/>
          <w:lang w:val="en-US"/>
        </w:rPr>
      </w:pPr>
    </w:p>
    <w:p w:rsidR="00AB7DE6" w:rsidRPr="002C75B8" w:rsidRDefault="00AB7DE6" w:rsidP="00AB7DE6">
      <w:pPr>
        <w:ind w:left="0" w:firstLine="0"/>
        <w:rPr>
          <w:b/>
          <w:sz w:val="22"/>
          <w:lang w:val="en-GB"/>
        </w:rPr>
      </w:pPr>
    </w:p>
    <w:p w:rsidR="00AB7DE6" w:rsidRDefault="00AB7DE6" w:rsidP="00AB7DE6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PARASITOLOGICAL INFORMATION</w:t>
      </w:r>
    </w:p>
    <w:p w:rsidR="00AB7DE6" w:rsidRPr="002C75B8" w:rsidRDefault="00AB7DE6" w:rsidP="00AB7DE6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AB7DE6" w:rsidRPr="002C75B8" w:rsidTr="00A7768B">
        <w:tc>
          <w:tcPr>
            <w:tcW w:w="2394" w:type="dxa"/>
            <w:vAlign w:val="center"/>
          </w:tcPr>
          <w:p w:rsidR="00AB7DE6" w:rsidRPr="002C75B8" w:rsidRDefault="00AB7DE6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AB7DE6" w:rsidRPr="002C75B8" w:rsidRDefault="00AB7DE6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AB7DE6" w:rsidRPr="002C75B8" w:rsidRDefault="00AB7DE6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394" w:type="dxa"/>
            <w:vAlign w:val="center"/>
          </w:tcPr>
          <w:p w:rsidR="00AB7DE6" w:rsidRPr="002C75B8" w:rsidRDefault="00AB7DE6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AB7DE6" w:rsidRPr="002C75B8" w:rsidRDefault="00AB7DE6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AB7DE6" w:rsidRPr="002C75B8" w:rsidRDefault="00AB7DE6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AB7DE6" w:rsidRPr="002C75B8" w:rsidRDefault="00AB7DE6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AB7DE6" w:rsidRPr="002C75B8" w:rsidTr="00A7768B">
        <w:tc>
          <w:tcPr>
            <w:tcW w:w="2394" w:type="dxa"/>
            <w:vAlign w:val="center"/>
          </w:tcPr>
          <w:p w:rsidR="00AB7DE6" w:rsidRPr="002C75B8" w:rsidRDefault="00AB7DE6" w:rsidP="00A7768B">
            <w:pPr>
              <w:pStyle w:val="NormalWeb"/>
              <w:spacing w:before="0" w:beforeAutospacing="0" w:after="0" w:afterAutospacing="0" w:line="31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2394" w:type="dxa"/>
            <w:vAlign w:val="center"/>
          </w:tcPr>
          <w:p w:rsidR="00AB7DE6" w:rsidRPr="002C75B8" w:rsidRDefault="00AB7DE6" w:rsidP="00A7768B">
            <w:pPr>
              <w:pStyle w:val="NormalWeb"/>
              <w:spacing w:before="0" w:beforeAutospacing="0" w:after="0" w:afterAutospacing="0" w:line="31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ZVL, CL</w:t>
            </w:r>
          </w:p>
        </w:tc>
        <w:tc>
          <w:tcPr>
            <w:tcW w:w="2394" w:type="dxa"/>
            <w:vAlign w:val="center"/>
          </w:tcPr>
          <w:p w:rsidR="00AB7DE6" w:rsidRPr="002C75B8" w:rsidRDefault="00AB7DE6" w:rsidP="00A7768B">
            <w:pPr>
              <w:pStyle w:val="NormalWeb"/>
              <w:spacing w:before="0" w:beforeAutospacing="0" w:after="0" w:afterAutospacing="0" w:line="31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longiductus</w:t>
            </w:r>
            <w:proofErr w:type="spellEnd"/>
          </w:p>
        </w:tc>
        <w:tc>
          <w:tcPr>
            <w:tcW w:w="2394" w:type="dxa"/>
            <w:vAlign w:val="center"/>
          </w:tcPr>
          <w:p w:rsidR="00AB7DE6" w:rsidRPr="00F93298" w:rsidRDefault="00AB7DE6" w:rsidP="00A7768B">
            <w:pPr>
              <w:pStyle w:val="NormalWeb"/>
              <w:spacing w:before="0" w:beforeAutospacing="0" w:after="0" w:afterAutospacing="0" w:line="313" w:lineRule="atLeas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F9329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F9329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9329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</w:tbl>
    <w:p w:rsidR="00AB7DE6" w:rsidRPr="002C75B8" w:rsidRDefault="00AB7DE6" w:rsidP="00AB7DE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>MAPS AND TRENDS</w:t>
      </w:r>
    </w:p>
    <w:p w:rsidR="00AB7DE6" w:rsidRPr="002C75B8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Visceral leishmaniasis</w:t>
      </w:r>
    </w:p>
    <w:p w:rsidR="00AB7DE6" w:rsidRDefault="00AB7DE6" w:rsidP="00AB7DE6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3835400" cy="2710815"/>
            <wp:effectExtent l="19050" t="0" r="0" b="0"/>
            <wp:docPr id="2" name="Picture 2" descr="KGZL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GZLm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71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DE6" w:rsidRDefault="00AB7DE6" w:rsidP="00AB7DE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Visceral leishmaniasis trend</w:t>
      </w: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-655320</wp:posOffset>
            </wp:positionV>
            <wp:extent cx="6745605" cy="285496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Pr="002C75B8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Pr="002C75B8" w:rsidRDefault="00AB7DE6" w:rsidP="00AB7DE6">
      <w:pPr>
        <w:ind w:left="0" w:firstLine="0"/>
        <w:rPr>
          <w:b/>
          <w:sz w:val="22"/>
          <w:lang w:val="en-US"/>
        </w:rPr>
      </w:pPr>
    </w:p>
    <w:p w:rsidR="00AB7DE6" w:rsidRDefault="00AB7DE6" w:rsidP="00AB7DE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AB7DE6" w:rsidRDefault="00AB7DE6" w:rsidP="00AB7DE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</w:p>
    <w:p w:rsidR="00AB7DE6" w:rsidRPr="002C75B8" w:rsidRDefault="00AB7DE6" w:rsidP="00AB7DE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AB7DE6" w:rsidRPr="002C75B8" w:rsidRDefault="00AB7DE6" w:rsidP="00AB7DE6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 xml:space="preserve">The notification of leishmaniasis is mandatory. There is no 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>eishmaniasis control program. There is no vector control program</w:t>
      </w:r>
      <w:r>
        <w:rPr>
          <w:rFonts w:eastAsia="Times New Roman"/>
          <w:sz w:val="22"/>
          <w:lang w:val="en-US" w:eastAsia="es-ES"/>
        </w:rPr>
        <w:t xml:space="preserve"> for leishmaniasis, </w:t>
      </w:r>
      <w:r w:rsidRPr="002C75B8">
        <w:rPr>
          <w:rFonts w:eastAsia="Times New Roman"/>
          <w:sz w:val="22"/>
          <w:lang w:val="en-US" w:eastAsia="es-ES"/>
        </w:rPr>
        <w:t xml:space="preserve">but </w:t>
      </w:r>
      <w:r>
        <w:rPr>
          <w:rFonts w:eastAsia="Times New Roman"/>
          <w:sz w:val="22"/>
          <w:lang w:val="en-US" w:eastAsia="es-ES"/>
        </w:rPr>
        <w:t xml:space="preserve">there is </w:t>
      </w:r>
      <w:r w:rsidRPr="002C75B8">
        <w:rPr>
          <w:rFonts w:eastAsia="Times New Roman"/>
          <w:sz w:val="22"/>
          <w:lang w:val="en-US" w:eastAsia="es-ES"/>
        </w:rPr>
        <w:t xml:space="preserve">for malaria. There is no reservoir control program. </w:t>
      </w:r>
    </w:p>
    <w:p w:rsidR="00AB7DE6" w:rsidRDefault="00AB7DE6" w:rsidP="00AB7DE6">
      <w:pPr>
        <w:ind w:left="0" w:firstLine="0"/>
        <w:rPr>
          <w:rFonts w:eastAsia="Times New Roman"/>
          <w:sz w:val="22"/>
          <w:lang w:val="en-US" w:eastAsia="es-ES"/>
        </w:rPr>
      </w:pPr>
    </w:p>
    <w:p w:rsidR="00AB7DE6" w:rsidRDefault="00AB7DE6" w:rsidP="00AB7DE6">
      <w:pPr>
        <w:ind w:left="0" w:firstLine="0"/>
        <w:rPr>
          <w:rFonts w:eastAsia="Times New Roman"/>
          <w:sz w:val="22"/>
          <w:lang w:val="en-US" w:eastAsia="es-ES"/>
        </w:rPr>
      </w:pPr>
    </w:p>
    <w:p w:rsidR="00AB7DE6" w:rsidRDefault="00AB7DE6" w:rsidP="00AB7DE6">
      <w:pPr>
        <w:ind w:left="0" w:firstLine="0"/>
        <w:rPr>
          <w:rFonts w:eastAsia="Times New Roman"/>
          <w:sz w:val="22"/>
          <w:lang w:val="en-US" w:eastAsia="es-ES"/>
        </w:rPr>
      </w:pPr>
    </w:p>
    <w:p w:rsidR="00AB7DE6" w:rsidRPr="002C75B8" w:rsidRDefault="00AB7DE6" w:rsidP="00AB7DE6">
      <w:pPr>
        <w:ind w:left="0" w:firstLine="0"/>
        <w:rPr>
          <w:rFonts w:eastAsia="Times New Roman"/>
          <w:sz w:val="22"/>
          <w:lang w:val="en-US" w:eastAsia="es-E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 xml:space="preserve">DIAGNOSIS, TREATMENT </w:t>
      </w:r>
    </w:p>
    <w:p w:rsidR="00AB7DE6" w:rsidRPr="002C75B8" w:rsidRDefault="00AB7DE6" w:rsidP="00AB7DE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 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</w:p>
    <w:p w:rsidR="00AB7DE6" w:rsidRDefault="00AB7DE6" w:rsidP="00AB7DE6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VL and CL cannot be diagnosed</w:t>
      </w:r>
      <w:r>
        <w:rPr>
          <w:bCs/>
          <w:sz w:val="22"/>
          <w:lang w:val="en-US"/>
        </w:rPr>
        <w:t>,</w:t>
      </w:r>
      <w:r w:rsidRPr="002C75B8">
        <w:rPr>
          <w:bCs/>
          <w:sz w:val="22"/>
          <w:lang w:val="en-US"/>
        </w:rPr>
        <w:t xml:space="preserve"> as the expertise is missing in the country.</w:t>
      </w:r>
    </w:p>
    <w:p w:rsidR="00AB7DE6" w:rsidRDefault="00AB7DE6" w:rsidP="00AB7DE6">
      <w:pPr>
        <w:ind w:left="0" w:firstLine="0"/>
        <w:rPr>
          <w:bCs/>
          <w:sz w:val="22"/>
          <w:lang w:val="en-US"/>
        </w:rPr>
      </w:pPr>
    </w:p>
    <w:p w:rsidR="00AB7DE6" w:rsidRPr="002C75B8" w:rsidRDefault="00AB7DE6" w:rsidP="00AB7DE6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Treatment</w:t>
      </w:r>
    </w:p>
    <w:p w:rsidR="00AB7DE6" w:rsidRPr="002C75B8" w:rsidRDefault="00AB7DE6" w:rsidP="00AB7DE6">
      <w:pPr>
        <w:ind w:left="0" w:firstLine="0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In hospitals, </w:t>
      </w:r>
      <w:r w:rsidRPr="002C75B8">
        <w:rPr>
          <w:bCs/>
          <w:sz w:val="22"/>
          <w:lang w:val="en-US"/>
        </w:rPr>
        <w:t xml:space="preserve">Amphotericin B is used for treatment of systemic </w:t>
      </w:r>
      <w:proofErr w:type="spellStart"/>
      <w:r w:rsidRPr="002C75B8">
        <w:rPr>
          <w:bCs/>
          <w:sz w:val="22"/>
          <w:lang w:val="en-US"/>
        </w:rPr>
        <w:t>candidiasis</w:t>
      </w:r>
      <w:proofErr w:type="spellEnd"/>
      <w:r w:rsidRPr="002C75B8">
        <w:rPr>
          <w:bCs/>
          <w:sz w:val="22"/>
          <w:lang w:val="en-US"/>
        </w:rPr>
        <w:t xml:space="preserve"> and can also</w:t>
      </w:r>
      <w:r>
        <w:rPr>
          <w:bCs/>
          <w:sz w:val="22"/>
          <w:lang w:val="en-US"/>
        </w:rPr>
        <w:t xml:space="preserve"> be</w:t>
      </w:r>
      <w:r w:rsidRPr="002C75B8">
        <w:rPr>
          <w:bCs/>
          <w:sz w:val="22"/>
          <w:lang w:val="en-US"/>
        </w:rPr>
        <w:t xml:space="preserve"> used to treat VL and CL. In case of official notification of VL and CL</w:t>
      </w:r>
      <w:r>
        <w:rPr>
          <w:bCs/>
          <w:sz w:val="22"/>
          <w:lang w:val="en-US"/>
        </w:rPr>
        <w:t>,</w:t>
      </w:r>
      <w:r w:rsidRPr="002C75B8">
        <w:rPr>
          <w:bCs/>
          <w:sz w:val="22"/>
          <w:lang w:val="en-US"/>
        </w:rPr>
        <w:t xml:space="preserve"> permission will be given for the use of antimonials.</w:t>
      </w:r>
    </w:p>
    <w:p w:rsidR="00AB7DE6" w:rsidRDefault="00AB7DE6" w:rsidP="00AB7DE6">
      <w:pPr>
        <w:ind w:left="0" w:firstLine="0"/>
        <w:rPr>
          <w:b/>
          <w:bCs/>
          <w:sz w:val="22"/>
          <w:lang w:val="en-US"/>
        </w:rPr>
      </w:pPr>
    </w:p>
    <w:p w:rsidR="00AB7DE6" w:rsidRPr="002C75B8" w:rsidRDefault="00AB7DE6" w:rsidP="00AB7DE6">
      <w:pPr>
        <w:ind w:left="0" w:firstLine="0"/>
        <w:rPr>
          <w:b/>
          <w:bCs/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</w:p>
    <w:p w:rsidR="00AB7DE6" w:rsidRDefault="00AB7DE6" w:rsidP="00AB7DE6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>Health care is not provided for free. In case of leishmaniasis, patients will have to pay for hospitalization. This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plus</w:t>
      </w:r>
      <w:r w:rsidRPr="002C75B8">
        <w:rPr>
          <w:sz w:val="22"/>
          <w:lang w:val="en-US"/>
        </w:rPr>
        <w:t xml:space="preserve"> the fact that awareness of leishmaniasis is very low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both form barriers to </w:t>
      </w:r>
      <w:r>
        <w:rPr>
          <w:sz w:val="22"/>
          <w:lang w:val="en-US"/>
        </w:rPr>
        <w:t xml:space="preserve">treatment </w:t>
      </w:r>
      <w:r w:rsidRPr="002C75B8">
        <w:rPr>
          <w:sz w:val="22"/>
          <w:lang w:val="en-US"/>
        </w:rPr>
        <w:t xml:space="preserve">access. </w:t>
      </w:r>
      <w:r>
        <w:rPr>
          <w:sz w:val="22"/>
          <w:lang w:val="en-US"/>
        </w:rPr>
        <w:t>C</w:t>
      </w:r>
      <w:r w:rsidRPr="002C75B8">
        <w:rPr>
          <w:sz w:val="22"/>
          <w:lang w:val="en-US"/>
        </w:rPr>
        <w:t>ases of leishmaniasis</w:t>
      </w:r>
      <w:r>
        <w:rPr>
          <w:sz w:val="22"/>
          <w:lang w:val="en-US"/>
        </w:rPr>
        <w:t xml:space="preserve"> most likely occur</w:t>
      </w:r>
      <w:r w:rsidRPr="002C75B8">
        <w:rPr>
          <w:sz w:val="22"/>
          <w:lang w:val="en-US"/>
        </w:rPr>
        <w:t>, but the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are either not recognized, or patients do not seek medical care due to its cost.</w:t>
      </w:r>
      <w:r w:rsidRPr="002C75B8">
        <w:rPr>
          <w:sz w:val="22"/>
          <w:lang w:val="en-GB"/>
        </w:rPr>
        <w:t xml:space="preserve"> 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 </w:t>
      </w:r>
    </w:p>
    <w:p w:rsidR="00AB7DE6" w:rsidRDefault="00AB7DE6" w:rsidP="00AB7DE6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  <w:r w:rsidRPr="002C75B8">
        <w:rPr>
          <w:sz w:val="22"/>
          <w:lang w:val="en-US"/>
        </w:rPr>
        <w:t xml:space="preserve"> 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</w:p>
    <w:p w:rsidR="00AB7DE6" w:rsidRDefault="00AB7DE6" w:rsidP="00AB7DE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Sodium stibogluconate (‘</w:t>
      </w:r>
      <w:proofErr w:type="spellStart"/>
      <w:r w:rsidRPr="002C75B8">
        <w:rPr>
          <w:sz w:val="22"/>
          <w:lang w:val="en-US"/>
        </w:rPr>
        <w:t>solyusurmin</w:t>
      </w:r>
      <w:proofErr w:type="spellEnd"/>
      <w:r w:rsidRPr="002C75B8">
        <w:rPr>
          <w:sz w:val="22"/>
          <w:lang w:val="en-US"/>
        </w:rPr>
        <w:t xml:space="preserve">’) and </w:t>
      </w:r>
      <w:proofErr w:type="spellStart"/>
      <w:r w:rsidRPr="002C75B8">
        <w:rPr>
          <w:sz w:val="22"/>
          <w:lang w:val="en-US"/>
        </w:rPr>
        <w:t>furazolidon</w:t>
      </w:r>
      <w:proofErr w:type="spellEnd"/>
      <w:r w:rsidRPr="002C75B8">
        <w:rPr>
          <w:sz w:val="22"/>
          <w:lang w:val="en-US"/>
        </w:rPr>
        <w:t xml:space="preserve"> (‘</w:t>
      </w:r>
      <w:proofErr w:type="spellStart"/>
      <w:r w:rsidRPr="002C75B8">
        <w:rPr>
          <w:sz w:val="22"/>
          <w:lang w:val="en-US"/>
        </w:rPr>
        <w:t>aminohinol</w:t>
      </w:r>
      <w:proofErr w:type="spellEnd"/>
      <w:r w:rsidRPr="002C75B8">
        <w:rPr>
          <w:sz w:val="22"/>
          <w:lang w:val="en-US"/>
        </w:rPr>
        <w:t>’) are included in the National Essential Drug List for the treatment of leishmaniasis. However, antimonials are not available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nor are they registered in the country.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Amphotericin B is included in the list for </w:t>
      </w:r>
      <w:proofErr w:type="spellStart"/>
      <w:r w:rsidRPr="002C75B8">
        <w:rPr>
          <w:sz w:val="22"/>
          <w:lang w:val="en-US"/>
        </w:rPr>
        <w:t>candidiasis</w:t>
      </w:r>
      <w:proofErr w:type="spellEnd"/>
      <w:r w:rsidRPr="002C75B8">
        <w:rPr>
          <w:sz w:val="22"/>
          <w:lang w:val="en-US"/>
        </w:rPr>
        <w:t xml:space="preserve"> and can be used for the treatment of leishmaniasis. </w:t>
      </w: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</w:p>
    <w:p w:rsidR="00AB7DE6" w:rsidRPr="002C75B8" w:rsidRDefault="00AB7DE6" w:rsidP="00AB7DE6">
      <w:pPr>
        <w:ind w:left="0" w:firstLine="0"/>
        <w:rPr>
          <w:sz w:val="22"/>
          <w:lang w:val="en-US"/>
        </w:rPr>
      </w:pPr>
    </w:p>
    <w:p w:rsidR="00AB7DE6" w:rsidRDefault="00AB7DE6" w:rsidP="00AB7DE6">
      <w:pPr>
        <w:ind w:left="0" w:firstLine="0"/>
        <w:rPr>
          <w:b/>
          <w:sz w:val="22"/>
          <w:lang w:val="en-US"/>
        </w:rPr>
      </w:pPr>
      <w:r w:rsidRPr="002C75B8">
        <w:rPr>
          <w:sz w:val="22"/>
          <w:lang w:val="en-US"/>
        </w:rPr>
        <w:t xml:space="preserve"> </w:t>
      </w:r>
      <w:r w:rsidRPr="002C75B8">
        <w:rPr>
          <w:b/>
          <w:sz w:val="22"/>
          <w:lang w:val="en-US"/>
        </w:rPr>
        <w:t>SOURCES OF INFORMATION</w:t>
      </w:r>
    </w:p>
    <w:p w:rsidR="00AB7DE6" w:rsidRPr="002C75B8" w:rsidRDefault="00AB7DE6" w:rsidP="00AB7DE6">
      <w:pPr>
        <w:ind w:left="0" w:firstLine="0"/>
        <w:rPr>
          <w:b/>
          <w:sz w:val="22"/>
          <w:u w:val="single"/>
          <w:lang w:val="en-US"/>
        </w:rPr>
      </w:pPr>
    </w:p>
    <w:p w:rsidR="00AB7DE6" w:rsidRPr="008666E4" w:rsidRDefault="00AB7DE6" w:rsidP="00AB7DE6">
      <w:pPr>
        <w:numPr>
          <w:ilvl w:val="0"/>
          <w:numId w:val="5"/>
        </w:numPr>
        <w:rPr>
          <w:sz w:val="22"/>
          <w:lang w:val="en-GB"/>
        </w:rPr>
      </w:pPr>
      <w:r>
        <w:rPr>
          <w:sz w:val="22"/>
          <w:lang w:val="en-GB"/>
        </w:rPr>
        <w:t>Dr</w:t>
      </w:r>
      <w:r w:rsidRPr="008666E4">
        <w:rPr>
          <w:sz w:val="22"/>
          <w:lang w:val="en-GB"/>
        </w:rPr>
        <w:t xml:space="preserve"> </w:t>
      </w:r>
      <w:proofErr w:type="spellStart"/>
      <w:r w:rsidRPr="008666E4">
        <w:rPr>
          <w:sz w:val="22"/>
          <w:lang w:val="en-GB"/>
        </w:rPr>
        <w:t>Usubalieva</w:t>
      </w:r>
      <w:proofErr w:type="spellEnd"/>
      <w:r w:rsidRPr="008666E4">
        <w:rPr>
          <w:sz w:val="22"/>
          <w:lang w:val="en-GB"/>
        </w:rPr>
        <w:t xml:space="preserve"> </w:t>
      </w:r>
      <w:proofErr w:type="spellStart"/>
      <w:r w:rsidRPr="008666E4">
        <w:rPr>
          <w:sz w:val="22"/>
          <w:lang w:val="en-GB"/>
        </w:rPr>
        <w:t>Jumagul</w:t>
      </w:r>
      <w:proofErr w:type="spellEnd"/>
      <w:r w:rsidRPr="008666E4">
        <w:rPr>
          <w:sz w:val="22"/>
          <w:lang w:val="en-GB"/>
        </w:rPr>
        <w:t>, Department of State Sanitary Epidemiological Surveillance of Ministry of Health</w:t>
      </w:r>
      <w:r>
        <w:rPr>
          <w:sz w:val="22"/>
          <w:lang w:val="en-GB"/>
        </w:rPr>
        <w:t>.</w:t>
      </w:r>
    </w:p>
    <w:p w:rsidR="00AB7DE6" w:rsidRPr="008666E4" w:rsidRDefault="00AB7DE6" w:rsidP="00AB7DE6">
      <w:pPr>
        <w:numPr>
          <w:ilvl w:val="0"/>
          <w:numId w:val="5"/>
        </w:numPr>
        <w:rPr>
          <w:sz w:val="22"/>
          <w:lang w:val="en-GB"/>
        </w:rPr>
      </w:pPr>
      <w:r>
        <w:rPr>
          <w:sz w:val="22"/>
          <w:lang w:val="en-GB"/>
        </w:rPr>
        <w:t>Drs</w:t>
      </w:r>
      <w:r w:rsidRPr="008666E4">
        <w:rPr>
          <w:sz w:val="22"/>
          <w:lang w:val="en-GB"/>
        </w:rPr>
        <w:t xml:space="preserve"> </w:t>
      </w:r>
      <w:proofErr w:type="spellStart"/>
      <w:r w:rsidRPr="008666E4">
        <w:rPr>
          <w:sz w:val="22"/>
          <w:lang w:val="en-GB"/>
        </w:rPr>
        <w:t>Shavkat</w:t>
      </w:r>
      <w:proofErr w:type="spellEnd"/>
      <w:r w:rsidRPr="008666E4">
        <w:rPr>
          <w:sz w:val="22"/>
          <w:lang w:val="en-GB"/>
        </w:rPr>
        <w:t xml:space="preserve"> </w:t>
      </w:r>
      <w:proofErr w:type="spellStart"/>
      <w:r w:rsidRPr="008666E4">
        <w:rPr>
          <w:sz w:val="22"/>
          <w:lang w:val="en-GB"/>
        </w:rPr>
        <w:t>Razakov</w:t>
      </w:r>
      <w:proofErr w:type="spellEnd"/>
      <w:r w:rsidRPr="008666E4">
        <w:rPr>
          <w:sz w:val="22"/>
          <w:lang w:val="en-GB"/>
        </w:rPr>
        <w:t xml:space="preserve"> and </w:t>
      </w:r>
      <w:proofErr w:type="spellStart"/>
      <w:r w:rsidRPr="008666E4">
        <w:rPr>
          <w:sz w:val="22"/>
          <w:lang w:val="en-GB"/>
        </w:rPr>
        <w:t>Dmitriy</w:t>
      </w:r>
      <w:proofErr w:type="spellEnd"/>
      <w:r w:rsidRPr="008666E4">
        <w:rPr>
          <w:sz w:val="22"/>
          <w:lang w:val="en-GB"/>
        </w:rPr>
        <w:t xml:space="preserve"> </w:t>
      </w:r>
      <w:proofErr w:type="spellStart"/>
      <w:r w:rsidRPr="008666E4">
        <w:rPr>
          <w:sz w:val="22"/>
          <w:lang w:val="en-GB"/>
        </w:rPr>
        <w:t>Kovalenko</w:t>
      </w:r>
      <w:proofErr w:type="spellEnd"/>
      <w:r w:rsidRPr="008666E4">
        <w:rPr>
          <w:sz w:val="22"/>
          <w:lang w:val="en-GB"/>
        </w:rPr>
        <w:t>, temporary consultants to WHO</w:t>
      </w:r>
      <w:r>
        <w:rPr>
          <w:sz w:val="22"/>
          <w:lang w:val="en-GB"/>
        </w:rPr>
        <w:t>.</w:t>
      </w:r>
    </w:p>
    <w:p w:rsidR="00AB7DE6" w:rsidRPr="008666E4" w:rsidRDefault="00AB7DE6" w:rsidP="00AB7DE6">
      <w:pPr>
        <w:ind w:left="0" w:firstLine="0"/>
        <w:rPr>
          <w:sz w:val="22"/>
          <w:lang w:val="en-GB"/>
        </w:rPr>
      </w:pPr>
    </w:p>
    <w:p w:rsidR="00AB7DE6" w:rsidRDefault="00AB7DE6" w:rsidP="00AB7DE6">
      <w:pPr>
        <w:ind w:left="0" w:firstLine="0"/>
        <w:rPr>
          <w:sz w:val="22"/>
          <w:lang w:val="en-US"/>
        </w:rPr>
      </w:pPr>
    </w:p>
    <w:p w:rsidR="00AB7DE6" w:rsidRDefault="00AB7DE6" w:rsidP="00AB7DE6">
      <w:pPr>
        <w:ind w:left="0" w:firstLine="0"/>
        <w:rPr>
          <w:sz w:val="22"/>
          <w:lang w:val="en-US"/>
        </w:rPr>
      </w:pPr>
    </w:p>
    <w:p w:rsidR="002F7C1A" w:rsidRDefault="002F7C1A" w:rsidP="00AB7DE6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037A"/>
    <w:multiLevelType w:val="hybridMultilevel"/>
    <w:tmpl w:val="42CC1D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7DE6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C7950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B7DE6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E6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AB7DE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E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8275862068965475E-2"/>
          <c:w val="0.90401146131805155"/>
          <c:h val="0.7758620689655172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Sheet1!$B$1:$S$1</c:f>
              <c:numCache>
                <c:formatCode>General</c:formatCode>
                <c:ptCount val="18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5">
                  <c:v>1966</c:v>
                </c:pt>
                <c:pt idx="16">
                  <c:v>1967</c:v>
                </c:pt>
                <c:pt idx="17">
                  <c:v>1968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10</c:v>
                </c:pt>
                <c:pt idx="1">
                  <c:v>13</c:v>
                </c:pt>
                <c:pt idx="2">
                  <c:v>20</c:v>
                </c:pt>
                <c:pt idx="3">
                  <c:v>22</c:v>
                </c:pt>
                <c:pt idx="4">
                  <c:v>9</c:v>
                </c:pt>
                <c:pt idx="5">
                  <c:v>8</c:v>
                </c:pt>
                <c:pt idx="6">
                  <c:v>10</c:v>
                </c:pt>
                <c:pt idx="7">
                  <c:v>18</c:v>
                </c:pt>
                <c:pt idx="8">
                  <c:v>11</c:v>
                </c:pt>
                <c:pt idx="9">
                  <c:v>13</c:v>
                </c:pt>
                <c:pt idx="10">
                  <c:v>7</c:v>
                </c:pt>
                <c:pt idx="11">
                  <c:v>9</c:v>
                </c:pt>
                <c:pt idx="12">
                  <c:v>6</c:v>
                </c:pt>
                <c:pt idx="13">
                  <c:v>6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gapDepth val="0"/>
        <c:shape val="box"/>
        <c:axId val="386062592"/>
        <c:axId val="392441856"/>
        <c:axId val="0"/>
      </c:bar3DChart>
      <c:catAx>
        <c:axId val="38606259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92441856"/>
        <c:crosses val="autoZero"/>
        <c:auto val="1"/>
        <c:lblAlgn val="ctr"/>
        <c:lblOffset val="100"/>
        <c:tickLblSkip val="1"/>
        <c:tickMarkSkip val="1"/>
      </c:catAx>
      <c:valAx>
        <c:axId val="392441856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860625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2012-04-02T09:47:00Z</dcterms:created>
  <dcterms:modified xsi:type="dcterms:W3CDTF">2012-04-02T09:48:00Z</dcterms:modified>
</cp:coreProperties>
</file>