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24" w:rsidRDefault="00F55024" w:rsidP="00F55024">
      <w:pPr>
        <w:ind w:left="0" w:firstLine="0"/>
        <w:rPr>
          <w:b/>
          <w:sz w:val="22"/>
          <w:u w:val="single"/>
          <w:lang w:val="en-US"/>
        </w:rPr>
      </w:pPr>
      <w:smartTag w:uri="urn:schemas-microsoft-com:office:smarttags" w:element="place">
        <w:smartTag w:uri="urn:schemas-microsoft-com:office:smarttags" w:element="country-region">
          <w:r w:rsidRPr="002C75B8">
            <w:rPr>
              <w:b/>
              <w:sz w:val="22"/>
              <w:u w:val="single"/>
              <w:lang w:val="en-US"/>
            </w:rPr>
            <w:t>IRAQ</w:t>
          </w:r>
        </w:smartTag>
      </w:smartTag>
      <w:r w:rsidRPr="002C75B8">
        <w:rPr>
          <w:b/>
          <w:sz w:val="22"/>
          <w:u w:val="single"/>
          <w:lang w:val="en-US"/>
        </w:rPr>
        <w:t xml:space="preserve"> </w:t>
      </w:r>
    </w:p>
    <w:p w:rsidR="00F55024" w:rsidRDefault="00F55024" w:rsidP="00F55024">
      <w:pPr>
        <w:ind w:left="0" w:firstLine="0"/>
        <w:rPr>
          <w:b/>
          <w:sz w:val="22"/>
          <w:u w:val="single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u w:val="single"/>
          <w:lang w:val="en-US"/>
        </w:rPr>
      </w:pPr>
      <w:r>
        <w:rPr>
          <w:b/>
          <w:noProof/>
          <w:sz w:val="22"/>
          <w:u w:val="single"/>
          <w:lang w:val="en-US"/>
        </w:rPr>
        <w:drawing>
          <wp:inline distT="0" distB="0" distL="0" distR="0">
            <wp:extent cx="2857500" cy="1914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024" w:rsidRPr="009975E6" w:rsidRDefault="00F55024" w:rsidP="00F55024">
      <w:pPr>
        <w:rPr>
          <w:b/>
          <w:sz w:val="22"/>
          <w:lang w:val="en-US"/>
        </w:rPr>
      </w:pPr>
      <w:r w:rsidRPr="009975E6">
        <w:rPr>
          <w:b/>
          <w:sz w:val="22"/>
          <w:lang w:val="en-US"/>
        </w:rPr>
        <w:t>BASIC COUNTRY DATA</w:t>
      </w:r>
    </w:p>
    <w:p w:rsidR="00F55024" w:rsidRPr="009975E6" w:rsidRDefault="00F55024" w:rsidP="00F55024">
      <w:pPr>
        <w:rPr>
          <w:sz w:val="22"/>
          <w:lang w:val="en-US"/>
        </w:rPr>
      </w:pPr>
    </w:p>
    <w:p w:rsidR="00F55024" w:rsidRPr="009975E6" w:rsidRDefault="00F55024" w:rsidP="00F55024">
      <w:pPr>
        <w:rPr>
          <w:sz w:val="22"/>
          <w:lang w:val="en-US"/>
        </w:rPr>
      </w:pPr>
      <w:r w:rsidRPr="009975E6">
        <w:rPr>
          <w:sz w:val="22"/>
          <w:lang w:val="en-US"/>
        </w:rPr>
        <w:t xml:space="preserve">Total Population: </w:t>
      </w:r>
      <w:r>
        <w:rPr>
          <w:sz w:val="22"/>
          <w:lang w:val="en-US"/>
        </w:rPr>
        <w:t>32,030,823</w:t>
      </w:r>
      <w:r w:rsidRPr="009975E6">
        <w:rPr>
          <w:sz w:val="22"/>
          <w:lang w:val="en-US"/>
        </w:rPr>
        <w:t xml:space="preserve"> </w:t>
      </w:r>
    </w:p>
    <w:p w:rsidR="00F55024" w:rsidRPr="009975E6" w:rsidRDefault="00F55024" w:rsidP="00F55024">
      <w:pPr>
        <w:rPr>
          <w:sz w:val="22"/>
          <w:lang w:val="en-US"/>
        </w:rPr>
      </w:pPr>
      <w:r w:rsidRPr="009975E6">
        <w:rPr>
          <w:sz w:val="22"/>
          <w:lang w:val="en-US"/>
        </w:rPr>
        <w:t>Population 0-14 years: 4</w:t>
      </w:r>
      <w:r>
        <w:rPr>
          <w:sz w:val="22"/>
          <w:lang w:val="en-US"/>
        </w:rPr>
        <w:t>3</w:t>
      </w:r>
      <w:r w:rsidRPr="009975E6">
        <w:rPr>
          <w:sz w:val="22"/>
          <w:lang w:val="en-US"/>
        </w:rPr>
        <w:t xml:space="preserve">% </w:t>
      </w:r>
    </w:p>
    <w:p w:rsidR="00F55024" w:rsidRPr="009975E6" w:rsidRDefault="00F55024" w:rsidP="00F55024">
      <w:pPr>
        <w:rPr>
          <w:sz w:val="22"/>
          <w:lang w:val="en-US"/>
        </w:rPr>
      </w:pPr>
      <w:r w:rsidRPr="009975E6">
        <w:rPr>
          <w:sz w:val="22"/>
          <w:lang w:val="en-US"/>
        </w:rPr>
        <w:t>Rural population: 3</w:t>
      </w:r>
      <w:r>
        <w:rPr>
          <w:sz w:val="22"/>
          <w:lang w:val="en-US"/>
        </w:rPr>
        <w:t>4</w:t>
      </w:r>
      <w:r w:rsidRPr="009975E6">
        <w:rPr>
          <w:sz w:val="22"/>
          <w:lang w:val="en-US"/>
        </w:rPr>
        <w:t xml:space="preserve">% </w:t>
      </w:r>
    </w:p>
    <w:p w:rsidR="00F55024" w:rsidRDefault="00F55024" w:rsidP="00F55024">
      <w:pPr>
        <w:rPr>
          <w:sz w:val="22"/>
          <w:lang w:val="en-US"/>
        </w:rPr>
      </w:pPr>
      <w:r w:rsidRPr="00CC6E04">
        <w:rPr>
          <w:sz w:val="22"/>
          <w:lang w:val="en-US"/>
        </w:rPr>
        <w:t xml:space="preserve">Population </w:t>
      </w:r>
      <w:r>
        <w:rPr>
          <w:sz w:val="22"/>
          <w:lang w:val="en-US"/>
        </w:rPr>
        <w:t xml:space="preserve">living under </w:t>
      </w:r>
      <w:r w:rsidRPr="00CC6E04">
        <w:rPr>
          <w:sz w:val="22"/>
          <w:lang w:val="en-US"/>
        </w:rPr>
        <w:t>USD 1</w:t>
      </w:r>
      <w:r>
        <w:rPr>
          <w:sz w:val="22"/>
          <w:lang w:val="en-US"/>
        </w:rPr>
        <w:t>.25</w:t>
      </w:r>
      <w:r w:rsidRPr="00CC6E04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a </w:t>
      </w:r>
      <w:r w:rsidRPr="00CC6E04">
        <w:rPr>
          <w:sz w:val="22"/>
          <w:lang w:val="en-US"/>
        </w:rPr>
        <w:t>day</w:t>
      </w:r>
      <w:r>
        <w:rPr>
          <w:sz w:val="22"/>
          <w:lang w:val="en-US"/>
        </w:rPr>
        <w:t>: 4%</w:t>
      </w:r>
    </w:p>
    <w:p w:rsidR="00F55024" w:rsidRDefault="00F55024" w:rsidP="00F55024">
      <w:pPr>
        <w:rPr>
          <w:sz w:val="22"/>
          <w:lang w:val="en-US"/>
        </w:rPr>
      </w:pPr>
      <w:r>
        <w:rPr>
          <w:sz w:val="22"/>
          <w:lang w:val="en-US"/>
        </w:rPr>
        <w:t>Population living under the national poverty line: 22.9%</w:t>
      </w:r>
    </w:p>
    <w:p w:rsidR="00F55024" w:rsidRPr="009975E6" w:rsidRDefault="00F55024" w:rsidP="00F55024">
      <w:pPr>
        <w:rPr>
          <w:sz w:val="22"/>
          <w:vertAlign w:val="superscript"/>
          <w:lang w:val="en-US"/>
        </w:rPr>
      </w:pPr>
      <w:r w:rsidRPr="009975E6">
        <w:rPr>
          <w:sz w:val="22"/>
          <w:lang w:val="en-US"/>
        </w:rPr>
        <w:t xml:space="preserve">Income status: Lower middle income economy </w:t>
      </w:r>
    </w:p>
    <w:p w:rsidR="00F55024" w:rsidRPr="006D5314" w:rsidRDefault="00F55024" w:rsidP="00F55024">
      <w:pPr>
        <w:rPr>
          <w:sz w:val="22"/>
          <w:lang w:val="en-US"/>
        </w:rPr>
      </w:pPr>
      <w:r w:rsidRPr="006D5314">
        <w:rPr>
          <w:sz w:val="22"/>
          <w:lang w:val="en-US"/>
        </w:rPr>
        <w:t xml:space="preserve">Ranking: </w:t>
      </w:r>
      <w:r>
        <w:rPr>
          <w:sz w:val="22"/>
          <w:lang w:val="en-US"/>
        </w:rPr>
        <w:t>Medium human development (ranking 132)</w:t>
      </w:r>
    </w:p>
    <w:p w:rsidR="00F55024" w:rsidRPr="009975E6" w:rsidRDefault="00F55024" w:rsidP="00F55024">
      <w:pPr>
        <w:rPr>
          <w:sz w:val="22"/>
          <w:lang w:val="en-US"/>
        </w:rPr>
      </w:pPr>
      <w:r w:rsidRPr="009975E6">
        <w:rPr>
          <w:sz w:val="22"/>
          <w:lang w:val="en-US"/>
        </w:rPr>
        <w:t>Per capita total expenditure on health at average exchange rate (US dollar): 9</w:t>
      </w:r>
      <w:r>
        <w:rPr>
          <w:sz w:val="22"/>
          <w:lang w:val="en-US"/>
        </w:rPr>
        <w:t>8</w:t>
      </w:r>
      <w:r w:rsidRPr="009975E6">
        <w:rPr>
          <w:sz w:val="22"/>
          <w:lang w:val="en-US"/>
        </w:rPr>
        <w:t xml:space="preserve"> </w:t>
      </w:r>
    </w:p>
    <w:p w:rsidR="00F55024" w:rsidRPr="009975E6" w:rsidRDefault="00F55024" w:rsidP="00F55024">
      <w:pPr>
        <w:rPr>
          <w:sz w:val="22"/>
          <w:lang w:val="en-US"/>
        </w:rPr>
      </w:pPr>
      <w:r w:rsidRPr="009975E6">
        <w:rPr>
          <w:sz w:val="22"/>
          <w:lang w:val="en-US"/>
        </w:rPr>
        <w:t>Life expectancy at birth (years): 5</w:t>
      </w:r>
      <w:r>
        <w:rPr>
          <w:sz w:val="22"/>
          <w:lang w:val="en-US"/>
        </w:rPr>
        <w:t>8</w:t>
      </w:r>
    </w:p>
    <w:p w:rsidR="00F55024" w:rsidRPr="009975E6" w:rsidRDefault="00F55024" w:rsidP="00F55024">
      <w:pPr>
        <w:rPr>
          <w:sz w:val="22"/>
          <w:lang w:val="en-US"/>
        </w:rPr>
      </w:pPr>
      <w:r w:rsidRPr="009975E6">
        <w:rPr>
          <w:sz w:val="22"/>
          <w:lang w:val="en-US"/>
        </w:rPr>
        <w:t>Health</w:t>
      </w:r>
      <w:r>
        <w:rPr>
          <w:sz w:val="22"/>
          <w:lang w:val="en-US"/>
        </w:rPr>
        <w:t>y</w:t>
      </w:r>
      <w:r w:rsidRPr="009975E6">
        <w:rPr>
          <w:sz w:val="22"/>
          <w:lang w:val="en-US"/>
        </w:rPr>
        <w:t xml:space="preserve"> life expectancy at birth (years): 50 </w:t>
      </w:r>
    </w:p>
    <w:p w:rsidR="00F55024" w:rsidRPr="009975E6" w:rsidRDefault="00F55024" w:rsidP="00F55024">
      <w:pPr>
        <w:spacing w:line="480" w:lineRule="auto"/>
        <w:rPr>
          <w:b/>
          <w:sz w:val="22"/>
          <w:lang w:val="en-US"/>
        </w:rPr>
      </w:pPr>
    </w:p>
    <w:p w:rsidR="00F55024" w:rsidRPr="009975E6" w:rsidRDefault="00F55024" w:rsidP="00F55024">
      <w:pPr>
        <w:spacing w:line="480" w:lineRule="auto"/>
        <w:rPr>
          <w:b/>
          <w:sz w:val="22"/>
          <w:lang w:val="en-US"/>
        </w:rPr>
      </w:pPr>
      <w:r w:rsidRPr="009975E6">
        <w:rPr>
          <w:b/>
          <w:sz w:val="22"/>
          <w:lang w:val="en-US"/>
        </w:rPr>
        <w:t>BACKGROUND INFORMATION</w:t>
      </w:r>
    </w:p>
    <w:p w:rsidR="00F55024" w:rsidRPr="00D86D92" w:rsidRDefault="00F55024" w:rsidP="00F55024">
      <w:pPr>
        <w:autoSpaceDE w:val="0"/>
        <w:autoSpaceDN w:val="0"/>
        <w:adjustRightInd w:val="0"/>
        <w:ind w:left="0" w:firstLine="0"/>
        <w:rPr>
          <w:sz w:val="22"/>
          <w:lang w:val="en-GB"/>
        </w:rPr>
      </w:pPr>
      <w:r w:rsidRPr="00DE30B2">
        <w:rPr>
          <w:sz w:val="22"/>
          <w:lang w:val="en-GB"/>
        </w:rPr>
        <w:t xml:space="preserve">VL and CL are both endemic in </w:t>
      </w:r>
      <w:smartTag w:uri="urn:schemas-microsoft-com:office:smarttags" w:element="place">
        <w:smartTag w:uri="urn:schemas-microsoft-com:office:smarttags" w:element="country-region">
          <w:r w:rsidRPr="00DE30B2">
            <w:rPr>
              <w:sz w:val="22"/>
              <w:lang w:val="en-GB"/>
            </w:rPr>
            <w:t>Iraq</w:t>
          </w:r>
        </w:smartTag>
      </w:smartTag>
      <w:r w:rsidRPr="00DE30B2">
        <w:rPr>
          <w:sz w:val="22"/>
          <w:lang w:val="en-GB"/>
        </w:rPr>
        <w:t xml:space="preserve">. CL declined during the </w:t>
      </w:r>
      <w:r w:rsidRPr="00DE30B2">
        <w:rPr>
          <w:sz w:val="22"/>
          <w:lang w:val="en-US"/>
        </w:rPr>
        <w:t>anti-malaria contr</w:t>
      </w:r>
      <w:r>
        <w:rPr>
          <w:sz w:val="22"/>
          <w:lang w:val="en-US"/>
        </w:rPr>
        <w:t xml:space="preserve">ol program and anti-malaria </w:t>
      </w:r>
      <w:r w:rsidRPr="00DE30B2">
        <w:rPr>
          <w:sz w:val="22"/>
          <w:lang w:val="en-US"/>
        </w:rPr>
        <w:t>house spraying</w:t>
      </w:r>
      <w:r>
        <w:rPr>
          <w:sz w:val="22"/>
          <w:lang w:val="en-US"/>
        </w:rPr>
        <w:t xml:space="preserve"> with DDT</w:t>
      </w:r>
      <w:r w:rsidRPr="00DE30B2">
        <w:rPr>
          <w:sz w:val="22"/>
          <w:lang w:val="en-US"/>
        </w:rPr>
        <w:t xml:space="preserve">, but when this was discontinued in the mid-1960s, the incidence surged. In the </w:t>
      </w:r>
      <w:r>
        <w:rPr>
          <w:sz w:val="22"/>
          <w:lang w:val="en-US"/>
        </w:rPr>
        <w:t>19</w:t>
      </w:r>
      <w:r w:rsidRPr="00DE30B2">
        <w:rPr>
          <w:sz w:val="22"/>
          <w:lang w:val="en-US"/>
        </w:rPr>
        <w:t>90s</w:t>
      </w:r>
      <w:r>
        <w:rPr>
          <w:sz w:val="22"/>
          <w:lang w:val="en-US"/>
        </w:rPr>
        <w:t>,</w:t>
      </w:r>
      <w:r w:rsidRPr="00DE30B2">
        <w:rPr>
          <w:sz w:val="22"/>
          <w:lang w:val="en-US"/>
        </w:rPr>
        <w:t xml:space="preserve"> during the Gulf War (1991)</w:t>
      </w:r>
      <w:r>
        <w:rPr>
          <w:sz w:val="22"/>
          <w:lang w:val="en-US"/>
        </w:rPr>
        <w:t>,</w:t>
      </w:r>
      <w:r w:rsidRPr="00DE30B2">
        <w:rPr>
          <w:sz w:val="22"/>
          <w:lang w:val="en-US"/>
        </w:rPr>
        <w:t xml:space="preserve"> case numbers of VL and CL peaked with an incidence of 45</w:t>
      </w:r>
      <w:r>
        <w:rPr>
          <w:sz w:val="22"/>
          <w:lang w:val="en-US"/>
        </w:rPr>
        <w:t>.</w:t>
      </w:r>
      <w:r w:rsidRPr="00DE30B2">
        <w:rPr>
          <w:sz w:val="22"/>
          <w:lang w:val="en-US"/>
        </w:rPr>
        <w:t>5/100,000 population for CL in 1992</w:t>
      </w:r>
      <w:r>
        <w:rPr>
          <w:sz w:val="22"/>
          <w:lang w:val="en-US"/>
        </w:rPr>
        <w:t xml:space="preserve"> [1]</w:t>
      </w:r>
      <w:r w:rsidRPr="00DE30B2">
        <w:rPr>
          <w:sz w:val="22"/>
          <w:lang w:val="en-US"/>
        </w:rPr>
        <w:t xml:space="preserve">. </w:t>
      </w:r>
      <w:r w:rsidRPr="00DE30B2">
        <w:rPr>
          <w:sz w:val="22"/>
          <w:lang w:val="en-GB"/>
        </w:rPr>
        <w:t>Malnutrition is thought to be a risk factor for both forms. The war caused extensive population movement</w:t>
      </w:r>
      <w:r>
        <w:rPr>
          <w:sz w:val="22"/>
          <w:lang w:val="en-GB"/>
        </w:rPr>
        <w:t xml:space="preserve"> and t</w:t>
      </w:r>
      <w:r w:rsidRPr="00DE30B2">
        <w:rPr>
          <w:sz w:val="22"/>
          <w:lang w:val="en-GB"/>
        </w:rPr>
        <w:t>he m</w:t>
      </w:r>
      <w:r w:rsidRPr="00D86D92">
        <w:rPr>
          <w:bCs/>
          <w:sz w:val="22"/>
          <w:lang w:val="en-GB"/>
        </w:rPr>
        <w:t xml:space="preserve">igration of a </w:t>
      </w:r>
      <w:r w:rsidRPr="00DE30B2">
        <w:rPr>
          <w:bCs/>
          <w:sz w:val="22"/>
          <w:lang w:val="en-US"/>
        </w:rPr>
        <w:t xml:space="preserve">non immune population into </w:t>
      </w:r>
      <w:r>
        <w:rPr>
          <w:bCs/>
          <w:sz w:val="22"/>
          <w:lang w:val="en-US"/>
        </w:rPr>
        <w:t xml:space="preserve">endemic </w:t>
      </w:r>
      <w:r w:rsidRPr="00DE30B2">
        <w:rPr>
          <w:bCs/>
          <w:sz w:val="22"/>
          <w:lang w:val="en-US"/>
        </w:rPr>
        <w:t>foci</w:t>
      </w:r>
      <w:r>
        <w:rPr>
          <w:bCs/>
          <w:sz w:val="22"/>
          <w:lang w:val="en-US"/>
        </w:rPr>
        <w:t xml:space="preserve">, </w:t>
      </w:r>
      <w:r>
        <w:rPr>
          <w:bCs/>
          <w:sz w:val="22"/>
          <w:lang w:val="en-US"/>
        </w:rPr>
        <w:t xml:space="preserve">and </w:t>
      </w:r>
      <w:r>
        <w:rPr>
          <w:bCs/>
          <w:sz w:val="22"/>
          <w:lang w:val="en-US"/>
        </w:rPr>
        <w:t>poor</w:t>
      </w:r>
      <w:r w:rsidRPr="00D86D92">
        <w:rPr>
          <w:sz w:val="22"/>
          <w:lang w:val="en-GB"/>
        </w:rPr>
        <w:t xml:space="preserve"> sanitary conditions and an upsurge in the </w:t>
      </w:r>
      <w:proofErr w:type="spellStart"/>
      <w:r w:rsidRPr="00D86D92">
        <w:rPr>
          <w:sz w:val="22"/>
          <w:lang w:val="en-GB"/>
        </w:rPr>
        <w:t>s</w:t>
      </w:r>
      <w:r w:rsidRPr="00D86D92">
        <w:rPr>
          <w:bCs/>
          <w:sz w:val="22"/>
          <w:lang w:val="en-GB"/>
        </w:rPr>
        <w:t>andfly</w:t>
      </w:r>
      <w:proofErr w:type="spellEnd"/>
      <w:r w:rsidRPr="00D86D92">
        <w:rPr>
          <w:bCs/>
          <w:sz w:val="22"/>
          <w:lang w:val="en-GB"/>
        </w:rPr>
        <w:t xml:space="preserve"> and vector population are thought to be the underlying causes for the rise in cases. </w:t>
      </w:r>
      <w:r w:rsidRPr="00DE30B2">
        <w:rPr>
          <w:sz w:val="22"/>
          <w:lang w:val="en-GB"/>
        </w:rPr>
        <w:t>The incidence of both forms went down after 2004</w:t>
      </w:r>
      <w:r>
        <w:rPr>
          <w:sz w:val="22"/>
          <w:lang w:val="en-GB"/>
        </w:rPr>
        <w:t>,</w:t>
      </w:r>
      <w:r w:rsidRPr="00DE30B2">
        <w:rPr>
          <w:sz w:val="22"/>
          <w:lang w:val="en-GB"/>
        </w:rPr>
        <w:t xml:space="preserve"> but recently</w:t>
      </w:r>
      <w:r>
        <w:rPr>
          <w:sz w:val="22"/>
          <w:lang w:val="en-GB"/>
        </w:rPr>
        <w:t>,</w:t>
      </w:r>
      <w:r w:rsidRPr="00DE30B2">
        <w:rPr>
          <w:sz w:val="22"/>
          <w:lang w:val="en-GB"/>
        </w:rPr>
        <w:t xml:space="preserve"> leishmaniasis has </w:t>
      </w:r>
      <w:r>
        <w:rPr>
          <w:sz w:val="22"/>
          <w:lang w:val="en-GB"/>
        </w:rPr>
        <w:t xml:space="preserve">again </w:t>
      </w:r>
      <w:r w:rsidRPr="00DE30B2">
        <w:rPr>
          <w:sz w:val="22"/>
          <w:lang w:val="en-GB"/>
        </w:rPr>
        <w:t>become a rapidly increasing health problem. The incidence of VL increased from 2</w:t>
      </w:r>
      <w:r>
        <w:rPr>
          <w:sz w:val="22"/>
          <w:lang w:val="en-GB"/>
        </w:rPr>
        <w:t>.</w:t>
      </w:r>
      <w:r w:rsidRPr="00DE30B2">
        <w:rPr>
          <w:sz w:val="22"/>
          <w:lang w:val="en-GB"/>
        </w:rPr>
        <w:t>5 (2007) to 3</w:t>
      </w:r>
      <w:r>
        <w:rPr>
          <w:sz w:val="22"/>
          <w:lang w:val="en-GB"/>
        </w:rPr>
        <w:t>.</w:t>
      </w:r>
      <w:r w:rsidRPr="00DE30B2">
        <w:rPr>
          <w:sz w:val="22"/>
          <w:lang w:val="en-GB"/>
        </w:rPr>
        <w:t>5/100,000 population in 2008</w:t>
      </w:r>
      <w:r>
        <w:rPr>
          <w:sz w:val="22"/>
          <w:lang w:val="en-GB"/>
        </w:rPr>
        <w:t>,</w:t>
      </w:r>
      <w:r w:rsidRPr="00DE30B2">
        <w:rPr>
          <w:sz w:val="22"/>
          <w:lang w:val="en-GB"/>
        </w:rPr>
        <w:t xml:space="preserve"> while the incidence of CL doubled from 2/100,000 (2007) to 4/100,000 population in 2008</w:t>
      </w:r>
      <w:r>
        <w:rPr>
          <w:sz w:val="22"/>
          <w:lang w:val="en-GB"/>
        </w:rPr>
        <w:t>,</w:t>
      </w:r>
      <w:r w:rsidRPr="00DE30B2">
        <w:rPr>
          <w:sz w:val="22"/>
          <w:lang w:val="en-GB"/>
        </w:rPr>
        <w:t xml:space="preserve"> and 6</w:t>
      </w:r>
      <w:r>
        <w:rPr>
          <w:sz w:val="22"/>
          <w:lang w:val="en-GB"/>
        </w:rPr>
        <w:t>.</w:t>
      </w:r>
      <w:r w:rsidRPr="00DE30B2">
        <w:rPr>
          <w:sz w:val="22"/>
          <w:lang w:val="en-GB"/>
        </w:rPr>
        <w:t xml:space="preserve">6/100,000 population in </w:t>
      </w:r>
      <w:smartTag w:uri="urn:schemas-microsoft-com:office:smarttags" w:element="metricconverter">
        <w:smartTagPr>
          <w:attr w:name="ProductID" w:val="2009. In"/>
        </w:smartTagPr>
        <w:r w:rsidRPr="00DE30B2">
          <w:rPr>
            <w:sz w:val="22"/>
            <w:lang w:val="en-GB"/>
          </w:rPr>
          <w:t>2009. In</w:t>
        </w:r>
      </w:smartTag>
      <w:r w:rsidRPr="00DE30B2">
        <w:rPr>
          <w:sz w:val="22"/>
          <w:lang w:val="en-GB"/>
        </w:rPr>
        <w:t xml:space="preserve"> 2009, the number of VL cases doubled in </w:t>
      </w:r>
      <w:proofErr w:type="spellStart"/>
      <w:r w:rsidRPr="00DE30B2">
        <w:rPr>
          <w:sz w:val="22"/>
          <w:lang w:val="en-GB"/>
        </w:rPr>
        <w:t>Diala</w:t>
      </w:r>
      <w:proofErr w:type="spellEnd"/>
      <w:r w:rsidRPr="00DE30B2">
        <w:rPr>
          <w:sz w:val="22"/>
          <w:lang w:val="en-GB"/>
        </w:rPr>
        <w:t xml:space="preserve"> province</w:t>
      </w:r>
      <w:r>
        <w:rPr>
          <w:sz w:val="22"/>
          <w:lang w:val="en-GB"/>
        </w:rPr>
        <w:t>,</w:t>
      </w:r>
      <w:r w:rsidRPr="00DE30B2">
        <w:rPr>
          <w:sz w:val="22"/>
          <w:lang w:val="en-GB"/>
        </w:rPr>
        <w:t xml:space="preserve"> while CL caused several outbreaks in 2008 and 2009. </w:t>
      </w:r>
    </w:p>
    <w:p w:rsidR="00F55024" w:rsidRPr="00DE30B2" w:rsidRDefault="00F55024" w:rsidP="00F55024">
      <w:pPr>
        <w:ind w:left="0" w:firstLine="0"/>
        <w:rPr>
          <w:sz w:val="22"/>
          <w:lang w:val="en-GB"/>
        </w:rPr>
      </w:pPr>
    </w:p>
    <w:p w:rsidR="00F55024" w:rsidRPr="00DE30B2" w:rsidRDefault="00F55024" w:rsidP="00F55024">
      <w:pPr>
        <w:autoSpaceDE w:val="0"/>
        <w:autoSpaceDN w:val="0"/>
        <w:adjustRightInd w:val="0"/>
        <w:ind w:left="0" w:firstLine="0"/>
        <w:rPr>
          <w:sz w:val="28"/>
          <w:lang w:val="en-GB"/>
        </w:rPr>
      </w:pPr>
      <w:r w:rsidRPr="009975E6">
        <w:rPr>
          <w:sz w:val="22"/>
          <w:lang w:val="en-GB"/>
        </w:rPr>
        <w:t>CL is widespread throughout the country</w:t>
      </w:r>
      <w:r>
        <w:rPr>
          <w:sz w:val="22"/>
          <w:lang w:val="en-GB"/>
        </w:rPr>
        <w:t>,</w:t>
      </w:r>
      <w:r w:rsidRPr="009975E6">
        <w:rPr>
          <w:sz w:val="22"/>
          <w:lang w:val="en-GB"/>
        </w:rPr>
        <w:t xml:space="preserve"> except for the three provinces in the northeast</w:t>
      </w:r>
      <w:r>
        <w:rPr>
          <w:sz w:val="22"/>
          <w:lang w:val="en-GB"/>
        </w:rPr>
        <w:t>,</w:t>
      </w:r>
      <w:r w:rsidRPr="009975E6">
        <w:rPr>
          <w:sz w:val="22"/>
          <w:lang w:val="en-GB"/>
        </w:rPr>
        <w:t xml:space="preserve"> bordering </w:t>
      </w:r>
      <w:smartTag w:uri="urn:schemas-microsoft-com:office:smarttags" w:element="country-region">
        <w:r w:rsidRPr="009975E6">
          <w:rPr>
            <w:sz w:val="22"/>
            <w:lang w:val="en-GB"/>
          </w:rPr>
          <w:t>Turkey</w:t>
        </w:r>
      </w:smartTag>
      <w:r w:rsidRPr="009975E6">
        <w:rPr>
          <w:sz w:val="22"/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9975E6">
            <w:rPr>
              <w:sz w:val="22"/>
              <w:lang w:val="en-GB"/>
            </w:rPr>
            <w:t>Iran</w:t>
          </w:r>
        </w:smartTag>
      </w:smartTag>
      <w:r>
        <w:rPr>
          <w:sz w:val="22"/>
          <w:lang w:val="en-GB"/>
        </w:rPr>
        <w:t>,</w:t>
      </w:r>
      <w:r w:rsidRPr="009975E6">
        <w:rPr>
          <w:sz w:val="22"/>
          <w:lang w:val="en-GB"/>
        </w:rPr>
        <w:t xml:space="preserve"> where cases are rare. It seems that the majority of CL cases reported in </w:t>
      </w:r>
      <w:smartTag w:uri="urn:schemas-microsoft-com:office:smarttags" w:element="country-region">
        <w:smartTag w:uri="urn:schemas-microsoft-com:office:smarttags" w:element="place">
          <w:r w:rsidRPr="009975E6">
            <w:rPr>
              <w:sz w:val="22"/>
              <w:lang w:val="en-GB"/>
            </w:rPr>
            <w:t>Iraq</w:t>
          </w:r>
        </w:smartTag>
      </w:smartTag>
      <w:r w:rsidRPr="009975E6">
        <w:rPr>
          <w:sz w:val="22"/>
          <w:lang w:val="en-GB"/>
        </w:rPr>
        <w:t xml:space="preserve"> are </w:t>
      </w:r>
      <w:r>
        <w:rPr>
          <w:sz w:val="22"/>
          <w:lang w:val="en-GB"/>
        </w:rPr>
        <w:t xml:space="preserve">caused by </w:t>
      </w:r>
      <w:proofErr w:type="spellStart"/>
      <w:r w:rsidRPr="00044586">
        <w:rPr>
          <w:i/>
          <w:sz w:val="22"/>
          <w:lang w:val="en-GB"/>
        </w:rPr>
        <w:t>L.major</w:t>
      </w:r>
      <w:proofErr w:type="spellEnd"/>
      <w:r>
        <w:rPr>
          <w:sz w:val="22"/>
          <w:lang w:val="en-GB"/>
        </w:rPr>
        <w:t xml:space="preserve"> (ZCL) [1].</w:t>
      </w:r>
      <w:r>
        <w:rPr>
          <w:sz w:val="20"/>
          <w:szCs w:val="20"/>
          <w:lang w:val="en-US"/>
        </w:rPr>
        <w:t xml:space="preserve"> </w:t>
      </w:r>
      <w:r w:rsidRPr="009975E6">
        <w:rPr>
          <w:sz w:val="22"/>
          <w:lang w:val="en-GB"/>
        </w:rPr>
        <w:t xml:space="preserve">Two epidemic outbreaks of CL have </w:t>
      </w:r>
      <w:r>
        <w:rPr>
          <w:sz w:val="22"/>
          <w:lang w:val="en-GB"/>
        </w:rPr>
        <w:t xml:space="preserve">been reported </w:t>
      </w:r>
      <w:r w:rsidRPr="009975E6">
        <w:rPr>
          <w:sz w:val="22"/>
          <w:lang w:val="en-GB"/>
        </w:rPr>
        <w:t xml:space="preserve">in </w:t>
      </w:r>
      <w:proofErr w:type="spellStart"/>
      <w:smartTag w:uri="urn:schemas-microsoft-com:office:smarttags" w:element="PlaceName">
        <w:r w:rsidRPr="009975E6">
          <w:rPr>
            <w:sz w:val="22"/>
            <w:lang w:val="en-GB"/>
          </w:rPr>
          <w:t>Diwania</w:t>
        </w:r>
      </w:smartTag>
      <w:proofErr w:type="spellEnd"/>
      <w:r w:rsidRPr="009975E6">
        <w:rPr>
          <w:sz w:val="22"/>
          <w:lang w:val="en-GB"/>
        </w:rPr>
        <w:t xml:space="preserve"> </w:t>
      </w:r>
      <w:smartTag w:uri="urn:schemas-microsoft-com:office:smarttags" w:element="PlaceType">
        <w:r w:rsidRPr="009975E6">
          <w:rPr>
            <w:sz w:val="22"/>
            <w:lang w:val="en-GB"/>
          </w:rPr>
          <w:t>Province</w:t>
        </w:r>
      </w:smartTag>
      <w:r>
        <w:rPr>
          <w:sz w:val="22"/>
          <w:lang w:val="en-GB"/>
        </w:rPr>
        <w:t xml:space="preserve"> in 2008 </w:t>
      </w:r>
      <w:r w:rsidRPr="009975E6">
        <w:rPr>
          <w:sz w:val="22"/>
          <w:lang w:val="en-GB"/>
        </w:rPr>
        <w:t xml:space="preserve">with about 300 cases and in </w:t>
      </w:r>
      <w:smartTag w:uri="urn:schemas-microsoft-com:office:smarttags" w:element="City">
        <w:smartTag w:uri="urn:schemas-microsoft-com:office:smarttags" w:element="place">
          <w:r w:rsidRPr="009975E6">
            <w:rPr>
              <w:sz w:val="22"/>
              <w:lang w:val="en-GB"/>
            </w:rPr>
            <w:t>Baghdad</w:t>
          </w:r>
        </w:smartTag>
      </w:smartTag>
      <w:r w:rsidRPr="009975E6">
        <w:rPr>
          <w:sz w:val="22"/>
          <w:lang w:val="en-GB"/>
        </w:rPr>
        <w:t>/</w:t>
      </w:r>
      <w:r>
        <w:rPr>
          <w:sz w:val="22"/>
          <w:lang w:val="en-GB"/>
        </w:rPr>
        <w:t xml:space="preserve"> </w:t>
      </w:r>
      <w:proofErr w:type="spellStart"/>
      <w:r w:rsidRPr="00F93298">
        <w:rPr>
          <w:sz w:val="22"/>
          <w:lang w:val="en-GB"/>
        </w:rPr>
        <w:t>Rahmania</w:t>
      </w:r>
      <w:proofErr w:type="spellEnd"/>
      <w:r w:rsidRPr="00F93298">
        <w:rPr>
          <w:sz w:val="22"/>
          <w:lang w:val="en-GB"/>
        </w:rPr>
        <w:t xml:space="preserve"> </w:t>
      </w:r>
      <w:r w:rsidRPr="009975E6">
        <w:rPr>
          <w:sz w:val="22"/>
          <w:lang w:val="en-GB"/>
        </w:rPr>
        <w:t xml:space="preserve">in 2009 </w:t>
      </w:r>
      <w:r w:rsidRPr="00F93298">
        <w:rPr>
          <w:sz w:val="22"/>
          <w:lang w:val="en-GB"/>
        </w:rPr>
        <w:t xml:space="preserve">with about 400 cases. These may have been caused by CL by </w:t>
      </w:r>
      <w:proofErr w:type="spellStart"/>
      <w:r w:rsidRPr="00F93298">
        <w:rPr>
          <w:i/>
          <w:sz w:val="22"/>
          <w:lang w:val="en-GB"/>
        </w:rPr>
        <w:t>L.tropica</w:t>
      </w:r>
      <w:proofErr w:type="spellEnd"/>
      <w:r w:rsidRPr="00F93298">
        <w:rPr>
          <w:sz w:val="22"/>
          <w:lang w:val="en-GB"/>
        </w:rPr>
        <w:t xml:space="preserve"> (ACL), a very old disease in </w:t>
      </w:r>
      <w:smartTag w:uri="urn:schemas-microsoft-com:office:smarttags" w:element="country-region">
        <w:r w:rsidRPr="00F93298">
          <w:rPr>
            <w:sz w:val="22"/>
            <w:lang w:val="en-GB"/>
          </w:rPr>
          <w:t>Iraq</w:t>
        </w:r>
      </w:smartTag>
      <w:r w:rsidRPr="00F93298">
        <w:rPr>
          <w:sz w:val="22"/>
          <w:lang w:val="en-GB"/>
        </w:rPr>
        <w:t xml:space="preserve">, also called </w:t>
      </w:r>
      <w:r>
        <w:rPr>
          <w:sz w:val="22"/>
          <w:lang w:val="en-GB"/>
        </w:rPr>
        <w:t>"</w:t>
      </w:r>
      <w:smartTag w:uri="urn:schemas-microsoft-com:office:smarttags" w:element="City">
        <w:smartTag w:uri="urn:schemas-microsoft-com:office:smarttags" w:element="place">
          <w:r w:rsidRPr="00F93298">
            <w:rPr>
              <w:sz w:val="22"/>
              <w:lang w:val="en-GB"/>
            </w:rPr>
            <w:t>Baghdad</w:t>
          </w:r>
        </w:smartTag>
      </w:smartTag>
      <w:r w:rsidRPr="00F93298">
        <w:rPr>
          <w:sz w:val="22"/>
          <w:lang w:val="en-GB"/>
        </w:rPr>
        <w:t xml:space="preserve"> boil</w:t>
      </w:r>
      <w:r>
        <w:rPr>
          <w:sz w:val="22"/>
          <w:lang w:val="en-GB"/>
        </w:rPr>
        <w:t>"</w:t>
      </w:r>
      <w:r w:rsidRPr="00F93298">
        <w:rPr>
          <w:sz w:val="22"/>
          <w:lang w:val="en-GB"/>
        </w:rPr>
        <w:t xml:space="preserve">, which used to be common until a few decades ago. </w:t>
      </w:r>
      <w:r w:rsidRPr="00F93298">
        <w:rPr>
          <w:sz w:val="22"/>
          <w:lang w:val="en-GB"/>
        </w:rPr>
        <w:lastRenderedPageBreak/>
        <w:t>CL is an important health problem</w:t>
      </w:r>
      <w:r>
        <w:rPr>
          <w:sz w:val="22"/>
          <w:lang w:val="en-GB"/>
        </w:rPr>
        <w:t>,</w:t>
      </w:r>
      <w:r w:rsidRPr="00F93298">
        <w:rPr>
          <w:sz w:val="22"/>
          <w:lang w:val="en-GB"/>
        </w:rPr>
        <w:t xml:space="preserve"> </w:t>
      </w:r>
      <w:r>
        <w:rPr>
          <w:sz w:val="22"/>
          <w:lang w:val="en-GB"/>
        </w:rPr>
        <w:t>as</w:t>
      </w:r>
      <w:r w:rsidRPr="00F93298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a </w:t>
      </w:r>
      <w:r w:rsidRPr="00F93298">
        <w:rPr>
          <w:sz w:val="22"/>
          <w:lang w:val="en-GB"/>
        </w:rPr>
        <w:t xml:space="preserve">secondary bacterial infection was reported in 42% of cases </w:t>
      </w:r>
      <w:r>
        <w:rPr>
          <w:sz w:val="22"/>
          <w:lang w:val="en-GB"/>
        </w:rPr>
        <w:t>[2]</w:t>
      </w:r>
      <w:r w:rsidRPr="00F93298">
        <w:rPr>
          <w:sz w:val="22"/>
          <w:lang w:val="en-GB"/>
        </w:rPr>
        <w:t>.</w:t>
      </w:r>
    </w:p>
    <w:p w:rsidR="00F55024" w:rsidRPr="00DE30B2" w:rsidRDefault="00F55024" w:rsidP="00F55024">
      <w:pPr>
        <w:autoSpaceDE w:val="0"/>
        <w:autoSpaceDN w:val="0"/>
        <w:adjustRightInd w:val="0"/>
        <w:ind w:left="0" w:firstLine="0"/>
        <w:rPr>
          <w:szCs w:val="20"/>
          <w:lang w:val="en-US"/>
        </w:rPr>
      </w:pPr>
    </w:p>
    <w:p w:rsidR="00F55024" w:rsidRPr="00DE30B2" w:rsidRDefault="00F55024" w:rsidP="00F55024">
      <w:pPr>
        <w:autoSpaceDE w:val="0"/>
        <w:autoSpaceDN w:val="0"/>
        <w:adjustRightInd w:val="0"/>
        <w:ind w:left="0" w:firstLine="0"/>
        <w:rPr>
          <w:sz w:val="22"/>
          <w:lang w:val="en-US"/>
        </w:rPr>
      </w:pPr>
      <w:r w:rsidRPr="00DE30B2">
        <w:rPr>
          <w:sz w:val="22"/>
          <w:lang w:val="en-US"/>
        </w:rPr>
        <w:t xml:space="preserve">VL is mostly present in </w:t>
      </w:r>
      <w:r w:rsidRPr="00DE30B2">
        <w:rPr>
          <w:sz w:val="22"/>
          <w:lang w:val="en-GB"/>
        </w:rPr>
        <w:t xml:space="preserve">central </w:t>
      </w:r>
      <w:smartTag w:uri="urn:schemas-microsoft-com:office:smarttags" w:element="country-region">
        <w:r w:rsidRPr="00DE30B2">
          <w:rPr>
            <w:sz w:val="22"/>
            <w:lang w:val="en-GB"/>
          </w:rPr>
          <w:t>Iraq</w:t>
        </w:r>
      </w:smartTag>
      <w:r w:rsidRPr="00DE30B2">
        <w:rPr>
          <w:sz w:val="22"/>
          <w:lang w:val="en-GB"/>
        </w:rPr>
        <w:t xml:space="preserve"> and the Greater Baghdad area</w:t>
      </w:r>
      <w:r>
        <w:rPr>
          <w:sz w:val="22"/>
          <w:lang w:val="en-GB"/>
        </w:rPr>
        <w:t>,</w:t>
      </w:r>
      <w:r w:rsidRPr="00DE30B2">
        <w:rPr>
          <w:sz w:val="22"/>
          <w:lang w:val="en-GB"/>
        </w:rPr>
        <w:t xml:space="preserve"> but s</w:t>
      </w:r>
      <w:proofErr w:type="spellStart"/>
      <w:r w:rsidRPr="00DE30B2">
        <w:rPr>
          <w:sz w:val="22"/>
          <w:lang w:val="en-US"/>
        </w:rPr>
        <w:t>ince</w:t>
      </w:r>
      <w:proofErr w:type="spellEnd"/>
      <w:r w:rsidRPr="00DE30B2">
        <w:rPr>
          <w:sz w:val="22"/>
          <w:lang w:val="en-US"/>
        </w:rPr>
        <w:t xml:space="preserve"> the Gulf War the disease has extended to new areas rarely affected before, such as </w:t>
      </w:r>
      <w:proofErr w:type="spellStart"/>
      <w:r w:rsidRPr="00DE30B2">
        <w:rPr>
          <w:sz w:val="22"/>
          <w:lang w:val="en-US"/>
        </w:rPr>
        <w:t>Missan</w:t>
      </w:r>
      <w:proofErr w:type="spellEnd"/>
      <w:r w:rsidRPr="00DE30B2">
        <w:rPr>
          <w:sz w:val="22"/>
          <w:lang w:val="en-US"/>
        </w:rPr>
        <w:t xml:space="preserve">, </w:t>
      </w:r>
      <w:proofErr w:type="spellStart"/>
      <w:r w:rsidRPr="00DE30B2">
        <w:rPr>
          <w:sz w:val="22"/>
          <w:lang w:val="en-US"/>
        </w:rPr>
        <w:t>Thi-Qar</w:t>
      </w:r>
      <w:proofErr w:type="spellEnd"/>
      <w:r w:rsidRPr="00DE30B2">
        <w:rPr>
          <w:sz w:val="22"/>
          <w:lang w:val="en-US"/>
        </w:rPr>
        <w:t xml:space="preserve">, and </w:t>
      </w:r>
      <w:proofErr w:type="spellStart"/>
      <w:r w:rsidRPr="00DE30B2">
        <w:rPr>
          <w:sz w:val="22"/>
          <w:lang w:val="en-US"/>
        </w:rPr>
        <w:t>Basrah</w:t>
      </w:r>
      <w:proofErr w:type="spellEnd"/>
      <w:r w:rsidRPr="00DE30B2">
        <w:rPr>
          <w:sz w:val="22"/>
          <w:lang w:val="en-US"/>
        </w:rPr>
        <w:t xml:space="preserve"> governorates in southeastern </w:t>
      </w:r>
      <w:smartTag w:uri="urn:schemas-microsoft-com:office:smarttags" w:element="country-region">
        <w:smartTag w:uri="urn:schemas-microsoft-com:office:smarttags" w:element="place">
          <w:r w:rsidRPr="00DE30B2">
            <w:rPr>
              <w:sz w:val="22"/>
              <w:lang w:val="en-US"/>
            </w:rPr>
            <w:t>Iraq</w:t>
          </w:r>
        </w:smartTag>
      </w:smartTag>
      <w:r w:rsidRPr="00DE30B2">
        <w:rPr>
          <w:sz w:val="22"/>
          <w:lang w:val="en-US"/>
        </w:rPr>
        <w:t>. 90% of VL cases occur in children under 5 years old. Deterioration of the health status</w:t>
      </w:r>
      <w:r>
        <w:rPr>
          <w:sz w:val="22"/>
          <w:lang w:val="en-US"/>
        </w:rPr>
        <w:t>,</w:t>
      </w:r>
      <w:r w:rsidRPr="00DE30B2">
        <w:rPr>
          <w:sz w:val="22"/>
          <w:lang w:val="en-US"/>
        </w:rPr>
        <w:t xml:space="preserve"> </w:t>
      </w:r>
      <w:r>
        <w:rPr>
          <w:sz w:val="22"/>
          <w:lang w:val="en-US"/>
        </w:rPr>
        <w:t>because of malnutrition among</w:t>
      </w:r>
      <w:r w:rsidRPr="00DE30B2">
        <w:rPr>
          <w:sz w:val="22"/>
          <w:lang w:val="en-US"/>
        </w:rPr>
        <w:t xml:space="preserve"> children </w:t>
      </w:r>
      <w:r>
        <w:rPr>
          <w:sz w:val="22"/>
          <w:lang w:val="en-US"/>
        </w:rPr>
        <w:t>under</w:t>
      </w:r>
      <w:r w:rsidRPr="00DE30B2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age </w:t>
      </w:r>
      <w:r w:rsidRPr="00DE30B2">
        <w:rPr>
          <w:sz w:val="22"/>
          <w:lang w:val="en-US"/>
        </w:rPr>
        <w:t>5</w:t>
      </w:r>
      <w:r>
        <w:rPr>
          <w:sz w:val="22"/>
          <w:lang w:val="en-US"/>
        </w:rPr>
        <w:t xml:space="preserve">, probably played a major role. </w:t>
      </w:r>
      <w:r w:rsidRPr="00DE30B2">
        <w:rPr>
          <w:sz w:val="22"/>
          <w:lang w:val="en-US"/>
        </w:rPr>
        <w:t>Transmission is probably zoonotic</w:t>
      </w:r>
      <w:r>
        <w:rPr>
          <w:sz w:val="22"/>
          <w:lang w:val="en-US"/>
        </w:rPr>
        <w:t>,</w:t>
      </w:r>
      <w:r w:rsidRPr="00DE30B2">
        <w:rPr>
          <w:sz w:val="22"/>
          <w:lang w:val="en-US"/>
        </w:rPr>
        <w:t xml:space="preserve"> </w:t>
      </w:r>
      <w:r w:rsidRPr="00DE30B2">
        <w:rPr>
          <w:sz w:val="22"/>
          <w:lang w:val="en-GB"/>
        </w:rPr>
        <w:t xml:space="preserve">but anthroponotic transmission may also take place. </w:t>
      </w:r>
    </w:p>
    <w:p w:rsidR="00F55024" w:rsidRDefault="00F55024" w:rsidP="00F55024">
      <w:pPr>
        <w:rPr>
          <w:sz w:val="22"/>
          <w:lang w:val="en-GB"/>
        </w:rPr>
      </w:pPr>
    </w:p>
    <w:p w:rsidR="00F55024" w:rsidRPr="009975E6" w:rsidRDefault="00F55024" w:rsidP="00F55024">
      <w:pPr>
        <w:rPr>
          <w:sz w:val="22"/>
          <w:lang w:val="en-GB"/>
        </w:rPr>
      </w:pPr>
      <w:r>
        <w:rPr>
          <w:sz w:val="22"/>
          <w:lang w:val="en-GB"/>
        </w:rPr>
        <w:t xml:space="preserve">Both forms are believed to be underreported to a large degree.  </w:t>
      </w:r>
    </w:p>
    <w:p w:rsidR="00F55024" w:rsidRPr="009975E6" w:rsidRDefault="00F55024" w:rsidP="00F55024">
      <w:pPr>
        <w:rPr>
          <w:b/>
          <w:sz w:val="22"/>
          <w:lang w:val="en-US"/>
        </w:rPr>
      </w:pPr>
    </w:p>
    <w:p w:rsidR="00F55024" w:rsidRPr="009975E6" w:rsidRDefault="00F55024" w:rsidP="00F55024">
      <w:pPr>
        <w:rPr>
          <w:sz w:val="22"/>
          <w:lang w:val="en-GB"/>
        </w:rPr>
      </w:pPr>
      <w:r w:rsidRPr="009975E6">
        <w:rPr>
          <w:sz w:val="22"/>
          <w:lang w:val="en-US"/>
        </w:rPr>
        <w:t>No cases of HIV</w:t>
      </w:r>
      <w:r w:rsidRPr="009975E6">
        <w:rPr>
          <w:i/>
          <w:iCs/>
          <w:sz w:val="22"/>
          <w:lang w:val="en-US"/>
        </w:rPr>
        <w:t>-Leis</w:t>
      </w:r>
      <w:proofErr w:type="spellStart"/>
      <w:r w:rsidRPr="009975E6">
        <w:rPr>
          <w:i/>
          <w:iCs/>
          <w:sz w:val="22"/>
          <w:lang w:val="en-GB"/>
        </w:rPr>
        <w:t>hmani</w:t>
      </w:r>
      <w:r w:rsidRPr="009975E6">
        <w:rPr>
          <w:sz w:val="22"/>
          <w:lang w:val="en-GB"/>
        </w:rPr>
        <w:t>a</w:t>
      </w:r>
      <w:proofErr w:type="spellEnd"/>
      <w:r w:rsidRPr="009975E6">
        <w:rPr>
          <w:sz w:val="22"/>
          <w:lang w:val="en-GB"/>
        </w:rPr>
        <w:t xml:space="preserve"> co-infection have been reported.</w:t>
      </w:r>
    </w:p>
    <w:p w:rsidR="00F55024" w:rsidRDefault="00F55024" w:rsidP="00F55024">
      <w:pPr>
        <w:rPr>
          <w:b/>
          <w:sz w:val="22"/>
          <w:lang w:val="en-US"/>
        </w:rPr>
      </w:pPr>
    </w:p>
    <w:p w:rsidR="00F55024" w:rsidRPr="009975E6" w:rsidRDefault="00F55024" w:rsidP="00F55024">
      <w:pPr>
        <w:rPr>
          <w:b/>
          <w:sz w:val="22"/>
          <w:lang w:val="en-US"/>
        </w:rPr>
      </w:pPr>
    </w:p>
    <w:p w:rsidR="00F55024" w:rsidRPr="002C75B8" w:rsidRDefault="00F55024" w:rsidP="00F55024">
      <w:pPr>
        <w:ind w:left="0" w:firstLine="0"/>
        <w:rPr>
          <w:sz w:val="22"/>
        </w:rPr>
      </w:pPr>
      <w:r w:rsidRPr="002C75B8">
        <w:rPr>
          <w:b/>
          <w:bCs/>
          <w:sz w:val="22"/>
          <w:lang w:val="it-IT"/>
        </w:rPr>
        <w:t xml:space="preserve">PARASITOLOGICAL INFORMATION </w:t>
      </w:r>
    </w:p>
    <w:p w:rsidR="00F55024" w:rsidRPr="009975E6" w:rsidRDefault="00F55024" w:rsidP="00F55024">
      <w:pPr>
        <w:rPr>
          <w:b/>
          <w:sz w:val="22"/>
          <w:lang w:val="en-US"/>
        </w:rPr>
      </w:pPr>
      <w:r>
        <w:rPr>
          <w:b/>
          <w:vanish/>
          <w:sz w:val="22"/>
          <w:lang w:val="en-US"/>
        </w:rPr>
        <w:t>PARASITOLOGY</w:t>
      </w:r>
      <w:r>
        <w:rPr>
          <w:b/>
          <w:sz w:val="22"/>
          <w:lang w:val="en-US"/>
        </w:rPr>
        <w:tab/>
      </w:r>
    </w:p>
    <w:p w:rsidR="00F55024" w:rsidRPr="003718A7" w:rsidRDefault="00F55024" w:rsidP="00F55024">
      <w:pPr>
        <w:ind w:left="0"/>
        <w:rPr>
          <w:lang w:val="en-GB"/>
        </w:rPr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440"/>
        <w:gridCol w:w="1980"/>
        <w:gridCol w:w="2160"/>
      </w:tblGrid>
      <w:tr w:rsidR="00F55024" w:rsidRPr="002C75B8" w:rsidTr="00A7768B">
        <w:tc>
          <w:tcPr>
            <w:tcW w:w="1728" w:type="dxa"/>
            <w:vAlign w:val="center"/>
          </w:tcPr>
          <w:p w:rsidR="00F55024" w:rsidRPr="006721B2" w:rsidRDefault="00F55024" w:rsidP="00A7768B">
            <w:pPr>
              <w:ind w:left="0" w:firstLine="0"/>
              <w:jc w:val="center"/>
              <w:rPr>
                <w:sz w:val="22"/>
                <w:lang w:val="en-US"/>
              </w:rPr>
            </w:pPr>
            <w:r w:rsidRPr="006721B2">
              <w:rPr>
                <w:b/>
                <w:bCs/>
                <w:i/>
                <w:iCs/>
                <w:sz w:val="22"/>
              </w:rPr>
              <w:t xml:space="preserve">Leishmania </w:t>
            </w:r>
            <w:proofErr w:type="spellStart"/>
            <w:r w:rsidRPr="006721B2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1440" w:type="dxa"/>
            <w:vAlign w:val="center"/>
          </w:tcPr>
          <w:p w:rsidR="00F55024" w:rsidRPr="006721B2" w:rsidRDefault="00F55024" w:rsidP="00A7768B">
            <w:pPr>
              <w:ind w:left="0" w:firstLine="0"/>
              <w:jc w:val="center"/>
              <w:rPr>
                <w:sz w:val="22"/>
                <w:lang w:val="en-US"/>
              </w:rPr>
            </w:pPr>
            <w:proofErr w:type="spellStart"/>
            <w:r w:rsidRPr="006721B2">
              <w:rPr>
                <w:b/>
                <w:bCs/>
                <w:sz w:val="22"/>
              </w:rPr>
              <w:t>Clinical</w:t>
            </w:r>
            <w:proofErr w:type="spellEnd"/>
            <w:r w:rsidRPr="006721B2">
              <w:rPr>
                <w:b/>
                <w:bCs/>
                <w:sz w:val="22"/>
              </w:rPr>
              <w:t xml:space="preserve"> </w:t>
            </w:r>
            <w:proofErr w:type="spellStart"/>
            <w:r w:rsidRPr="006721B2">
              <w:rPr>
                <w:b/>
                <w:bCs/>
                <w:sz w:val="22"/>
              </w:rPr>
              <w:t>form</w:t>
            </w:r>
            <w:proofErr w:type="spellEnd"/>
          </w:p>
        </w:tc>
        <w:tc>
          <w:tcPr>
            <w:tcW w:w="1980" w:type="dxa"/>
            <w:vAlign w:val="center"/>
          </w:tcPr>
          <w:p w:rsidR="00F55024" w:rsidRPr="006721B2" w:rsidRDefault="00F55024" w:rsidP="00A7768B">
            <w:pPr>
              <w:ind w:left="0" w:firstLine="0"/>
              <w:jc w:val="center"/>
              <w:rPr>
                <w:sz w:val="22"/>
                <w:lang w:val="en-US"/>
              </w:rPr>
            </w:pPr>
            <w:r w:rsidRPr="006721B2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6721B2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2160" w:type="dxa"/>
            <w:vAlign w:val="center"/>
          </w:tcPr>
          <w:p w:rsidR="00F55024" w:rsidRPr="006721B2" w:rsidRDefault="00F55024" w:rsidP="00A7768B">
            <w:pPr>
              <w:ind w:left="0" w:firstLine="0"/>
              <w:jc w:val="center"/>
              <w:rPr>
                <w:sz w:val="22"/>
                <w:lang w:val="en-US"/>
              </w:rPr>
            </w:pPr>
            <w:proofErr w:type="spellStart"/>
            <w:r w:rsidRPr="006721B2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F55024" w:rsidRPr="002C75B8" w:rsidTr="00A7768B">
        <w:tc>
          <w:tcPr>
            <w:tcW w:w="1728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L donovani</w:t>
            </w:r>
          </w:p>
        </w:tc>
        <w:tc>
          <w:tcPr>
            <w:tcW w:w="144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sz w:val="22"/>
                <w:szCs w:val="22"/>
              </w:rPr>
              <w:t>AVL</w:t>
            </w:r>
          </w:p>
        </w:tc>
        <w:tc>
          <w:tcPr>
            <w:tcW w:w="198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P. </w:t>
            </w:r>
            <w:proofErr w:type="spellStart"/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alexandri</w:t>
            </w:r>
            <w:proofErr w:type="spellEnd"/>
          </w:p>
        </w:tc>
        <w:tc>
          <w:tcPr>
            <w:tcW w:w="216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</w:t>
            </w:r>
          </w:p>
        </w:tc>
      </w:tr>
      <w:tr w:rsidR="00F55024" w:rsidRPr="002C75B8" w:rsidTr="00A7768B">
        <w:tc>
          <w:tcPr>
            <w:tcW w:w="1728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L. tropica</w:t>
            </w:r>
          </w:p>
        </w:tc>
        <w:tc>
          <w:tcPr>
            <w:tcW w:w="144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sz w:val="22"/>
                <w:szCs w:val="22"/>
              </w:rPr>
              <w:t>ACL</w:t>
            </w:r>
          </w:p>
        </w:tc>
        <w:tc>
          <w:tcPr>
            <w:tcW w:w="198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P. </w:t>
            </w:r>
            <w:proofErr w:type="spellStart"/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sergenti</w:t>
            </w:r>
            <w:proofErr w:type="spellEnd"/>
          </w:p>
        </w:tc>
        <w:tc>
          <w:tcPr>
            <w:tcW w:w="216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 w:line="313" w:lineRule="atLeast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6721B2">
              <w:rPr>
                <w:rFonts w:ascii="Arial" w:hAnsi="Arial" w:cs="Arial"/>
                <w:sz w:val="22"/>
                <w:szCs w:val="22"/>
              </w:rPr>
              <w:t>Human</w:t>
            </w:r>
          </w:p>
        </w:tc>
      </w:tr>
      <w:tr w:rsidR="00F55024" w:rsidRPr="00FB7F43" w:rsidTr="00A7768B">
        <w:tc>
          <w:tcPr>
            <w:tcW w:w="1728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L. major</w:t>
            </w:r>
          </w:p>
        </w:tc>
        <w:tc>
          <w:tcPr>
            <w:tcW w:w="144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sz w:val="22"/>
                <w:szCs w:val="22"/>
              </w:rPr>
              <w:t>CL</w:t>
            </w:r>
          </w:p>
        </w:tc>
        <w:tc>
          <w:tcPr>
            <w:tcW w:w="198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P. </w:t>
            </w:r>
            <w:proofErr w:type="spellStart"/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papatasi</w:t>
            </w:r>
            <w:proofErr w:type="spellEnd"/>
          </w:p>
        </w:tc>
        <w:tc>
          <w:tcPr>
            <w:tcW w:w="216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 w:line="313" w:lineRule="atLeast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024" w:rsidRPr="00FB7F43" w:rsidTr="00A7768B">
        <w:tc>
          <w:tcPr>
            <w:tcW w:w="1728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i/>
                <w:iCs/>
                <w:sz w:val="22"/>
                <w:szCs w:val="22"/>
              </w:rPr>
              <w:t>L. infantum</w:t>
            </w:r>
          </w:p>
        </w:tc>
        <w:tc>
          <w:tcPr>
            <w:tcW w:w="144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sz w:val="22"/>
                <w:szCs w:val="22"/>
              </w:rPr>
              <w:t>VL</w:t>
            </w:r>
          </w:p>
        </w:tc>
        <w:tc>
          <w:tcPr>
            <w:tcW w:w="198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721B2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2160" w:type="dxa"/>
            <w:vAlign w:val="center"/>
          </w:tcPr>
          <w:p w:rsidR="00F55024" w:rsidRPr="006721B2" w:rsidRDefault="00F55024" w:rsidP="00A7768B">
            <w:pPr>
              <w:pStyle w:val="NormalWeb"/>
              <w:spacing w:before="0" w:beforeAutospacing="0" w:after="0" w:afterAutospacing="0" w:line="313" w:lineRule="atLeast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5024" w:rsidRPr="003718A7" w:rsidRDefault="00F55024" w:rsidP="00F55024">
      <w:pPr>
        <w:ind w:left="0" w:firstLine="0"/>
        <w:rPr>
          <w:lang w:val="en-GB"/>
        </w:rPr>
      </w:pPr>
    </w:p>
    <w:p w:rsidR="00F55024" w:rsidRDefault="00F55024" w:rsidP="00F55024">
      <w:pPr>
        <w:rPr>
          <w:lang w:val="en-GB"/>
        </w:rPr>
      </w:pPr>
    </w:p>
    <w:p w:rsidR="00F55024" w:rsidRPr="003718A7" w:rsidRDefault="00F55024" w:rsidP="00F55024">
      <w:pPr>
        <w:rPr>
          <w:b/>
          <w:bCs/>
          <w:sz w:val="22"/>
          <w:lang w:val="en-GB"/>
        </w:rPr>
      </w:pPr>
      <w:r w:rsidRPr="003718A7">
        <w:rPr>
          <w:b/>
          <w:bCs/>
          <w:sz w:val="22"/>
          <w:lang w:val="en-GB"/>
        </w:rPr>
        <w:t>MAPS AND TRENDS</w:t>
      </w: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Visceral leishmaniasis</w:t>
      </w:r>
    </w:p>
    <w:p w:rsidR="00F55024" w:rsidRDefault="00F55024" w:rsidP="00F55024">
      <w:pPr>
        <w:rPr>
          <w:b/>
          <w:bCs/>
          <w:sz w:val="22"/>
          <w:lang w:val="en-GB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145415</wp:posOffset>
            </wp:positionV>
            <wp:extent cx="3354070" cy="2372360"/>
            <wp:effectExtent l="19050" t="0" r="0" b="0"/>
            <wp:wrapNone/>
            <wp:docPr id="5" name="Picture 5" descr="IQV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QVLmod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237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145415</wp:posOffset>
            </wp:positionV>
            <wp:extent cx="3200400" cy="2263140"/>
            <wp:effectExtent l="19050" t="0" r="0" b="0"/>
            <wp:wrapNone/>
            <wp:docPr id="6" name="Picture 6" descr="IQV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QVLIRm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6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>Cutaneous leishmaniasis</w:t>
      </w:r>
    </w:p>
    <w:p w:rsidR="00F55024" w:rsidRDefault="00F55024" w:rsidP="00F55024">
      <w:pPr>
        <w:rPr>
          <w:b/>
          <w:bCs/>
          <w:sz w:val="22"/>
          <w:lang w:val="en-GB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-558248</wp:posOffset>
            </wp:positionH>
            <wp:positionV relativeFrom="paragraph">
              <wp:posOffset>30176</wp:posOffset>
            </wp:positionV>
            <wp:extent cx="3527232" cy="2496709"/>
            <wp:effectExtent l="19050" t="0" r="0" b="0"/>
            <wp:wrapNone/>
            <wp:docPr id="7" name="Picture 7" descr="IQCLm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QCLmod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232" cy="2496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024" w:rsidRDefault="00F55024" w:rsidP="00F55024">
      <w:pPr>
        <w:rPr>
          <w:b/>
          <w:bCs/>
          <w:sz w:val="22"/>
          <w:lang w:val="en-GB"/>
        </w:rPr>
      </w:pP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21590</wp:posOffset>
            </wp:positionV>
            <wp:extent cx="3429000" cy="2424430"/>
            <wp:effectExtent l="19050" t="0" r="0" b="0"/>
            <wp:wrapNone/>
            <wp:docPr id="8" name="Picture 8" descr="IQCLI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QCLIRm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2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Pr="00702181" w:rsidRDefault="00F55024" w:rsidP="00F55024">
      <w:pPr>
        <w:rPr>
          <w:b/>
          <w:bCs/>
          <w:sz w:val="22"/>
          <w:u w:val="single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200660</wp:posOffset>
            </wp:positionV>
            <wp:extent cx="7649210" cy="2465070"/>
            <wp:effectExtent l="0" t="0" r="0" b="0"/>
            <wp:wrapNone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b/>
          <w:bCs/>
          <w:sz w:val="22"/>
          <w:lang w:val="en-GB"/>
        </w:rPr>
        <w:t>Visceral leishmaniasis trend</w:t>
      </w: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Default="00F55024" w:rsidP="00F55024">
      <w:pPr>
        <w:spacing w:line="480" w:lineRule="auto"/>
        <w:ind w:left="0" w:firstLine="0"/>
        <w:rPr>
          <w:b/>
          <w:bCs/>
          <w:sz w:val="22"/>
          <w:lang w:val="en-GB"/>
        </w:rPr>
      </w:pPr>
    </w:p>
    <w:p w:rsidR="00F55024" w:rsidRPr="002C1ED7" w:rsidRDefault="00F55024" w:rsidP="00F55024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Cutaneous leishmaniasis trend</w:t>
      </w:r>
      <w:r>
        <w:rPr>
          <w:b/>
          <w:bCs/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274955</wp:posOffset>
            </wp:positionV>
            <wp:extent cx="8232775" cy="2504440"/>
            <wp:effectExtent l="0" t="0" r="0" b="0"/>
            <wp:wrapNone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  <w:r>
        <w:rPr>
          <w:b/>
          <w:vanish/>
          <w:sz w:val="22"/>
          <w:lang w:val="en-US"/>
        </w:rPr>
        <w:lastRenderedPageBreak/>
        <w:t>Cutaneous leishmaniasis trend</w:t>
      </w: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spacing w:line="480" w:lineRule="auto"/>
        <w:ind w:left="0" w:firstLine="0"/>
        <w:rPr>
          <w:b/>
          <w:vanish/>
          <w:sz w:val="22"/>
          <w:lang w:val="en-US"/>
        </w:rPr>
      </w:pPr>
    </w:p>
    <w:p w:rsidR="00F55024" w:rsidRDefault="00F55024" w:rsidP="00F55024">
      <w:pPr>
        <w:rPr>
          <w:b/>
          <w:sz w:val="22"/>
          <w:lang w:val="en-US"/>
        </w:rPr>
      </w:pPr>
      <w:r w:rsidRPr="009975E6">
        <w:rPr>
          <w:b/>
          <w:sz w:val="22"/>
          <w:lang w:val="en-US"/>
        </w:rPr>
        <w:t>CONTROL</w:t>
      </w:r>
    </w:p>
    <w:p w:rsidR="00F55024" w:rsidRPr="009975E6" w:rsidRDefault="00F55024" w:rsidP="00F55024">
      <w:pPr>
        <w:rPr>
          <w:b/>
          <w:sz w:val="22"/>
          <w:lang w:val="en-US"/>
        </w:rPr>
      </w:pPr>
    </w:p>
    <w:p w:rsidR="00F55024" w:rsidRDefault="00F55024" w:rsidP="00F55024">
      <w:pPr>
        <w:ind w:left="0" w:firstLine="0"/>
        <w:rPr>
          <w:bCs/>
          <w:sz w:val="22"/>
          <w:lang w:val="en-US"/>
        </w:rPr>
      </w:pPr>
      <w:r w:rsidRPr="009975E6">
        <w:rPr>
          <w:bCs/>
          <w:sz w:val="22"/>
          <w:lang w:val="en-GB"/>
        </w:rPr>
        <w:t xml:space="preserve">Notification of </w:t>
      </w:r>
      <w:r>
        <w:rPr>
          <w:bCs/>
          <w:sz w:val="22"/>
          <w:lang w:val="en-GB"/>
        </w:rPr>
        <w:t>l</w:t>
      </w:r>
      <w:r w:rsidRPr="009975E6">
        <w:rPr>
          <w:bCs/>
          <w:sz w:val="22"/>
          <w:lang w:val="en-GB"/>
        </w:rPr>
        <w:t>eishmaniasis is mandatory in Ira</w:t>
      </w:r>
      <w:r>
        <w:rPr>
          <w:bCs/>
          <w:sz w:val="22"/>
          <w:lang w:val="en-GB"/>
        </w:rPr>
        <w:t>q</w:t>
      </w:r>
      <w:r w:rsidRPr="009975E6">
        <w:rPr>
          <w:bCs/>
          <w:sz w:val="22"/>
          <w:lang w:val="en-GB"/>
        </w:rPr>
        <w:t xml:space="preserve">. </w:t>
      </w:r>
      <w:r>
        <w:rPr>
          <w:bCs/>
          <w:sz w:val="22"/>
          <w:lang w:val="en-GB"/>
        </w:rPr>
        <w:t>A</w:t>
      </w:r>
      <w:r w:rsidRPr="009975E6">
        <w:rPr>
          <w:bCs/>
          <w:sz w:val="22"/>
          <w:lang w:val="en-US"/>
        </w:rPr>
        <w:t xml:space="preserve"> national </w:t>
      </w:r>
      <w:r>
        <w:rPr>
          <w:bCs/>
          <w:sz w:val="22"/>
          <w:lang w:val="en-US"/>
        </w:rPr>
        <w:t>l</w:t>
      </w:r>
      <w:r w:rsidRPr="009975E6">
        <w:rPr>
          <w:bCs/>
          <w:sz w:val="22"/>
          <w:lang w:val="en-US"/>
        </w:rPr>
        <w:t xml:space="preserve">eishmaniasis control program </w:t>
      </w:r>
      <w:r>
        <w:rPr>
          <w:bCs/>
          <w:sz w:val="22"/>
          <w:lang w:val="en-US"/>
        </w:rPr>
        <w:t xml:space="preserve">has been </w:t>
      </w:r>
      <w:r w:rsidRPr="009975E6">
        <w:rPr>
          <w:bCs/>
          <w:sz w:val="22"/>
          <w:lang w:val="en-US"/>
        </w:rPr>
        <w:t>in effect since 1970</w:t>
      </w:r>
      <w:r>
        <w:rPr>
          <w:bCs/>
          <w:sz w:val="22"/>
          <w:lang w:val="en-US"/>
        </w:rPr>
        <w:t xml:space="preserve"> for VL, but not for CL</w:t>
      </w:r>
      <w:r w:rsidRPr="009975E6">
        <w:rPr>
          <w:bCs/>
          <w:sz w:val="22"/>
          <w:lang w:val="en-US"/>
        </w:rPr>
        <w:t>.</w:t>
      </w:r>
      <w:r>
        <w:rPr>
          <w:bCs/>
          <w:sz w:val="22"/>
          <w:lang w:val="en-US"/>
        </w:rPr>
        <w:t xml:space="preserve"> Case detection is passive.</w:t>
      </w:r>
      <w:r w:rsidRPr="009975E6">
        <w:rPr>
          <w:bCs/>
          <w:sz w:val="22"/>
          <w:lang w:val="en-US"/>
        </w:rPr>
        <w:t xml:space="preserve"> </w:t>
      </w:r>
      <w:r>
        <w:rPr>
          <w:bCs/>
          <w:sz w:val="22"/>
          <w:lang w:val="en-US"/>
        </w:rPr>
        <w:t>A</w:t>
      </w:r>
      <w:r w:rsidRPr="009975E6">
        <w:rPr>
          <w:bCs/>
          <w:sz w:val="22"/>
          <w:lang w:val="en-US"/>
        </w:rPr>
        <w:t xml:space="preserve"> vector control program </w:t>
      </w:r>
      <w:r>
        <w:rPr>
          <w:bCs/>
          <w:sz w:val="22"/>
          <w:lang w:val="en-US"/>
        </w:rPr>
        <w:t xml:space="preserve">is </w:t>
      </w:r>
      <w:r w:rsidRPr="009975E6">
        <w:rPr>
          <w:bCs/>
          <w:sz w:val="22"/>
          <w:lang w:val="en-US"/>
        </w:rPr>
        <w:t xml:space="preserve">in place that includes </w:t>
      </w:r>
      <w:proofErr w:type="spellStart"/>
      <w:r w:rsidRPr="009975E6">
        <w:rPr>
          <w:bCs/>
          <w:sz w:val="22"/>
          <w:lang w:val="en-US"/>
        </w:rPr>
        <w:t>bednet</w:t>
      </w:r>
      <w:proofErr w:type="spellEnd"/>
      <w:r w:rsidRPr="009975E6">
        <w:rPr>
          <w:bCs/>
          <w:sz w:val="22"/>
          <w:lang w:val="en-US"/>
        </w:rPr>
        <w:t xml:space="preserve"> distribution and regular insecticide spraying. The leishmaniasis reservoir control program includes the sacrifice of positive dogs </w:t>
      </w:r>
      <w:r>
        <w:rPr>
          <w:bCs/>
          <w:sz w:val="22"/>
          <w:lang w:val="en-US"/>
        </w:rPr>
        <w:t xml:space="preserve">(VL) </w:t>
      </w:r>
      <w:r w:rsidRPr="009975E6">
        <w:rPr>
          <w:bCs/>
          <w:sz w:val="22"/>
          <w:lang w:val="en-US"/>
        </w:rPr>
        <w:t>and regular rodent control</w:t>
      </w:r>
      <w:r>
        <w:rPr>
          <w:bCs/>
          <w:sz w:val="22"/>
          <w:lang w:val="en-US"/>
        </w:rPr>
        <w:t xml:space="preserve"> (CL)</w:t>
      </w:r>
      <w:r w:rsidRPr="009975E6">
        <w:rPr>
          <w:bCs/>
          <w:sz w:val="22"/>
          <w:lang w:val="en-US"/>
        </w:rPr>
        <w:t xml:space="preserve"> Due to a lack of budget and political commitment, the control program has not been efficient in controlling CL and VL. </w:t>
      </w:r>
    </w:p>
    <w:p w:rsidR="00F55024" w:rsidRDefault="00F55024" w:rsidP="00F55024">
      <w:pPr>
        <w:ind w:left="0" w:firstLine="0"/>
        <w:rPr>
          <w:bCs/>
          <w:sz w:val="22"/>
          <w:lang w:val="en-US"/>
        </w:rPr>
      </w:pPr>
    </w:p>
    <w:p w:rsidR="00F55024" w:rsidRPr="009975E6" w:rsidRDefault="00F55024" w:rsidP="00F55024">
      <w:pPr>
        <w:ind w:left="0" w:firstLine="0"/>
        <w:rPr>
          <w:bCs/>
          <w:sz w:val="22"/>
          <w:lang w:val="en-GB"/>
        </w:rPr>
      </w:pPr>
    </w:p>
    <w:p w:rsidR="00F55024" w:rsidRDefault="00F55024" w:rsidP="00F55024">
      <w:pPr>
        <w:rPr>
          <w:b/>
          <w:bCs/>
          <w:sz w:val="22"/>
          <w:lang w:val="en-US"/>
        </w:rPr>
      </w:pPr>
      <w:r w:rsidRPr="00DE30B2">
        <w:rPr>
          <w:b/>
          <w:bCs/>
          <w:sz w:val="22"/>
          <w:lang w:val="en-US"/>
        </w:rPr>
        <w:t>DIAGNOSIS</w:t>
      </w:r>
      <w:r>
        <w:rPr>
          <w:b/>
          <w:bCs/>
          <w:sz w:val="22"/>
          <w:lang w:val="en-US"/>
        </w:rPr>
        <w:t>, TREATMENT</w:t>
      </w:r>
    </w:p>
    <w:p w:rsidR="00F55024" w:rsidRPr="00DE30B2" w:rsidRDefault="00F55024" w:rsidP="00F55024">
      <w:pPr>
        <w:rPr>
          <w:b/>
          <w:bCs/>
          <w:sz w:val="22"/>
          <w:lang w:val="en-US"/>
        </w:rPr>
      </w:pPr>
    </w:p>
    <w:p w:rsidR="00F55024" w:rsidRPr="00D0498E" w:rsidRDefault="00F55024" w:rsidP="00F55024">
      <w:pPr>
        <w:ind w:left="360" w:hanging="360"/>
        <w:rPr>
          <w:b/>
          <w:sz w:val="22"/>
          <w:lang w:val="en-US"/>
        </w:rPr>
      </w:pPr>
      <w:r w:rsidRPr="00D0498E">
        <w:rPr>
          <w:b/>
          <w:sz w:val="22"/>
          <w:lang w:val="en-US"/>
        </w:rPr>
        <w:t>Diagnosis</w:t>
      </w:r>
    </w:p>
    <w:p w:rsidR="00F55024" w:rsidRPr="00EF6EC8" w:rsidRDefault="00F55024" w:rsidP="00F55024">
      <w:pPr>
        <w:ind w:left="0" w:firstLine="0"/>
        <w:rPr>
          <w:sz w:val="22"/>
        </w:rPr>
      </w:pPr>
      <w:r w:rsidRPr="00EF6EC8">
        <w:rPr>
          <w:sz w:val="22"/>
        </w:rPr>
        <w:t xml:space="preserve">VL: </w:t>
      </w:r>
      <w:proofErr w:type="spellStart"/>
      <w:r w:rsidRPr="00EF6EC8">
        <w:rPr>
          <w:sz w:val="22"/>
        </w:rPr>
        <w:t>rapid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diagnostic</w:t>
      </w:r>
      <w:proofErr w:type="spellEnd"/>
      <w:r w:rsidRPr="00EF6EC8">
        <w:rPr>
          <w:sz w:val="22"/>
        </w:rPr>
        <w:t xml:space="preserve"> rK39 </w:t>
      </w:r>
      <w:proofErr w:type="spellStart"/>
      <w:r w:rsidRPr="00EF6EC8">
        <w:rPr>
          <w:sz w:val="22"/>
        </w:rPr>
        <w:t>antigen-based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tests</w:t>
      </w:r>
      <w:proofErr w:type="spellEnd"/>
      <w:r w:rsidRPr="00EF6EC8">
        <w:rPr>
          <w:sz w:val="22"/>
        </w:rPr>
        <w:t xml:space="preserve">, IFAT and </w:t>
      </w:r>
      <w:proofErr w:type="spellStart"/>
      <w:r w:rsidRPr="00EF6EC8">
        <w:rPr>
          <w:sz w:val="22"/>
        </w:rPr>
        <w:t>microscopic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examination</w:t>
      </w:r>
      <w:proofErr w:type="spellEnd"/>
      <w:r w:rsidRPr="00EF6EC8">
        <w:rPr>
          <w:sz w:val="22"/>
        </w:rPr>
        <w:t xml:space="preserve"> of </w:t>
      </w:r>
      <w:proofErr w:type="spellStart"/>
      <w:r w:rsidRPr="00EF6EC8">
        <w:rPr>
          <w:sz w:val="22"/>
        </w:rPr>
        <w:t>bone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marrow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aspirate</w:t>
      </w:r>
      <w:proofErr w:type="spellEnd"/>
      <w:r w:rsidRPr="00EF6EC8">
        <w:rPr>
          <w:sz w:val="22"/>
        </w:rPr>
        <w:t>.</w:t>
      </w:r>
    </w:p>
    <w:p w:rsidR="00F55024" w:rsidRPr="009975E6" w:rsidRDefault="00F55024" w:rsidP="00F55024">
      <w:pPr>
        <w:ind w:left="0" w:firstLine="0"/>
        <w:rPr>
          <w:lang w:val="en-US"/>
        </w:rPr>
      </w:pPr>
      <w:r w:rsidRPr="00EF6EC8">
        <w:rPr>
          <w:sz w:val="22"/>
        </w:rPr>
        <w:t xml:space="preserve">CL: </w:t>
      </w:r>
      <w:proofErr w:type="spellStart"/>
      <w:r w:rsidRPr="00EF6EC8">
        <w:rPr>
          <w:sz w:val="22"/>
        </w:rPr>
        <w:t>on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clinical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grounds</w:t>
      </w:r>
      <w:proofErr w:type="spellEnd"/>
      <w:r w:rsidRPr="00EF6EC8">
        <w:rPr>
          <w:sz w:val="22"/>
        </w:rPr>
        <w:t xml:space="preserve">, </w:t>
      </w:r>
      <w:proofErr w:type="spellStart"/>
      <w:r w:rsidRPr="00EF6EC8">
        <w:rPr>
          <w:sz w:val="22"/>
        </w:rPr>
        <w:t>occasionally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confirmation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by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microscopic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examination</w:t>
      </w:r>
      <w:proofErr w:type="spellEnd"/>
      <w:r w:rsidRPr="00EF6EC8">
        <w:rPr>
          <w:sz w:val="22"/>
        </w:rPr>
        <w:t xml:space="preserve"> of </w:t>
      </w:r>
      <w:proofErr w:type="spellStart"/>
      <w:r w:rsidRPr="00EF6EC8">
        <w:rPr>
          <w:sz w:val="22"/>
        </w:rPr>
        <w:t>skin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lesion</w:t>
      </w:r>
      <w:proofErr w:type="spellEnd"/>
      <w:r w:rsidRPr="00EF6EC8">
        <w:rPr>
          <w:sz w:val="22"/>
        </w:rPr>
        <w:t xml:space="preserve"> </w:t>
      </w:r>
      <w:proofErr w:type="spellStart"/>
      <w:r w:rsidRPr="00EF6EC8">
        <w:rPr>
          <w:sz w:val="22"/>
        </w:rPr>
        <w:t>sample</w:t>
      </w:r>
      <w:proofErr w:type="spellEnd"/>
      <w:r>
        <w:rPr>
          <w:lang w:val="en-US"/>
        </w:rPr>
        <w:t xml:space="preserve">. </w:t>
      </w:r>
    </w:p>
    <w:p w:rsidR="00F55024" w:rsidRPr="009975E6" w:rsidRDefault="00F55024" w:rsidP="00F55024">
      <w:pPr>
        <w:rPr>
          <w:bCs/>
          <w:sz w:val="22"/>
          <w:lang w:val="en-US"/>
        </w:rPr>
      </w:pPr>
    </w:p>
    <w:p w:rsidR="00F55024" w:rsidRPr="00DE30B2" w:rsidRDefault="00F55024" w:rsidP="00F55024">
      <w:pPr>
        <w:rPr>
          <w:b/>
          <w:bCs/>
          <w:sz w:val="22"/>
          <w:lang w:val="en-US"/>
        </w:rPr>
      </w:pPr>
      <w:r w:rsidRPr="00DE30B2">
        <w:rPr>
          <w:b/>
          <w:bCs/>
          <w:sz w:val="22"/>
          <w:lang w:val="en-US"/>
        </w:rPr>
        <w:t>T</w:t>
      </w:r>
      <w:r>
        <w:rPr>
          <w:b/>
          <w:bCs/>
          <w:sz w:val="22"/>
          <w:lang w:val="en-US"/>
        </w:rPr>
        <w:t>reatment</w:t>
      </w:r>
    </w:p>
    <w:p w:rsidR="00F55024" w:rsidRPr="00EF6EC8" w:rsidRDefault="00F55024" w:rsidP="00F55024">
      <w:pPr>
        <w:ind w:left="0" w:firstLine="0"/>
        <w:rPr>
          <w:bCs/>
          <w:sz w:val="22"/>
          <w:lang w:val="en-US"/>
        </w:rPr>
      </w:pPr>
      <w:r w:rsidRPr="00EF6EC8">
        <w:rPr>
          <w:sz w:val="22"/>
          <w:lang w:val="en-US"/>
        </w:rPr>
        <w:t>VL</w:t>
      </w:r>
      <w:r w:rsidRPr="00EF6EC8">
        <w:rPr>
          <w:bCs/>
          <w:sz w:val="22"/>
          <w:lang w:val="en-US"/>
        </w:rPr>
        <w:t xml:space="preserve">: antimonials, 20 mg </w:t>
      </w:r>
      <w:proofErr w:type="spellStart"/>
      <w:r w:rsidRPr="00EF6EC8">
        <w:rPr>
          <w:bCs/>
          <w:sz w:val="22"/>
          <w:lang w:val="en-US"/>
        </w:rPr>
        <w:t>Sb</w:t>
      </w:r>
      <w:r w:rsidRPr="00EF6EC8">
        <w:rPr>
          <w:bCs/>
          <w:sz w:val="22"/>
          <w:vertAlign w:val="superscript"/>
          <w:lang w:val="en-US"/>
        </w:rPr>
        <w:t>v</w:t>
      </w:r>
      <w:proofErr w:type="spellEnd"/>
      <w:r w:rsidRPr="00EF6EC8">
        <w:rPr>
          <w:bCs/>
          <w:sz w:val="22"/>
          <w:lang w:val="en-US"/>
        </w:rPr>
        <w:t>/kg/day for 3 weeks. Treatment outcome for VL is a 90% cure rate, with a case fatality rate of 2.9 %. Serious side effects occur in 15% of cases.</w:t>
      </w:r>
    </w:p>
    <w:p w:rsidR="00F55024" w:rsidRPr="009975E6" w:rsidRDefault="00F55024" w:rsidP="00F55024">
      <w:pPr>
        <w:ind w:left="0" w:firstLine="0"/>
        <w:rPr>
          <w:bCs/>
          <w:sz w:val="22"/>
          <w:lang w:val="en-US"/>
        </w:rPr>
      </w:pPr>
      <w:r w:rsidRPr="00EF6EC8">
        <w:rPr>
          <w:sz w:val="22"/>
          <w:lang w:val="en-US"/>
        </w:rPr>
        <w:t>CL</w:t>
      </w:r>
      <w:r w:rsidRPr="00EF6EC8">
        <w:rPr>
          <w:bCs/>
          <w:sz w:val="22"/>
          <w:lang w:val="en-US"/>
        </w:rPr>
        <w:t>: for</w:t>
      </w:r>
      <w:r>
        <w:rPr>
          <w:bCs/>
          <w:sz w:val="22"/>
          <w:lang w:val="en-US"/>
        </w:rPr>
        <w:t xml:space="preserve"> severe cases: antimonials, </w:t>
      </w:r>
      <w:r w:rsidRPr="009975E6">
        <w:rPr>
          <w:bCs/>
          <w:sz w:val="22"/>
          <w:lang w:val="en-US"/>
        </w:rPr>
        <w:t>20 mg</w:t>
      </w:r>
      <w:r>
        <w:rPr>
          <w:bCs/>
          <w:sz w:val="22"/>
          <w:lang w:val="en-US"/>
        </w:rPr>
        <w:t xml:space="preserve"> </w:t>
      </w:r>
      <w:proofErr w:type="spellStart"/>
      <w:r w:rsidRPr="00CC6E04">
        <w:rPr>
          <w:bCs/>
          <w:sz w:val="22"/>
          <w:lang w:val="en-US"/>
        </w:rPr>
        <w:t>Sb</w:t>
      </w:r>
      <w:r w:rsidRPr="00CC6E04">
        <w:rPr>
          <w:bCs/>
          <w:sz w:val="22"/>
          <w:vertAlign w:val="superscript"/>
          <w:lang w:val="en-US"/>
        </w:rPr>
        <w:t>v</w:t>
      </w:r>
      <w:proofErr w:type="spellEnd"/>
      <w:r w:rsidRPr="009975E6">
        <w:rPr>
          <w:bCs/>
          <w:sz w:val="22"/>
          <w:lang w:val="en-US"/>
        </w:rPr>
        <w:t>/kg/day for 3 weeks</w:t>
      </w:r>
      <w:r>
        <w:rPr>
          <w:bCs/>
          <w:sz w:val="22"/>
          <w:lang w:val="en-US"/>
        </w:rPr>
        <w:t>. The c</w:t>
      </w:r>
      <w:r w:rsidRPr="009975E6">
        <w:rPr>
          <w:bCs/>
          <w:sz w:val="22"/>
          <w:lang w:val="en-US"/>
        </w:rPr>
        <w:t xml:space="preserve">ure rate is 80% and lesions </w:t>
      </w:r>
      <w:r w:rsidRPr="00164721">
        <w:rPr>
          <w:bCs/>
          <w:sz w:val="22"/>
          <w:lang w:val="en-US"/>
        </w:rPr>
        <w:t>reappear</w:t>
      </w:r>
      <w:r w:rsidRPr="009975E6">
        <w:rPr>
          <w:bCs/>
          <w:sz w:val="22"/>
          <w:lang w:val="en-US"/>
        </w:rPr>
        <w:t xml:space="preserve"> in 15% of cases. Severe adverse events are experienced in 1% of cases.   </w:t>
      </w:r>
    </w:p>
    <w:p w:rsidR="00F55024" w:rsidRDefault="00F55024" w:rsidP="00F55024">
      <w:pPr>
        <w:spacing w:line="360" w:lineRule="auto"/>
        <w:rPr>
          <w:b/>
          <w:bCs/>
          <w:sz w:val="22"/>
          <w:lang w:val="en-US"/>
        </w:rPr>
      </w:pPr>
    </w:p>
    <w:p w:rsidR="00F55024" w:rsidRPr="009975E6" w:rsidRDefault="00F55024" w:rsidP="00F55024">
      <w:pPr>
        <w:spacing w:line="360" w:lineRule="auto"/>
        <w:rPr>
          <w:bCs/>
          <w:sz w:val="22"/>
          <w:lang w:val="en-US"/>
        </w:rPr>
      </w:pPr>
      <w:r w:rsidRPr="009975E6">
        <w:rPr>
          <w:b/>
          <w:bCs/>
          <w:sz w:val="22"/>
          <w:lang w:val="en-US"/>
        </w:rPr>
        <w:t xml:space="preserve">ACCESS TO CARE </w:t>
      </w:r>
    </w:p>
    <w:p w:rsidR="00F55024" w:rsidRPr="009975E6" w:rsidRDefault="00F55024" w:rsidP="00F55024">
      <w:pPr>
        <w:pStyle w:val="NoSpacing"/>
        <w:jc w:val="both"/>
        <w:rPr>
          <w:rFonts w:ascii="Arial" w:hAnsi="Arial" w:cs="Arial"/>
        </w:rPr>
      </w:pPr>
      <w:r w:rsidRPr="009975E6">
        <w:rPr>
          <w:rFonts w:ascii="Arial" w:hAnsi="Arial" w:cs="Arial"/>
        </w:rPr>
        <w:t xml:space="preserve">Medical care is provided for free in </w:t>
      </w:r>
      <w:smartTag w:uri="urn:schemas-microsoft-com:office:smarttags" w:element="place">
        <w:smartTag w:uri="urn:schemas-microsoft-com:office:smarttags" w:element="country-region">
          <w:r w:rsidRPr="009975E6">
            <w:rPr>
              <w:rFonts w:ascii="Arial" w:hAnsi="Arial" w:cs="Arial"/>
            </w:rPr>
            <w:t>Iraq</w:t>
          </w:r>
        </w:smartTag>
      </w:smartTag>
      <w:r w:rsidRPr="009975E6">
        <w:rPr>
          <w:rFonts w:ascii="Arial" w:hAnsi="Arial" w:cs="Arial"/>
        </w:rPr>
        <w:t>, which includes care for leishmaniasis. In 2007 and 2008</w:t>
      </w:r>
      <w:r>
        <w:rPr>
          <w:rFonts w:ascii="Arial" w:hAnsi="Arial" w:cs="Arial"/>
        </w:rPr>
        <w:t>,</w:t>
      </w:r>
      <w:r w:rsidRPr="009975E6">
        <w:rPr>
          <w:rFonts w:ascii="Arial" w:hAnsi="Arial" w:cs="Arial"/>
        </w:rPr>
        <w:t xml:space="preserve"> the health </w:t>
      </w:r>
      <w:proofErr w:type="spellStart"/>
      <w:r w:rsidRPr="009975E6">
        <w:rPr>
          <w:rFonts w:ascii="Arial" w:hAnsi="Arial" w:cs="Arial"/>
        </w:rPr>
        <w:t>cente</w:t>
      </w:r>
      <w:r>
        <w:rPr>
          <w:rFonts w:ascii="Arial" w:hAnsi="Arial" w:cs="Arial"/>
        </w:rPr>
        <w:t>r</w:t>
      </w:r>
      <w:r w:rsidRPr="009975E6">
        <w:rPr>
          <w:rFonts w:ascii="Arial" w:hAnsi="Arial" w:cs="Arial"/>
        </w:rPr>
        <w:t>s</w:t>
      </w:r>
      <w:proofErr w:type="spellEnd"/>
      <w:r w:rsidRPr="009975E6">
        <w:rPr>
          <w:rFonts w:ascii="Arial" w:hAnsi="Arial" w:cs="Arial"/>
        </w:rPr>
        <w:t xml:space="preserve"> had </w:t>
      </w:r>
      <w:r>
        <w:rPr>
          <w:rFonts w:ascii="Arial" w:hAnsi="Arial" w:cs="Arial"/>
        </w:rPr>
        <w:t xml:space="preserve">the Ministry of Health's </w:t>
      </w:r>
      <w:r w:rsidRPr="009975E6">
        <w:rPr>
          <w:rFonts w:ascii="Arial" w:hAnsi="Arial" w:cs="Arial"/>
        </w:rPr>
        <w:t xml:space="preserve">permission to </w:t>
      </w:r>
      <w:r>
        <w:rPr>
          <w:rFonts w:ascii="Arial" w:hAnsi="Arial" w:cs="Arial"/>
        </w:rPr>
        <w:t>purchase</w:t>
      </w:r>
      <w:r w:rsidRPr="009975E6">
        <w:rPr>
          <w:rFonts w:ascii="Arial" w:hAnsi="Arial" w:cs="Arial"/>
        </w:rPr>
        <w:t xml:space="preserve"> antimonials </w:t>
      </w:r>
      <w:r>
        <w:rPr>
          <w:rFonts w:ascii="Arial" w:hAnsi="Arial" w:cs="Arial"/>
        </w:rPr>
        <w:t xml:space="preserve">(generic SSG, Albert David, </w:t>
      </w:r>
      <w:proofErr w:type="gramStart"/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India</w:t>
          </w:r>
        </w:smartTag>
      </w:smartTag>
      <w:proofErr w:type="gramEnd"/>
      <w:r>
        <w:rPr>
          <w:rFonts w:ascii="Arial" w:hAnsi="Arial" w:cs="Arial"/>
        </w:rPr>
        <w:t>) in</w:t>
      </w:r>
      <w:r w:rsidRPr="009975E6">
        <w:rPr>
          <w:rFonts w:ascii="Arial" w:hAnsi="Arial" w:cs="Arial"/>
        </w:rPr>
        <w:t xml:space="preserve"> the private sector </w:t>
      </w:r>
      <w:r>
        <w:rPr>
          <w:rFonts w:ascii="Arial" w:hAnsi="Arial" w:cs="Arial"/>
        </w:rPr>
        <w:t xml:space="preserve">in order </w:t>
      </w:r>
      <w:r w:rsidRPr="009975E6">
        <w:rPr>
          <w:rFonts w:ascii="Arial" w:hAnsi="Arial" w:cs="Arial"/>
        </w:rPr>
        <w:t>to prevent shortages. In 2009, WHO donated a</w:t>
      </w:r>
      <w:r>
        <w:rPr>
          <w:rFonts w:ascii="Arial" w:hAnsi="Arial" w:cs="Arial"/>
        </w:rPr>
        <w:t>n additional,</w:t>
      </w:r>
      <w:r w:rsidRPr="009975E6">
        <w:rPr>
          <w:rFonts w:ascii="Arial" w:hAnsi="Arial" w:cs="Arial"/>
        </w:rPr>
        <w:t xml:space="preserve"> small quantity of antimonials</w:t>
      </w:r>
      <w:r>
        <w:rPr>
          <w:rFonts w:ascii="Arial" w:hAnsi="Arial" w:cs="Arial"/>
        </w:rPr>
        <w:t xml:space="preserve"> (Glucantime, </w:t>
      </w:r>
      <w:proofErr w:type="spellStart"/>
      <w:r>
        <w:rPr>
          <w:rFonts w:ascii="Arial" w:hAnsi="Arial" w:cs="Arial"/>
        </w:rPr>
        <w:t>Sanofi</w:t>
      </w:r>
      <w:proofErr w:type="spellEnd"/>
      <w:r>
        <w:rPr>
          <w:rFonts w:ascii="Arial" w:hAnsi="Arial" w:cs="Arial"/>
        </w:rPr>
        <w:t>)</w:t>
      </w:r>
      <w:proofErr w:type="gramStart"/>
      <w:r w:rsidRPr="009975E6">
        <w:rPr>
          <w:rFonts w:ascii="Arial" w:hAnsi="Arial" w:cs="Arial"/>
        </w:rPr>
        <w:t>.</w:t>
      </w:r>
      <w:proofErr w:type="gramEnd"/>
      <w:r w:rsidRPr="009975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VL can be diagnosed and treated at health </w:t>
      </w:r>
      <w:proofErr w:type="spellStart"/>
      <w:r>
        <w:rPr>
          <w:rFonts w:ascii="Arial" w:hAnsi="Arial" w:cs="Arial"/>
        </w:rPr>
        <w:t>center</w:t>
      </w:r>
      <w:proofErr w:type="spellEnd"/>
      <w:r>
        <w:rPr>
          <w:rFonts w:ascii="Arial" w:hAnsi="Arial" w:cs="Arial"/>
        </w:rPr>
        <w:t xml:space="preserve"> level. All VL p</w:t>
      </w:r>
      <w:r w:rsidRPr="009975E6">
        <w:rPr>
          <w:rFonts w:ascii="Arial" w:hAnsi="Arial" w:cs="Arial"/>
        </w:rPr>
        <w:t xml:space="preserve">atients </w:t>
      </w:r>
      <w:r>
        <w:rPr>
          <w:rFonts w:ascii="Arial" w:hAnsi="Arial" w:cs="Arial"/>
        </w:rPr>
        <w:t xml:space="preserve">are thought to </w:t>
      </w:r>
      <w:r w:rsidRPr="009975E6">
        <w:rPr>
          <w:rFonts w:ascii="Arial" w:hAnsi="Arial" w:cs="Arial"/>
        </w:rPr>
        <w:t xml:space="preserve">have access to treatment in </w:t>
      </w:r>
      <w:smartTag w:uri="urn:schemas-microsoft-com:office:smarttags" w:element="place">
        <w:smartTag w:uri="urn:schemas-microsoft-com:office:smarttags" w:element="country-region">
          <w:r w:rsidRPr="009975E6">
            <w:rPr>
              <w:rFonts w:ascii="Arial" w:hAnsi="Arial" w:cs="Arial"/>
            </w:rPr>
            <w:t>Iraq</w:t>
          </w:r>
        </w:smartTag>
      </w:smartTag>
      <w:r w:rsidRPr="009975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CL often remains undiagnosed and untreated. The private sector is probably not used as treatment is available in the public sector. </w:t>
      </w:r>
    </w:p>
    <w:p w:rsidR="00F55024" w:rsidRDefault="00F55024" w:rsidP="00F55024">
      <w:pPr>
        <w:pStyle w:val="NoSpacing"/>
        <w:jc w:val="both"/>
        <w:rPr>
          <w:rFonts w:ascii="Arial" w:hAnsi="Arial" w:cs="Arial"/>
          <w:b/>
        </w:rPr>
      </w:pPr>
    </w:p>
    <w:p w:rsidR="00F55024" w:rsidRDefault="00F55024" w:rsidP="00F55024">
      <w:pPr>
        <w:pStyle w:val="NoSpacing"/>
        <w:jc w:val="both"/>
        <w:rPr>
          <w:rFonts w:ascii="Arial" w:hAnsi="Arial" w:cs="Arial"/>
          <w:b/>
        </w:rPr>
      </w:pPr>
    </w:p>
    <w:p w:rsidR="00F55024" w:rsidRPr="009975E6" w:rsidRDefault="00F55024" w:rsidP="00F55024">
      <w:pPr>
        <w:pStyle w:val="NoSpacing"/>
        <w:jc w:val="both"/>
        <w:rPr>
          <w:rFonts w:ascii="Arial" w:hAnsi="Arial" w:cs="Arial"/>
          <w:b/>
        </w:rPr>
      </w:pPr>
      <w:r w:rsidRPr="009975E6">
        <w:rPr>
          <w:rFonts w:ascii="Arial" w:hAnsi="Arial" w:cs="Arial"/>
          <w:b/>
        </w:rPr>
        <w:t>ACCESS TO DRUGS</w:t>
      </w:r>
    </w:p>
    <w:p w:rsidR="00F55024" w:rsidRPr="009975E6" w:rsidRDefault="00F55024" w:rsidP="00F55024">
      <w:pPr>
        <w:pStyle w:val="NoSpacing"/>
        <w:jc w:val="both"/>
        <w:rPr>
          <w:rFonts w:ascii="Arial" w:hAnsi="Arial" w:cs="Arial"/>
          <w:b/>
        </w:rPr>
      </w:pPr>
      <w:r w:rsidRPr="009975E6">
        <w:rPr>
          <w:rFonts w:ascii="Arial" w:hAnsi="Arial" w:cs="Arial"/>
          <w:b/>
        </w:rPr>
        <w:t xml:space="preserve"> </w:t>
      </w:r>
    </w:p>
    <w:p w:rsidR="00F55024" w:rsidRPr="00D86D92" w:rsidRDefault="00F55024" w:rsidP="00F55024">
      <w:pPr>
        <w:pStyle w:val="NoSpacing"/>
        <w:jc w:val="both"/>
        <w:rPr>
          <w:rFonts w:ascii="Arial" w:hAnsi="Arial" w:cs="Arial"/>
        </w:rPr>
      </w:pPr>
      <w:r w:rsidRPr="009975E6">
        <w:rPr>
          <w:rFonts w:ascii="Arial" w:hAnsi="Arial" w:cs="Arial"/>
        </w:rPr>
        <w:t xml:space="preserve">No other drugs than antimonials are included in the National Essential Drug List </w:t>
      </w:r>
      <w:r>
        <w:rPr>
          <w:rFonts w:ascii="Arial" w:hAnsi="Arial" w:cs="Arial"/>
        </w:rPr>
        <w:t xml:space="preserve">for VL and CL. Sodium stibogluconate (Pentostam, GSK) is the only drug registered for leishmaniasis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Iraq</w:t>
          </w:r>
        </w:smartTag>
      </w:smartTag>
      <w:r>
        <w:rPr>
          <w:rFonts w:ascii="Arial" w:hAnsi="Arial" w:cs="Arial"/>
        </w:rPr>
        <w:t>.</w:t>
      </w:r>
      <w:r w:rsidRPr="009975E6" w:rsidDel="00452A9C">
        <w:rPr>
          <w:rFonts w:ascii="Arial" w:hAnsi="Arial" w:cs="Arial"/>
        </w:rPr>
        <w:t xml:space="preserve"> </w:t>
      </w:r>
      <w:r w:rsidRPr="009975E6">
        <w:rPr>
          <w:rFonts w:ascii="Arial" w:hAnsi="Arial" w:cs="Arial"/>
        </w:rPr>
        <w:t xml:space="preserve">Antimonials are sold </w:t>
      </w:r>
      <w:r>
        <w:rPr>
          <w:rFonts w:ascii="Arial" w:hAnsi="Arial" w:cs="Arial"/>
        </w:rPr>
        <w:t>at</w:t>
      </w:r>
      <w:r w:rsidRPr="009975E6">
        <w:rPr>
          <w:rFonts w:ascii="Arial" w:hAnsi="Arial" w:cs="Arial"/>
        </w:rPr>
        <w:t xml:space="preserve"> private pharmacies (generic SSG by Albert David, </w:t>
      </w:r>
      <w:smartTag w:uri="urn:schemas-microsoft-com:office:smarttags" w:element="country-region">
        <w:smartTag w:uri="urn:schemas-microsoft-com:office:smarttags" w:element="place">
          <w:r w:rsidRPr="009975E6">
            <w:rPr>
              <w:rFonts w:ascii="Arial" w:hAnsi="Arial" w:cs="Arial"/>
            </w:rPr>
            <w:t>India</w:t>
          </w:r>
        </w:smartTag>
      </w:smartTag>
      <w:r w:rsidRPr="00D86D92">
        <w:rPr>
          <w:rFonts w:ascii="Arial" w:hAnsi="Arial" w:cs="Arial"/>
        </w:rPr>
        <w:t xml:space="preserve">). </w:t>
      </w:r>
    </w:p>
    <w:p w:rsidR="00F55024" w:rsidRDefault="00F55024" w:rsidP="00F55024">
      <w:pPr>
        <w:spacing w:line="360" w:lineRule="auto"/>
        <w:rPr>
          <w:b/>
          <w:bCs/>
          <w:sz w:val="22"/>
          <w:lang w:val="en-US"/>
        </w:rPr>
      </w:pPr>
    </w:p>
    <w:p w:rsidR="00F55024" w:rsidRDefault="00F55024" w:rsidP="00F55024">
      <w:pPr>
        <w:rPr>
          <w:b/>
          <w:bCs/>
          <w:sz w:val="22"/>
        </w:rPr>
      </w:pPr>
      <w:r w:rsidRPr="005A10C3">
        <w:rPr>
          <w:b/>
          <w:bCs/>
          <w:sz w:val="22"/>
        </w:rPr>
        <w:t>SOURCES OF INFORMATION</w:t>
      </w:r>
    </w:p>
    <w:p w:rsidR="00F55024" w:rsidRPr="005A10C3" w:rsidRDefault="00F55024" w:rsidP="00F55024">
      <w:pPr>
        <w:rPr>
          <w:b/>
          <w:bCs/>
          <w:sz w:val="22"/>
        </w:rPr>
      </w:pPr>
    </w:p>
    <w:p w:rsidR="00F55024" w:rsidRPr="00B83913" w:rsidRDefault="00F55024" w:rsidP="00F55024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  <w:lang w:val="es-CO"/>
        </w:rPr>
      </w:pPr>
      <w:proofErr w:type="spellStart"/>
      <w:r w:rsidRPr="00B83913">
        <w:rPr>
          <w:rFonts w:ascii="Arial" w:hAnsi="Arial" w:cs="Arial"/>
          <w:sz w:val="22"/>
          <w:szCs w:val="22"/>
          <w:lang w:val="es-CO"/>
        </w:rPr>
        <w:t>Dr</w:t>
      </w:r>
      <w:proofErr w:type="spellEnd"/>
      <w:r w:rsidRPr="00B83913">
        <w:rPr>
          <w:rFonts w:ascii="Arial" w:hAnsi="Arial" w:cs="Arial"/>
          <w:sz w:val="22"/>
          <w:szCs w:val="22"/>
          <w:lang w:val="es-CO"/>
        </w:rPr>
        <w:t xml:space="preserve"> Abdul </w:t>
      </w:r>
      <w:proofErr w:type="spellStart"/>
      <w:r w:rsidRPr="00B83913">
        <w:rPr>
          <w:rFonts w:ascii="Arial" w:hAnsi="Arial" w:cs="Arial"/>
          <w:sz w:val="22"/>
          <w:szCs w:val="22"/>
          <w:lang w:val="es-CO"/>
        </w:rPr>
        <w:t>Wadod</w:t>
      </w:r>
      <w:proofErr w:type="spellEnd"/>
      <w:r w:rsidRPr="00B83913">
        <w:rPr>
          <w:rFonts w:ascii="Arial" w:hAnsi="Arial" w:cs="Arial"/>
          <w:sz w:val="22"/>
          <w:szCs w:val="22"/>
          <w:lang w:val="es-CO"/>
        </w:rPr>
        <w:t xml:space="preserve"> Al-</w:t>
      </w:r>
      <w:proofErr w:type="spellStart"/>
      <w:r w:rsidRPr="00B83913">
        <w:rPr>
          <w:rFonts w:ascii="Arial" w:hAnsi="Arial" w:cs="Arial"/>
          <w:sz w:val="22"/>
          <w:szCs w:val="22"/>
          <w:lang w:val="es-CO"/>
        </w:rPr>
        <w:t>Khafaji</w:t>
      </w:r>
      <w:proofErr w:type="spellEnd"/>
      <w:r w:rsidRPr="00B83913">
        <w:rPr>
          <w:rFonts w:ascii="Arial" w:hAnsi="Arial" w:cs="Arial"/>
          <w:sz w:val="22"/>
          <w:szCs w:val="22"/>
          <w:lang w:val="es-CO"/>
        </w:rPr>
        <w:t>, CDC</w:t>
      </w:r>
      <w:r>
        <w:rPr>
          <w:rFonts w:ascii="Arial" w:hAnsi="Arial" w:cs="Arial"/>
          <w:sz w:val="22"/>
          <w:szCs w:val="22"/>
          <w:lang w:val="es-CO"/>
        </w:rPr>
        <w:t xml:space="preserve">, </w:t>
      </w:r>
      <w:proofErr w:type="spellStart"/>
      <w:r w:rsidRPr="00C26BC3">
        <w:rPr>
          <w:rFonts w:ascii="Arial" w:hAnsi="Arial" w:cs="Arial"/>
          <w:sz w:val="22"/>
          <w:szCs w:val="22"/>
          <w:lang w:val="es-CO"/>
        </w:rPr>
        <w:t>Baghdad</w:t>
      </w:r>
      <w:proofErr w:type="spellEnd"/>
      <w:r>
        <w:rPr>
          <w:rFonts w:ascii="Arial" w:hAnsi="Arial" w:cs="Arial"/>
          <w:sz w:val="22"/>
          <w:szCs w:val="22"/>
          <w:lang w:val="es-CO"/>
        </w:rPr>
        <w:t>.</w:t>
      </w:r>
    </w:p>
    <w:p w:rsidR="00F55024" w:rsidRPr="00C26BC3" w:rsidRDefault="00F55024" w:rsidP="00F55024">
      <w:pPr>
        <w:numPr>
          <w:ilvl w:val="0"/>
          <w:numId w:val="6"/>
        </w:numPr>
        <w:autoSpaceDE w:val="0"/>
        <w:autoSpaceDN w:val="0"/>
        <w:adjustRightInd w:val="0"/>
        <w:rPr>
          <w:i/>
          <w:iCs/>
          <w:sz w:val="22"/>
          <w:lang w:val="en-GB"/>
        </w:rPr>
      </w:pPr>
      <w:r>
        <w:rPr>
          <w:sz w:val="22"/>
          <w:lang w:val="en-GB"/>
        </w:rPr>
        <w:t xml:space="preserve">Dr. </w:t>
      </w:r>
      <w:proofErr w:type="spellStart"/>
      <w:r>
        <w:rPr>
          <w:sz w:val="22"/>
          <w:lang w:val="en-GB"/>
        </w:rPr>
        <w:t>Somaia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Badri</w:t>
      </w:r>
      <w:proofErr w:type="spellEnd"/>
      <w:r>
        <w:rPr>
          <w:sz w:val="22"/>
          <w:lang w:val="en-GB"/>
        </w:rPr>
        <w:t xml:space="preserve"> El-</w:t>
      </w:r>
      <w:proofErr w:type="spellStart"/>
      <w:r>
        <w:rPr>
          <w:sz w:val="22"/>
          <w:lang w:val="en-GB"/>
        </w:rPr>
        <w:t>twijri</w:t>
      </w:r>
      <w:proofErr w:type="spellEnd"/>
      <w:r>
        <w:rPr>
          <w:sz w:val="22"/>
          <w:lang w:val="en-GB"/>
        </w:rPr>
        <w:t>.</w:t>
      </w:r>
      <w:r w:rsidRPr="00D86D92">
        <w:rPr>
          <w:sz w:val="22"/>
          <w:lang w:val="en-GB"/>
        </w:rPr>
        <w:t xml:space="preserve"> </w:t>
      </w:r>
      <w:r>
        <w:rPr>
          <w:sz w:val="22"/>
          <w:lang w:val="en-GB"/>
        </w:rPr>
        <w:t>Z</w:t>
      </w:r>
      <w:r w:rsidRPr="00D86D92">
        <w:rPr>
          <w:sz w:val="22"/>
          <w:lang w:val="en-GB"/>
        </w:rPr>
        <w:t xml:space="preserve">oonotic </w:t>
      </w:r>
      <w:r>
        <w:rPr>
          <w:sz w:val="22"/>
          <w:lang w:val="en-GB"/>
        </w:rPr>
        <w:t>D</w:t>
      </w:r>
      <w:r w:rsidRPr="00D86D92">
        <w:rPr>
          <w:sz w:val="22"/>
          <w:lang w:val="en-GB"/>
        </w:rPr>
        <w:t>iseases</w:t>
      </w:r>
      <w:r>
        <w:rPr>
          <w:sz w:val="22"/>
          <w:lang w:val="en-GB"/>
        </w:rPr>
        <w:t xml:space="preserve">, Ministry of Health, </w:t>
      </w:r>
      <w:smartTag w:uri="urn:schemas-microsoft-com:office:smarttags" w:element="place">
        <w:smartTag w:uri="urn:schemas-microsoft-com:office:smarttags" w:element="City">
          <w:r w:rsidRPr="00C26BC3">
            <w:rPr>
              <w:sz w:val="22"/>
              <w:lang w:val="en-GB"/>
            </w:rPr>
            <w:t>Baghdad</w:t>
          </w:r>
        </w:smartTag>
      </w:smartTag>
      <w:r w:rsidRPr="00C26BC3">
        <w:rPr>
          <w:sz w:val="22"/>
          <w:lang w:val="en-GB"/>
        </w:rPr>
        <w:t xml:space="preserve">. </w:t>
      </w:r>
      <w:r w:rsidRPr="00C26BC3">
        <w:rPr>
          <w:i/>
          <w:iCs/>
          <w:sz w:val="22"/>
          <w:lang w:val="en-GB"/>
        </w:rPr>
        <w:t xml:space="preserve">WHO Consultative meeting on Cutaneous Leishmaniasis in EMRO countries, </w:t>
      </w:r>
      <w:smartTag w:uri="urn:schemas-microsoft-com:office:smarttags" w:element="City">
        <w:smartTag w:uri="urn:schemas-microsoft-com:office:smarttags" w:element="place">
          <w:r w:rsidRPr="00C26BC3">
            <w:rPr>
              <w:i/>
              <w:iCs/>
              <w:sz w:val="22"/>
              <w:lang w:val="en-GB"/>
            </w:rPr>
            <w:t>Geneva</w:t>
          </w:r>
        </w:smartTag>
      </w:smartTag>
      <w:r w:rsidRPr="00C26BC3">
        <w:rPr>
          <w:i/>
          <w:iCs/>
          <w:sz w:val="22"/>
          <w:lang w:val="en-GB"/>
        </w:rPr>
        <w:t>, 30 April to 2 May 2007</w:t>
      </w:r>
      <w:r>
        <w:rPr>
          <w:i/>
          <w:iCs/>
          <w:sz w:val="22"/>
          <w:lang w:val="en-GB"/>
        </w:rPr>
        <w:t>.</w:t>
      </w:r>
    </w:p>
    <w:p w:rsidR="00F55024" w:rsidRPr="00D86D92" w:rsidRDefault="00F55024" w:rsidP="00F55024">
      <w:pPr>
        <w:ind w:left="0" w:firstLine="0"/>
        <w:jc w:val="left"/>
        <w:rPr>
          <w:sz w:val="22"/>
          <w:lang w:val="en-GB"/>
        </w:rPr>
      </w:pPr>
    </w:p>
    <w:p w:rsidR="00F55024" w:rsidRDefault="00F55024" w:rsidP="00F55024">
      <w:pPr>
        <w:tabs>
          <w:tab w:val="left" w:pos="1240"/>
        </w:tabs>
        <w:autoSpaceDE w:val="0"/>
        <w:autoSpaceDN w:val="0"/>
        <w:adjustRightInd w:val="0"/>
        <w:ind w:left="360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:rsidR="00F55024" w:rsidRPr="00B83913" w:rsidRDefault="00F55024" w:rsidP="00F55024">
      <w:pPr>
        <w:numPr>
          <w:ilvl w:val="0"/>
          <w:numId w:val="5"/>
        </w:numPr>
        <w:ind w:left="360"/>
        <w:rPr>
          <w:sz w:val="22"/>
          <w:lang w:val="en-GB"/>
        </w:rPr>
      </w:pPr>
      <w:proofErr w:type="gramStart"/>
      <w:r w:rsidRPr="00D86D92">
        <w:rPr>
          <w:sz w:val="22"/>
          <w:lang w:val="en-GB"/>
        </w:rPr>
        <w:lastRenderedPageBreak/>
        <w:t>WHO</w:t>
      </w:r>
      <w:proofErr w:type="gramEnd"/>
      <w:r w:rsidRPr="00D86D92">
        <w:rPr>
          <w:sz w:val="22"/>
          <w:lang w:val="en-GB"/>
        </w:rPr>
        <w:t xml:space="preserve"> (2003) Communicable Disease Working Group on Emergencies, HQ Division of Communicable Disease Control, EMRO, WHO OFFICE, </w:t>
      </w:r>
      <w:smartTag w:uri="urn:schemas-microsoft-com:office:smarttags" w:element="place">
        <w:smartTag w:uri="urn:schemas-microsoft-com:office:smarttags" w:element="City">
          <w:r w:rsidRPr="00D86D92">
            <w:rPr>
              <w:sz w:val="22"/>
              <w:lang w:val="en-GB"/>
            </w:rPr>
            <w:t>Baghdad</w:t>
          </w:r>
        </w:smartTag>
      </w:smartTag>
      <w:r w:rsidRPr="00D86D92">
        <w:rPr>
          <w:sz w:val="22"/>
          <w:lang w:val="en-GB"/>
        </w:rPr>
        <w:t xml:space="preserve">. WHO Office, </w:t>
      </w:r>
      <w:smartTag w:uri="urn:schemas-microsoft-com:office:smarttags" w:element="place">
        <w:smartTag w:uri="urn:schemas-microsoft-com:office:smarttags" w:element="City">
          <w:r w:rsidRPr="00D86D92">
            <w:rPr>
              <w:sz w:val="22"/>
              <w:lang w:val="en-GB"/>
            </w:rPr>
            <w:t>Baghdad</w:t>
          </w:r>
        </w:smartTag>
      </w:smartTag>
      <w:r w:rsidRPr="00D86D92">
        <w:rPr>
          <w:sz w:val="22"/>
          <w:lang w:val="en-GB"/>
        </w:rPr>
        <w:t xml:space="preserve">. Communicable Disease </w:t>
      </w:r>
      <w:smartTag w:uri="urn:schemas-microsoft-com:office:smarttags" w:element="place">
        <w:smartTag w:uri="urn:schemas-microsoft-com:office:smarttags" w:element="City">
          <w:r w:rsidRPr="00D86D92">
            <w:rPr>
              <w:sz w:val="22"/>
              <w:lang w:val="en-GB"/>
            </w:rPr>
            <w:t>Toolkit</w:t>
          </w:r>
        </w:smartTag>
        <w:r w:rsidRPr="00D86D92">
          <w:rPr>
            <w:sz w:val="22"/>
            <w:lang w:val="en-GB"/>
          </w:rPr>
          <w:t xml:space="preserve">, </w:t>
        </w:r>
        <w:smartTag w:uri="urn:schemas-microsoft-com:office:smarttags" w:element="country-region">
          <w:r w:rsidRPr="00D86D92">
            <w:rPr>
              <w:sz w:val="22"/>
              <w:lang w:val="en-GB"/>
            </w:rPr>
            <w:t>IRAQ</w:t>
          </w:r>
        </w:smartTag>
      </w:smartTag>
      <w:r w:rsidRPr="00D86D92">
        <w:rPr>
          <w:sz w:val="22"/>
          <w:lang w:val="en-GB"/>
        </w:rPr>
        <w:t xml:space="preserve"> CRISIS. WHO 2003:39-44. </w:t>
      </w:r>
      <w:hyperlink r:id="rId12" w:history="1">
        <w:r w:rsidRPr="00D86D92">
          <w:rPr>
            <w:rStyle w:val="Hyperlink"/>
            <w:sz w:val="22"/>
            <w:lang w:val="en-GB"/>
          </w:rPr>
          <w:t>www.who.int/diseasecontrol_emergencies/toolkits/Iraq_profile_ok.pdf</w:t>
        </w:r>
      </w:hyperlink>
    </w:p>
    <w:p w:rsidR="00F55024" w:rsidRPr="00C361D3" w:rsidRDefault="00F55024" w:rsidP="00F55024">
      <w:pPr>
        <w:ind w:left="0" w:firstLine="0"/>
        <w:rPr>
          <w:sz w:val="22"/>
          <w:lang w:val="en-GB"/>
        </w:rPr>
      </w:pPr>
    </w:p>
    <w:p w:rsidR="00F55024" w:rsidRPr="00C361D3" w:rsidRDefault="00F55024" w:rsidP="00F55024">
      <w:pPr>
        <w:numPr>
          <w:ilvl w:val="0"/>
          <w:numId w:val="5"/>
        </w:numPr>
        <w:ind w:left="360"/>
        <w:rPr>
          <w:sz w:val="22"/>
          <w:lang w:val="en-GB"/>
        </w:rPr>
      </w:pPr>
      <w:proofErr w:type="spellStart"/>
      <w:r w:rsidRPr="00D86D92">
        <w:rPr>
          <w:sz w:val="22"/>
          <w:lang w:val="en-GB"/>
        </w:rPr>
        <w:t>Abdulghani</w:t>
      </w:r>
      <w:proofErr w:type="spellEnd"/>
      <w:r w:rsidRPr="00D86D92">
        <w:rPr>
          <w:sz w:val="22"/>
          <w:lang w:val="en-GB"/>
        </w:rPr>
        <w:t xml:space="preserve"> </w:t>
      </w:r>
      <w:proofErr w:type="spellStart"/>
      <w:r w:rsidRPr="00D86D92">
        <w:rPr>
          <w:sz w:val="22"/>
          <w:lang w:val="en-GB"/>
        </w:rPr>
        <w:t>Mohamad</w:t>
      </w:r>
      <w:proofErr w:type="spellEnd"/>
      <w:r w:rsidRPr="00D86D92">
        <w:rPr>
          <w:sz w:val="22"/>
          <w:lang w:val="en-GB"/>
        </w:rPr>
        <w:t xml:space="preserve"> </w:t>
      </w:r>
      <w:proofErr w:type="spellStart"/>
      <w:r w:rsidRPr="00D86D92">
        <w:rPr>
          <w:sz w:val="22"/>
          <w:lang w:val="en-GB"/>
        </w:rPr>
        <w:t>AlSamarai</w:t>
      </w:r>
      <w:proofErr w:type="spellEnd"/>
      <w:r w:rsidRPr="00D86D92">
        <w:rPr>
          <w:sz w:val="22"/>
          <w:lang w:val="en-GB"/>
        </w:rPr>
        <w:t xml:space="preserve">, Hussein </w:t>
      </w:r>
      <w:proofErr w:type="spellStart"/>
      <w:r w:rsidRPr="00D86D92">
        <w:rPr>
          <w:sz w:val="22"/>
          <w:lang w:val="en-GB"/>
        </w:rPr>
        <w:t>Saher</w:t>
      </w:r>
      <w:proofErr w:type="spellEnd"/>
      <w:r w:rsidRPr="00D86D92">
        <w:rPr>
          <w:sz w:val="22"/>
          <w:lang w:val="en-GB"/>
        </w:rPr>
        <w:t xml:space="preserve"> </w:t>
      </w:r>
      <w:proofErr w:type="spellStart"/>
      <w:r w:rsidRPr="00D86D92">
        <w:rPr>
          <w:sz w:val="22"/>
          <w:lang w:val="en-GB"/>
        </w:rPr>
        <w:t>AlObaidi</w:t>
      </w:r>
      <w:proofErr w:type="spellEnd"/>
      <w:r>
        <w:rPr>
          <w:sz w:val="22"/>
          <w:lang w:val="en-GB"/>
        </w:rPr>
        <w:t xml:space="preserve"> (2009).</w:t>
      </w:r>
      <w:r w:rsidRPr="00D86D92">
        <w:rPr>
          <w:sz w:val="22"/>
          <w:lang w:val="en-GB"/>
        </w:rPr>
        <w:t xml:space="preserve"> Cutaneous leishmaniasis in </w:t>
      </w:r>
      <w:smartTag w:uri="urn:schemas-microsoft-com:office:smarttags" w:element="country-region">
        <w:smartTag w:uri="urn:schemas-microsoft-com:office:smarttags" w:element="place">
          <w:r w:rsidRPr="00D86D92">
            <w:rPr>
              <w:sz w:val="22"/>
              <w:lang w:val="en-GB"/>
            </w:rPr>
            <w:t>Iraq</w:t>
          </w:r>
        </w:smartTag>
      </w:smartTag>
      <w:r w:rsidRPr="00D86D92">
        <w:rPr>
          <w:sz w:val="22"/>
          <w:lang w:val="en-GB"/>
        </w:rPr>
        <w:t xml:space="preserve">. </w:t>
      </w:r>
      <w:r w:rsidRPr="00C361D3">
        <w:rPr>
          <w:sz w:val="22"/>
          <w:lang w:val="en-GB"/>
        </w:rPr>
        <w:t>J Infect Developing Countries 3(2):123-129.</w:t>
      </w:r>
    </w:p>
    <w:sectPr w:rsidR="00F55024" w:rsidRPr="00C361D3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7571"/>
    <w:multiLevelType w:val="hybridMultilevel"/>
    <w:tmpl w:val="65AA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0CE6BCF"/>
    <w:multiLevelType w:val="hybridMultilevel"/>
    <w:tmpl w:val="1986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55024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0FCC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55024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24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ind w:left="1296" w:hanging="1296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ind w:left="1440" w:hanging="1440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NormalWeb">
    <w:name w:val="Normal (Web)"/>
    <w:basedOn w:val="Normal"/>
    <w:unhideWhenUsed/>
    <w:rsid w:val="00F5502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nhideWhenUsed/>
    <w:rsid w:val="00F55024"/>
    <w:rPr>
      <w:color w:val="0000FF"/>
      <w:u w:val="single"/>
    </w:rPr>
  </w:style>
  <w:style w:type="paragraph" w:styleId="NoSpacing">
    <w:name w:val="No Spacing"/>
    <w:qFormat/>
    <w:rsid w:val="00F55024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F55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24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who.int/diseasecontrol_emergencies/toolkits/Iraq_profile_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2.xml"/><Relationship Id="rId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2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1788413098236817E-2"/>
          <c:y val="6.451612903225809E-2"/>
          <c:w val="0.91561712846347632"/>
          <c:h val="0.729838709677419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0066CC"/>
            </a:solidFill>
            <a:ln w="12685">
              <a:solidFill>
                <a:srgbClr val="000000"/>
              </a:solidFill>
              <a:prstDash val="solid"/>
            </a:ln>
          </c:spPr>
          <c:cat>
            <c:numRef>
              <c:f>Sheet1!$B$1:$U$1</c:f>
              <c:numCache>
                <c:formatCode>General</c:formatCode>
                <c:ptCount val="20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</c:numCache>
            </c:numRef>
          </c:cat>
          <c:val>
            <c:numRef>
              <c:f>Sheet1!$B$2:$U$2</c:f>
              <c:numCache>
                <c:formatCode>General</c:formatCode>
                <c:ptCount val="20"/>
                <c:pt idx="0">
                  <c:v>491</c:v>
                </c:pt>
                <c:pt idx="1">
                  <c:v>576</c:v>
                </c:pt>
                <c:pt idx="2">
                  <c:v>3713</c:v>
                </c:pt>
                <c:pt idx="3">
                  <c:v>3866</c:v>
                </c:pt>
                <c:pt idx="4">
                  <c:v>3817</c:v>
                </c:pt>
                <c:pt idx="5">
                  <c:v>2787</c:v>
                </c:pt>
                <c:pt idx="6">
                  <c:v>3110</c:v>
                </c:pt>
                <c:pt idx="7">
                  <c:v>3434</c:v>
                </c:pt>
                <c:pt idx="8">
                  <c:v>794</c:v>
                </c:pt>
                <c:pt idx="9">
                  <c:v>874</c:v>
                </c:pt>
                <c:pt idx="10">
                  <c:v>744</c:v>
                </c:pt>
                <c:pt idx="11">
                  <c:v>2611</c:v>
                </c:pt>
                <c:pt idx="12">
                  <c:v>2893</c:v>
                </c:pt>
                <c:pt idx="13">
                  <c:v>3218</c:v>
                </c:pt>
                <c:pt idx="14">
                  <c:v>2526</c:v>
                </c:pt>
                <c:pt idx="15">
                  <c:v>3218</c:v>
                </c:pt>
                <c:pt idx="16">
                  <c:v>2028</c:v>
                </c:pt>
                <c:pt idx="17">
                  <c:v>1434</c:v>
                </c:pt>
                <c:pt idx="18">
                  <c:v>836</c:v>
                </c:pt>
                <c:pt idx="19">
                  <c:v>1041</c:v>
                </c:pt>
              </c:numCache>
            </c:numRef>
          </c:val>
        </c:ser>
        <c:gapDepth val="0"/>
        <c:shape val="box"/>
        <c:axId val="49996160"/>
        <c:axId val="52973568"/>
        <c:axId val="0"/>
      </c:bar3DChart>
      <c:catAx>
        <c:axId val="4999616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2973568"/>
        <c:crosses val="autoZero"/>
        <c:auto val="1"/>
        <c:lblAlgn val="ctr"/>
        <c:lblOffset val="100"/>
        <c:tickLblSkip val="2"/>
        <c:tickMarkSkip val="1"/>
      </c:catAx>
      <c:valAx>
        <c:axId val="52973568"/>
        <c:scaling>
          <c:orientation val="minMax"/>
        </c:scaling>
        <c:axPos val="l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49996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1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37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2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744730679156899E-2"/>
          <c:y val="6.3241106719367557E-2"/>
          <c:w val="0.92154566744730682"/>
          <c:h val="0.73517786561264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cases</c:v>
                </c:pt>
              </c:strCache>
            </c:strRef>
          </c:tx>
          <c:spPr>
            <a:solidFill>
              <a:srgbClr val="0066CC"/>
            </a:solidFill>
            <a:ln w="12697">
              <a:solidFill>
                <a:srgbClr val="000000"/>
              </a:solidFill>
              <a:prstDash val="solid"/>
            </a:ln>
          </c:spPr>
          <c:cat>
            <c:numRef>
              <c:f>Sheet1!$B$1:$U$1</c:f>
              <c:numCache>
                <c:formatCode>General</c:formatCode>
                <c:ptCount val="20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</c:numCache>
            </c:numRef>
          </c:cat>
          <c:val>
            <c:numRef>
              <c:f>Sheet1!$B$2:$U$2</c:f>
              <c:numCache>
                <c:formatCode>General</c:formatCode>
                <c:ptCount val="20"/>
                <c:pt idx="0">
                  <c:v>1829</c:v>
                </c:pt>
                <c:pt idx="1">
                  <c:v>1894</c:v>
                </c:pt>
                <c:pt idx="2">
                  <c:v>8233</c:v>
                </c:pt>
                <c:pt idx="3">
                  <c:v>8779</c:v>
                </c:pt>
                <c:pt idx="4">
                  <c:v>7378</c:v>
                </c:pt>
                <c:pt idx="5">
                  <c:v>6662</c:v>
                </c:pt>
                <c:pt idx="6">
                  <c:v>7703</c:v>
                </c:pt>
                <c:pt idx="7">
                  <c:v>7606</c:v>
                </c:pt>
                <c:pt idx="8">
                  <c:v>2939</c:v>
                </c:pt>
                <c:pt idx="9">
                  <c:v>2985</c:v>
                </c:pt>
                <c:pt idx="10">
                  <c:v>1390</c:v>
                </c:pt>
                <c:pt idx="11">
                  <c:v>995</c:v>
                </c:pt>
                <c:pt idx="12">
                  <c:v>625</c:v>
                </c:pt>
                <c:pt idx="13">
                  <c:v>318</c:v>
                </c:pt>
                <c:pt idx="14">
                  <c:v>564</c:v>
                </c:pt>
                <c:pt idx="15">
                  <c:v>2595</c:v>
                </c:pt>
                <c:pt idx="16">
                  <c:v>2435</c:v>
                </c:pt>
                <c:pt idx="17">
                  <c:v>1339</c:v>
                </c:pt>
                <c:pt idx="18">
                  <c:v>655</c:v>
                </c:pt>
                <c:pt idx="19">
                  <c:v>1250</c:v>
                </c:pt>
              </c:numCache>
            </c:numRef>
          </c:val>
        </c:ser>
        <c:gapDepth val="0"/>
        <c:shape val="box"/>
        <c:axId val="53004544"/>
        <c:axId val="55517952"/>
        <c:axId val="0"/>
      </c:bar3DChart>
      <c:catAx>
        <c:axId val="5300454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5517952"/>
        <c:crosses val="autoZero"/>
        <c:auto val="1"/>
        <c:lblAlgn val="ctr"/>
        <c:lblOffset val="100"/>
        <c:tickLblSkip val="2"/>
        <c:tickMarkSkip val="1"/>
      </c:catAx>
      <c:valAx>
        <c:axId val="55517952"/>
        <c:scaling>
          <c:orientation val="minMax"/>
        </c:scaling>
        <c:axPos val="l"/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30045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</c:dTable>
      <c:spPr>
        <a:noFill/>
        <a:ln w="2539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2012-04-01T21:24:00Z</dcterms:created>
  <dcterms:modified xsi:type="dcterms:W3CDTF">2012-04-01T21:31:00Z</dcterms:modified>
</cp:coreProperties>
</file>