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412" w:rsidRPr="005472EF" w:rsidRDefault="006B0412" w:rsidP="006B0412">
      <w:pPr>
        <w:pStyle w:val="desc1"/>
        <w:shd w:val="clear" w:color="auto" w:fill="FFFFFF"/>
        <w:spacing w:before="0" w:beforeAutospacing="0" w:after="0" w:afterAutospacing="0"/>
        <w:rPr>
          <w:rFonts w:ascii="Arial" w:hAnsi="Arial" w:cs="Arial"/>
          <w:b/>
          <w:bCs/>
          <w:sz w:val="24"/>
          <w:szCs w:val="24"/>
          <w:u w:val="single"/>
        </w:rPr>
      </w:pPr>
      <w:smartTag w:uri="urn:schemas-microsoft-com:office:smarttags" w:element="place">
        <w:smartTag w:uri="urn:schemas-microsoft-com:office:smarttags" w:element="country-region">
          <w:r w:rsidRPr="005472EF">
            <w:rPr>
              <w:rFonts w:ascii="Arial" w:hAnsi="Arial" w:cs="Arial"/>
              <w:b/>
              <w:bCs/>
              <w:sz w:val="24"/>
              <w:szCs w:val="24"/>
              <w:u w:val="single"/>
            </w:rPr>
            <w:t>INDIA</w:t>
          </w:r>
        </w:smartTag>
      </w:smartTag>
    </w:p>
    <w:p w:rsidR="006B0412" w:rsidRPr="002C75B8" w:rsidRDefault="006B0412" w:rsidP="006B0412">
      <w:pPr>
        <w:ind w:left="0" w:firstLine="0"/>
        <w:rPr>
          <w:b/>
          <w:sz w:val="22"/>
          <w:u w:val="single"/>
        </w:rPr>
      </w:pPr>
    </w:p>
    <w:p w:rsidR="006B0412" w:rsidRPr="002C75B8" w:rsidRDefault="006B0412" w:rsidP="006B0412">
      <w:pPr>
        <w:ind w:left="0" w:firstLine="0"/>
        <w:rPr>
          <w:sz w:val="22"/>
          <w:lang w:val="en-US"/>
        </w:rPr>
      </w:pPr>
      <w:r>
        <w:rPr>
          <w:noProof/>
          <w:sz w:val="22"/>
          <w:lang w:val="en-US"/>
        </w:rPr>
        <w:drawing>
          <wp:inline distT="0" distB="0" distL="0" distR="0">
            <wp:extent cx="2743200" cy="183769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743200" cy="1837690"/>
                    </a:xfrm>
                    <a:prstGeom prst="rect">
                      <a:avLst/>
                    </a:prstGeom>
                    <a:noFill/>
                    <a:ln w="9525">
                      <a:noFill/>
                      <a:miter lim="800000"/>
                      <a:headEnd/>
                      <a:tailEnd/>
                    </a:ln>
                  </pic:spPr>
                </pic:pic>
              </a:graphicData>
            </a:graphic>
          </wp:inline>
        </w:drawing>
      </w: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r w:rsidRPr="002C75B8">
        <w:rPr>
          <w:b/>
          <w:sz w:val="22"/>
          <w:lang w:val="en-US"/>
        </w:rPr>
        <w:t>BASIC COUNTRY DATA</w:t>
      </w:r>
    </w:p>
    <w:p w:rsidR="006B0412" w:rsidRPr="002C75B8" w:rsidRDefault="006B0412" w:rsidP="006B0412">
      <w:pPr>
        <w:ind w:left="0" w:firstLine="0"/>
        <w:rPr>
          <w:b/>
          <w:sz w:val="22"/>
          <w:lang w:val="en-US"/>
        </w:rPr>
      </w:pPr>
    </w:p>
    <w:p w:rsidR="006B0412" w:rsidRPr="002C75B8" w:rsidRDefault="006B0412" w:rsidP="006B0412">
      <w:pPr>
        <w:ind w:left="0" w:firstLine="0"/>
        <w:rPr>
          <w:sz w:val="22"/>
          <w:lang w:val="en-US"/>
        </w:rPr>
      </w:pPr>
      <w:r w:rsidRPr="002C75B8">
        <w:rPr>
          <w:sz w:val="22"/>
          <w:lang w:val="en-US"/>
        </w:rPr>
        <w:t>Total Population: 1</w:t>
      </w:r>
      <w:r>
        <w:rPr>
          <w:sz w:val="22"/>
          <w:lang w:val="en-US"/>
        </w:rPr>
        <w:t>,</w:t>
      </w:r>
      <w:r w:rsidRPr="002C75B8">
        <w:rPr>
          <w:sz w:val="22"/>
          <w:lang w:val="en-US"/>
        </w:rPr>
        <w:t>1</w:t>
      </w:r>
      <w:r>
        <w:rPr>
          <w:sz w:val="22"/>
          <w:lang w:val="en-US"/>
        </w:rPr>
        <w:t>70,938,000</w:t>
      </w:r>
    </w:p>
    <w:p w:rsidR="006B0412" w:rsidRPr="002C75B8" w:rsidRDefault="006B0412" w:rsidP="006B0412">
      <w:pPr>
        <w:ind w:left="0" w:firstLine="0"/>
        <w:rPr>
          <w:sz w:val="22"/>
          <w:lang w:val="en-US"/>
        </w:rPr>
      </w:pPr>
      <w:r w:rsidRPr="002C75B8">
        <w:rPr>
          <w:sz w:val="22"/>
          <w:lang w:val="en-US"/>
        </w:rPr>
        <w:t>Population 0-14 years: 3</w:t>
      </w:r>
      <w:r>
        <w:rPr>
          <w:sz w:val="22"/>
          <w:lang w:val="en-US"/>
        </w:rPr>
        <w:t>1</w:t>
      </w:r>
      <w:r w:rsidRPr="002C75B8">
        <w:rPr>
          <w:sz w:val="22"/>
          <w:lang w:val="en-US"/>
        </w:rPr>
        <w:t>%</w:t>
      </w:r>
    </w:p>
    <w:p w:rsidR="006B0412" w:rsidRPr="002C75B8" w:rsidRDefault="006B0412" w:rsidP="006B0412">
      <w:pPr>
        <w:ind w:left="0" w:firstLine="0"/>
        <w:rPr>
          <w:sz w:val="22"/>
          <w:lang w:val="en-US"/>
        </w:rPr>
      </w:pPr>
      <w:r w:rsidRPr="002C75B8">
        <w:rPr>
          <w:sz w:val="22"/>
          <w:lang w:val="en-US"/>
        </w:rPr>
        <w:t>Rural population: 7</w:t>
      </w:r>
      <w:r>
        <w:rPr>
          <w:sz w:val="22"/>
          <w:lang w:val="en-US"/>
        </w:rPr>
        <w:t>0</w:t>
      </w:r>
      <w:r w:rsidRPr="002C75B8">
        <w:rPr>
          <w:sz w:val="22"/>
          <w:lang w:val="en-US"/>
        </w:rPr>
        <w:t>%</w:t>
      </w:r>
    </w:p>
    <w:p w:rsidR="006B0412" w:rsidRPr="002C75B8" w:rsidRDefault="006B0412" w:rsidP="006B0412">
      <w:pPr>
        <w:ind w:left="0" w:firstLine="0"/>
        <w:rPr>
          <w:sz w:val="22"/>
          <w:lang w:val="en-US"/>
        </w:rPr>
      </w:pPr>
      <w:r w:rsidRPr="002C75B8">
        <w:rPr>
          <w:sz w:val="22"/>
          <w:lang w:val="en-US"/>
        </w:rPr>
        <w:t>Population living under USD 1</w:t>
      </w:r>
      <w:r>
        <w:rPr>
          <w:sz w:val="22"/>
          <w:lang w:val="en-US"/>
        </w:rPr>
        <w:t>.</w:t>
      </w:r>
      <w:r w:rsidRPr="002C75B8">
        <w:rPr>
          <w:sz w:val="22"/>
          <w:lang w:val="en-US"/>
        </w:rPr>
        <w:t>25 a day: 4</w:t>
      </w:r>
      <w:r>
        <w:rPr>
          <w:sz w:val="22"/>
          <w:lang w:val="en-US"/>
        </w:rPr>
        <w:t>1.</w:t>
      </w:r>
      <w:r w:rsidRPr="002C75B8">
        <w:rPr>
          <w:sz w:val="22"/>
          <w:lang w:val="en-US"/>
        </w:rPr>
        <w:t>6%</w:t>
      </w:r>
    </w:p>
    <w:p w:rsidR="006B0412" w:rsidRPr="002C75B8" w:rsidRDefault="006B0412" w:rsidP="006B0412">
      <w:pPr>
        <w:ind w:left="0" w:firstLine="0"/>
        <w:rPr>
          <w:sz w:val="22"/>
          <w:lang w:val="en-US"/>
        </w:rPr>
      </w:pPr>
      <w:r w:rsidRPr="002C75B8">
        <w:rPr>
          <w:sz w:val="22"/>
          <w:lang w:val="en-US"/>
        </w:rPr>
        <w:t xml:space="preserve">Population living under the national poverty line: </w:t>
      </w:r>
      <w:r>
        <w:rPr>
          <w:sz w:val="22"/>
          <w:lang w:val="en-US"/>
        </w:rPr>
        <w:t>no data</w:t>
      </w:r>
    </w:p>
    <w:p w:rsidR="006B0412" w:rsidRPr="002C75B8" w:rsidRDefault="006B0412" w:rsidP="006B0412">
      <w:pPr>
        <w:ind w:left="0" w:firstLine="0"/>
        <w:rPr>
          <w:sz w:val="22"/>
          <w:lang w:val="en-US"/>
        </w:rPr>
      </w:pPr>
      <w:r w:rsidRPr="002C75B8">
        <w:rPr>
          <w:sz w:val="22"/>
          <w:lang w:val="en-US"/>
        </w:rPr>
        <w:t>Income status: Low</w:t>
      </w:r>
      <w:r>
        <w:rPr>
          <w:sz w:val="22"/>
          <w:lang w:val="en-US"/>
        </w:rPr>
        <w:t>er middle</w:t>
      </w:r>
      <w:r w:rsidRPr="002C75B8">
        <w:rPr>
          <w:sz w:val="22"/>
          <w:lang w:val="en-US"/>
        </w:rPr>
        <w:t xml:space="preserve"> income economy</w:t>
      </w:r>
    </w:p>
    <w:p w:rsidR="006B0412" w:rsidRPr="002C75B8" w:rsidRDefault="006B0412" w:rsidP="006B0412">
      <w:pPr>
        <w:ind w:left="0" w:firstLine="0"/>
        <w:rPr>
          <w:sz w:val="22"/>
          <w:lang w:val="en-US"/>
        </w:rPr>
      </w:pPr>
      <w:r w:rsidRPr="002C75B8">
        <w:rPr>
          <w:sz w:val="22"/>
          <w:lang w:val="en-US"/>
        </w:rPr>
        <w:t xml:space="preserve">Ranking: Medium </w:t>
      </w:r>
      <w:r>
        <w:rPr>
          <w:sz w:val="22"/>
          <w:lang w:val="en-US"/>
        </w:rPr>
        <w:t>h</w:t>
      </w:r>
      <w:r w:rsidRPr="002C75B8">
        <w:rPr>
          <w:sz w:val="22"/>
          <w:lang w:val="en-US"/>
        </w:rPr>
        <w:t xml:space="preserve">uman </w:t>
      </w:r>
      <w:r>
        <w:rPr>
          <w:sz w:val="22"/>
          <w:lang w:val="en-US"/>
        </w:rPr>
        <w:t>d</w:t>
      </w:r>
      <w:r w:rsidRPr="002C75B8">
        <w:rPr>
          <w:sz w:val="22"/>
          <w:lang w:val="en-US"/>
        </w:rPr>
        <w:t>evelopment (ranking 134)</w:t>
      </w:r>
    </w:p>
    <w:p w:rsidR="006B0412" w:rsidRPr="002C75B8" w:rsidRDefault="006B0412" w:rsidP="006B0412">
      <w:pPr>
        <w:ind w:left="0" w:firstLine="0"/>
        <w:rPr>
          <w:sz w:val="22"/>
          <w:lang w:val="en-US"/>
        </w:rPr>
      </w:pPr>
      <w:r w:rsidRPr="002C75B8">
        <w:rPr>
          <w:sz w:val="22"/>
          <w:lang w:val="en-US"/>
        </w:rPr>
        <w:t xml:space="preserve">Per capita total expenditure on health at average exchange rate (US dollar): </w:t>
      </w:r>
      <w:r>
        <w:rPr>
          <w:sz w:val="22"/>
          <w:lang w:val="en-US"/>
        </w:rPr>
        <w:t>45</w:t>
      </w:r>
    </w:p>
    <w:p w:rsidR="006B0412" w:rsidRPr="002C75B8" w:rsidRDefault="006B0412" w:rsidP="006B0412">
      <w:pPr>
        <w:ind w:left="0" w:firstLine="0"/>
        <w:rPr>
          <w:sz w:val="22"/>
          <w:lang w:val="en-US"/>
        </w:rPr>
      </w:pPr>
      <w:r w:rsidRPr="002C75B8">
        <w:rPr>
          <w:sz w:val="22"/>
          <w:lang w:val="en-US"/>
        </w:rPr>
        <w:t xml:space="preserve">Life expectancy at birth (years): </w:t>
      </w:r>
      <w:r>
        <w:rPr>
          <w:sz w:val="22"/>
          <w:lang w:val="en-US"/>
        </w:rPr>
        <w:t>65</w:t>
      </w:r>
    </w:p>
    <w:p w:rsidR="006B0412" w:rsidRPr="002C75B8" w:rsidRDefault="006B0412" w:rsidP="006B0412">
      <w:pPr>
        <w:ind w:left="0" w:firstLine="0"/>
        <w:rPr>
          <w:sz w:val="22"/>
          <w:lang w:val="en-US"/>
        </w:rPr>
      </w:pPr>
      <w:r w:rsidRPr="002C75B8">
        <w:rPr>
          <w:sz w:val="22"/>
          <w:lang w:val="en-US"/>
        </w:rPr>
        <w:t>Health</w:t>
      </w:r>
      <w:r>
        <w:rPr>
          <w:sz w:val="22"/>
          <w:lang w:val="en-US"/>
        </w:rPr>
        <w:t>y</w:t>
      </w:r>
      <w:r w:rsidRPr="002C75B8">
        <w:rPr>
          <w:sz w:val="22"/>
          <w:lang w:val="en-US"/>
        </w:rPr>
        <w:t xml:space="preserve"> life expectancy at birth (years): </w:t>
      </w:r>
      <w:r>
        <w:rPr>
          <w:sz w:val="22"/>
          <w:lang w:val="en-US"/>
        </w:rPr>
        <w:t>5</w:t>
      </w:r>
      <w:r w:rsidRPr="002C75B8">
        <w:rPr>
          <w:sz w:val="22"/>
          <w:lang w:val="en-US"/>
        </w:rPr>
        <w:t>3</w:t>
      </w:r>
    </w:p>
    <w:p w:rsidR="006B0412" w:rsidRPr="002C75B8" w:rsidRDefault="006B0412" w:rsidP="006B0412">
      <w:pPr>
        <w:ind w:left="0" w:firstLine="0"/>
        <w:rPr>
          <w:sz w:val="22"/>
          <w:lang w:val="en-US"/>
        </w:rPr>
      </w:pPr>
      <w:r w:rsidRPr="002C75B8">
        <w:rPr>
          <w:sz w:val="22"/>
          <w:lang w:val="en-US"/>
        </w:rPr>
        <w:t xml:space="preserve"> </w:t>
      </w:r>
    </w:p>
    <w:p w:rsidR="006B0412" w:rsidRPr="002C75B8" w:rsidRDefault="006B0412" w:rsidP="006B0412">
      <w:pPr>
        <w:ind w:left="0" w:firstLine="0"/>
        <w:rPr>
          <w:sz w:val="22"/>
          <w:lang w:val="en-US"/>
        </w:rPr>
      </w:pPr>
    </w:p>
    <w:p w:rsidR="006B0412" w:rsidRDefault="006B0412" w:rsidP="006B0412">
      <w:pPr>
        <w:ind w:left="0" w:firstLine="0"/>
        <w:rPr>
          <w:b/>
          <w:sz w:val="22"/>
          <w:lang w:val="en-US"/>
        </w:rPr>
      </w:pPr>
      <w:r w:rsidRPr="002C75B8">
        <w:rPr>
          <w:b/>
          <w:sz w:val="22"/>
          <w:lang w:val="en-US"/>
        </w:rPr>
        <w:t>BACKGROUND INFORMATION</w:t>
      </w:r>
    </w:p>
    <w:p w:rsidR="006B0412" w:rsidRPr="002C75B8" w:rsidRDefault="006B0412" w:rsidP="006B0412">
      <w:pPr>
        <w:ind w:left="0" w:firstLine="0"/>
        <w:rPr>
          <w:b/>
          <w:sz w:val="22"/>
          <w:lang w:val="en-US"/>
        </w:rPr>
      </w:pPr>
    </w:p>
    <w:p w:rsidR="006B0412" w:rsidRDefault="006B0412" w:rsidP="006B0412">
      <w:pPr>
        <w:ind w:left="0" w:firstLine="0"/>
        <w:rPr>
          <w:sz w:val="22"/>
          <w:lang w:val="en-GB"/>
        </w:rPr>
      </w:pPr>
      <w:r w:rsidRPr="002C75B8">
        <w:rPr>
          <w:sz w:val="22"/>
          <w:lang w:val="en-GB"/>
        </w:rPr>
        <w:t xml:space="preserve">Until 1947, VL by </w:t>
      </w:r>
      <w:r w:rsidRPr="009E7660">
        <w:rPr>
          <w:i/>
          <w:iCs/>
          <w:sz w:val="22"/>
          <w:lang w:val="en-GB"/>
        </w:rPr>
        <w:t>L. donovani</w:t>
      </w:r>
      <w:r w:rsidRPr="002C75B8">
        <w:rPr>
          <w:sz w:val="22"/>
          <w:lang w:val="en-GB"/>
        </w:rPr>
        <w:t xml:space="preserve"> was widely prevalent in </w:t>
      </w:r>
      <w:smartTag w:uri="urn:schemas-microsoft-com:office:smarttags" w:element="place">
        <w:smartTag w:uri="urn:schemas-microsoft-com:office:smarttags" w:element="country-region">
          <w:r w:rsidRPr="002C75B8">
            <w:rPr>
              <w:sz w:val="22"/>
              <w:lang w:val="en-GB"/>
            </w:rPr>
            <w:t>India</w:t>
          </w:r>
        </w:smartTag>
      </w:smartTag>
      <w:r w:rsidRPr="002C75B8">
        <w:rPr>
          <w:sz w:val="22"/>
          <w:lang w:val="en-GB"/>
        </w:rPr>
        <w:t>. After the DDT spraying campaign</w:t>
      </w:r>
      <w:r>
        <w:rPr>
          <w:sz w:val="22"/>
          <w:lang w:val="en-GB"/>
        </w:rPr>
        <w:t>,</w:t>
      </w:r>
      <w:r w:rsidRPr="002C75B8">
        <w:rPr>
          <w:sz w:val="22"/>
          <w:lang w:val="en-GB"/>
        </w:rPr>
        <w:t xml:space="preserve"> undertaken during the national Malaria Eradication Programme, and effective treatment of all cases, no new cases were reported until 1962-1963, when extensive DDT spraying stopped. VL then returned in the form of large epidemic outbreaks (100,000 cases in 1977 and </w:t>
      </w:r>
      <w:smartTag w:uri="urn:schemas-microsoft-com:office:smarttags" w:element="metricconverter">
        <w:smartTagPr>
          <w:attr w:name="ProductID" w:val="40,000 in"/>
        </w:smartTagPr>
        <w:r w:rsidRPr="002C75B8">
          <w:rPr>
            <w:sz w:val="22"/>
            <w:lang w:val="en-GB"/>
          </w:rPr>
          <w:t>40,000 in</w:t>
        </w:r>
      </w:smartTag>
      <w:r w:rsidRPr="002C75B8">
        <w:rPr>
          <w:sz w:val="22"/>
          <w:lang w:val="en-GB"/>
        </w:rPr>
        <w:t xml:space="preserve"> 1978) </w:t>
      </w:r>
      <w:r>
        <w:rPr>
          <w:sz w:val="22"/>
          <w:lang w:val="en-GB"/>
        </w:rPr>
        <w:t>[1]</w:t>
      </w:r>
      <w:r w:rsidRPr="002C75B8">
        <w:rPr>
          <w:sz w:val="22"/>
          <w:lang w:val="en-GB"/>
        </w:rPr>
        <w:t>, which have continued to occur until today. Currently</w:t>
      </w:r>
      <w:r>
        <w:rPr>
          <w:sz w:val="22"/>
          <w:lang w:val="en-GB"/>
        </w:rPr>
        <w:t>,</w:t>
      </w:r>
      <w:r w:rsidRPr="002C75B8">
        <w:rPr>
          <w:sz w:val="22"/>
          <w:lang w:val="en-GB"/>
        </w:rPr>
        <w:t xml:space="preserve"> the endemic area covers the largest part of Bihar and extends to West Bengal, Jharkhand and Uttar Pradesh (NVBDCP, </w:t>
      </w:r>
      <w:smartTag w:uri="urn:schemas-microsoft-com:office:smarttags" w:element="City">
        <w:smartTag w:uri="urn:schemas-microsoft-com:office:smarttags" w:element="place">
          <w:r w:rsidRPr="002C75B8">
            <w:rPr>
              <w:sz w:val="22"/>
              <w:lang w:val="en-GB"/>
            </w:rPr>
            <w:t>Delhi</w:t>
          </w:r>
        </w:smartTag>
      </w:smartTag>
      <w:r w:rsidRPr="002C75B8">
        <w:rPr>
          <w:sz w:val="22"/>
          <w:lang w:val="en-GB"/>
        </w:rPr>
        <w:t>). In addition</w:t>
      </w:r>
      <w:r>
        <w:rPr>
          <w:sz w:val="22"/>
          <w:lang w:val="en-GB"/>
        </w:rPr>
        <w:t>,</w:t>
      </w:r>
      <w:r w:rsidRPr="002C75B8">
        <w:rPr>
          <w:sz w:val="22"/>
          <w:lang w:val="en-GB"/>
        </w:rPr>
        <w:t xml:space="preserve"> sporadic cases of VL occur in the foothills of the Himalayan mountain range in the </w:t>
      </w:r>
      <w:proofErr w:type="spellStart"/>
      <w:r w:rsidRPr="002C75B8">
        <w:rPr>
          <w:sz w:val="22"/>
          <w:lang w:val="en-GB"/>
        </w:rPr>
        <w:t>northwestern</w:t>
      </w:r>
      <w:proofErr w:type="spellEnd"/>
      <w:r w:rsidRPr="002C75B8">
        <w:rPr>
          <w:sz w:val="22"/>
          <w:lang w:val="en-GB"/>
        </w:rPr>
        <w:t xml:space="preserve"> sector of </w:t>
      </w:r>
      <w:smartTag w:uri="urn:schemas-microsoft-com:office:smarttags" w:element="country-region">
        <w:smartTag w:uri="urn:schemas-microsoft-com:office:smarttags" w:element="place">
          <w:r w:rsidRPr="002C75B8">
            <w:rPr>
              <w:sz w:val="22"/>
              <w:lang w:val="en-GB"/>
            </w:rPr>
            <w:t>India</w:t>
          </w:r>
        </w:smartTag>
      </w:smartTag>
      <w:r>
        <w:rPr>
          <w:sz w:val="22"/>
          <w:lang w:val="en-GB"/>
        </w:rPr>
        <w:t xml:space="preserve"> [2]</w:t>
      </w:r>
      <w:r w:rsidRPr="002C75B8">
        <w:rPr>
          <w:sz w:val="22"/>
          <w:lang w:val="en-GB"/>
        </w:rPr>
        <w:t>. Recently</w:t>
      </w:r>
      <w:r>
        <w:rPr>
          <w:sz w:val="22"/>
          <w:lang w:val="en-GB"/>
        </w:rPr>
        <w:t>,</w:t>
      </w:r>
      <w:r w:rsidRPr="002C75B8">
        <w:rPr>
          <w:sz w:val="22"/>
          <w:lang w:val="en-GB"/>
        </w:rPr>
        <w:t xml:space="preserve"> a few cases were reported from </w:t>
      </w:r>
      <w:smartTag w:uri="urn:schemas-microsoft-com:office:smarttags" w:element="place">
        <w:r w:rsidRPr="002C75B8">
          <w:rPr>
            <w:sz w:val="22"/>
            <w:lang w:val="en-GB"/>
          </w:rPr>
          <w:t>Gujarat</w:t>
        </w:r>
      </w:smartTag>
      <w:r w:rsidRPr="002C75B8">
        <w:rPr>
          <w:sz w:val="22"/>
          <w:lang w:val="en-GB"/>
        </w:rPr>
        <w:t xml:space="preserve"> and Kerala </w:t>
      </w:r>
      <w:r>
        <w:rPr>
          <w:sz w:val="22"/>
          <w:lang w:val="en-GB"/>
        </w:rPr>
        <w:t>[3</w:t>
      </w:r>
      <w:proofErr w:type="gramStart"/>
      <w:r>
        <w:rPr>
          <w:sz w:val="22"/>
          <w:lang w:val="en-GB"/>
        </w:rPr>
        <w:t>,4,5</w:t>
      </w:r>
      <w:proofErr w:type="gramEnd"/>
      <w:r>
        <w:rPr>
          <w:sz w:val="22"/>
          <w:lang w:val="en-GB"/>
        </w:rPr>
        <w:t>]</w:t>
      </w:r>
      <w:r w:rsidRPr="002C75B8">
        <w:rPr>
          <w:sz w:val="22"/>
          <w:lang w:val="en-GB"/>
        </w:rPr>
        <w:t xml:space="preserve">. </w:t>
      </w:r>
    </w:p>
    <w:p w:rsidR="006B0412" w:rsidRPr="002C75B8" w:rsidRDefault="006B0412" w:rsidP="006B0412">
      <w:pPr>
        <w:ind w:left="0" w:firstLine="0"/>
        <w:rPr>
          <w:sz w:val="22"/>
          <w:lang w:val="en-GB"/>
        </w:rPr>
      </w:pPr>
    </w:p>
    <w:p w:rsidR="006B0412" w:rsidRDefault="006B0412" w:rsidP="006B0412">
      <w:pPr>
        <w:ind w:left="0" w:firstLine="0"/>
        <w:rPr>
          <w:sz w:val="22"/>
          <w:lang w:val="en-GB"/>
        </w:rPr>
      </w:pPr>
      <w:r w:rsidRPr="002C75B8">
        <w:rPr>
          <w:sz w:val="22"/>
          <w:lang w:val="en-GB"/>
        </w:rPr>
        <w:t xml:space="preserve">Bihar is the most affected state; the case load in </w:t>
      </w:r>
      <w:smartTag w:uri="urn:schemas-microsoft-com:office:smarttags" w:element="place">
        <w:r w:rsidRPr="002C75B8">
          <w:rPr>
            <w:sz w:val="22"/>
            <w:lang w:val="en-GB"/>
          </w:rPr>
          <w:t>Bihar</w:t>
        </w:r>
      </w:smartTag>
      <w:r w:rsidRPr="002C75B8">
        <w:rPr>
          <w:sz w:val="22"/>
          <w:lang w:val="en-GB"/>
        </w:rPr>
        <w:t xml:space="preserve">, where 90% of the population lives in extreme poverty, currently represents half of the worldwide burden of VL. Patients mostly belong to the poorest of the poor and VL prolongs the poverty cycle through loss of productivity and unaffordable treatment costs for the affected families </w:t>
      </w:r>
      <w:r>
        <w:rPr>
          <w:sz w:val="22"/>
          <w:lang w:val="en-GB"/>
        </w:rPr>
        <w:t>[6]</w:t>
      </w:r>
      <w:r w:rsidRPr="002C75B8">
        <w:rPr>
          <w:sz w:val="22"/>
          <w:lang w:val="en-GB"/>
        </w:rPr>
        <w:t xml:space="preserve">. </w:t>
      </w:r>
    </w:p>
    <w:p w:rsidR="006B0412" w:rsidRPr="002C75B8" w:rsidRDefault="006B0412" w:rsidP="006B0412">
      <w:pPr>
        <w:ind w:left="0" w:firstLine="0"/>
        <w:rPr>
          <w:sz w:val="22"/>
          <w:lang w:val="en-GB"/>
        </w:rPr>
      </w:pPr>
    </w:p>
    <w:p w:rsidR="006B0412" w:rsidRDefault="006B0412" w:rsidP="006B0412">
      <w:pPr>
        <w:ind w:left="0" w:firstLine="0"/>
        <w:rPr>
          <w:sz w:val="22"/>
          <w:lang w:val="en-GB"/>
        </w:rPr>
      </w:pPr>
      <w:r w:rsidRPr="002C75B8">
        <w:rPr>
          <w:sz w:val="22"/>
          <w:lang w:val="en-GB"/>
        </w:rPr>
        <w:t>The number of reported cases is a gross underestimation of the real number of cases</w:t>
      </w:r>
      <w:r>
        <w:rPr>
          <w:sz w:val="22"/>
          <w:lang w:val="en-GB"/>
        </w:rPr>
        <w:t xml:space="preserve"> [6</w:t>
      </w:r>
      <w:proofErr w:type="gramStart"/>
      <w:r>
        <w:rPr>
          <w:sz w:val="22"/>
          <w:lang w:val="en-GB"/>
        </w:rPr>
        <w:t>,7,8</w:t>
      </w:r>
      <w:proofErr w:type="gramEnd"/>
      <w:r>
        <w:rPr>
          <w:sz w:val="22"/>
          <w:lang w:val="en-GB"/>
        </w:rPr>
        <w:t>]. A</w:t>
      </w:r>
      <w:r w:rsidRPr="002C75B8">
        <w:rPr>
          <w:sz w:val="22"/>
          <w:lang w:val="en-GB"/>
        </w:rPr>
        <w:t xml:space="preserve"> study </w:t>
      </w:r>
      <w:r>
        <w:rPr>
          <w:sz w:val="22"/>
          <w:lang w:val="en-GB"/>
        </w:rPr>
        <w:t xml:space="preserve">conducted </w:t>
      </w:r>
      <w:r w:rsidRPr="002C75B8">
        <w:rPr>
          <w:sz w:val="22"/>
          <w:lang w:val="en-GB"/>
        </w:rPr>
        <w:t xml:space="preserve">in 2006 estimated VL to </w:t>
      </w:r>
      <w:r>
        <w:rPr>
          <w:sz w:val="22"/>
          <w:lang w:val="en-GB"/>
        </w:rPr>
        <w:t xml:space="preserve">be </w:t>
      </w:r>
      <w:r w:rsidRPr="002C75B8">
        <w:rPr>
          <w:sz w:val="22"/>
          <w:lang w:val="en-GB"/>
        </w:rPr>
        <w:t>underreported with a factor 4</w:t>
      </w:r>
      <w:proofErr w:type="gramStart"/>
      <w:r w:rsidRPr="002C75B8">
        <w:rPr>
          <w:sz w:val="22"/>
          <w:lang w:val="en-GB"/>
        </w:rPr>
        <w:t>,2</w:t>
      </w:r>
      <w:proofErr w:type="gramEnd"/>
      <w:r>
        <w:rPr>
          <w:sz w:val="22"/>
          <w:lang w:val="en-GB"/>
        </w:rPr>
        <w:t xml:space="preserve"> [7]</w:t>
      </w:r>
      <w:r w:rsidRPr="002C75B8">
        <w:rPr>
          <w:sz w:val="22"/>
          <w:lang w:val="en-GB"/>
        </w:rPr>
        <w:t>. An annual case number of 270,900 was estimated for 2007</w:t>
      </w:r>
      <w:r>
        <w:rPr>
          <w:sz w:val="22"/>
          <w:lang w:val="en-GB"/>
        </w:rPr>
        <w:t xml:space="preserve"> [9]</w:t>
      </w:r>
      <w:r w:rsidRPr="002C75B8">
        <w:rPr>
          <w:sz w:val="22"/>
          <w:lang w:val="en-GB"/>
        </w:rPr>
        <w:t>, with 44</w:t>
      </w:r>
      <w:r>
        <w:rPr>
          <w:sz w:val="22"/>
          <w:lang w:val="en-GB"/>
        </w:rPr>
        <w:t>,</w:t>
      </w:r>
      <w:r w:rsidRPr="002C75B8">
        <w:rPr>
          <w:sz w:val="22"/>
          <w:lang w:val="en-GB"/>
        </w:rPr>
        <w:t>533 reported cases and 203 reported deaths th</w:t>
      </w:r>
      <w:r>
        <w:rPr>
          <w:sz w:val="22"/>
          <w:lang w:val="en-GB"/>
        </w:rPr>
        <w:t>at</w:t>
      </w:r>
      <w:r w:rsidRPr="002C75B8">
        <w:rPr>
          <w:sz w:val="22"/>
          <w:lang w:val="en-GB"/>
        </w:rPr>
        <w:t xml:space="preserve"> same year (NVBDCP, </w:t>
      </w:r>
      <w:smartTag w:uri="urn:schemas-microsoft-com:office:smarttags" w:element="City">
        <w:smartTag w:uri="urn:schemas-microsoft-com:office:smarttags" w:element="place">
          <w:r w:rsidRPr="002C75B8">
            <w:rPr>
              <w:sz w:val="22"/>
              <w:lang w:val="en-GB"/>
            </w:rPr>
            <w:t>Delhi</w:t>
          </w:r>
        </w:smartTag>
      </w:smartTag>
      <w:r w:rsidRPr="002C75B8">
        <w:rPr>
          <w:sz w:val="22"/>
          <w:lang w:val="en-GB"/>
        </w:rPr>
        <w:t>).</w:t>
      </w:r>
    </w:p>
    <w:p w:rsidR="006B0412" w:rsidRPr="002C75B8" w:rsidRDefault="006B0412" w:rsidP="006B0412">
      <w:pPr>
        <w:ind w:left="0" w:firstLine="0"/>
        <w:rPr>
          <w:sz w:val="22"/>
          <w:lang w:val="en-GB"/>
        </w:rPr>
      </w:pPr>
    </w:p>
    <w:p w:rsidR="006B0412" w:rsidRDefault="006B0412" w:rsidP="006B0412">
      <w:pPr>
        <w:ind w:left="0" w:firstLine="0"/>
        <w:rPr>
          <w:sz w:val="22"/>
          <w:lang w:val="en-GB"/>
        </w:rPr>
      </w:pPr>
      <w:r w:rsidRPr="002C75B8">
        <w:rPr>
          <w:sz w:val="22"/>
          <w:lang w:val="en-GB"/>
        </w:rPr>
        <w:t>HIV-</w:t>
      </w:r>
      <w:r w:rsidRPr="009E7660">
        <w:rPr>
          <w:i/>
          <w:iCs/>
          <w:sz w:val="22"/>
          <w:lang w:val="en-GB"/>
        </w:rPr>
        <w:t>Leishmania</w:t>
      </w:r>
      <w:r w:rsidRPr="002C75B8">
        <w:rPr>
          <w:sz w:val="22"/>
          <w:lang w:val="en-GB"/>
        </w:rPr>
        <w:t xml:space="preserve"> co-infection is estimated to occur in </w:t>
      </w:r>
      <w:r>
        <w:rPr>
          <w:sz w:val="22"/>
          <w:lang w:val="en-GB"/>
        </w:rPr>
        <w:t>less than</w:t>
      </w:r>
      <w:r w:rsidRPr="002C75B8">
        <w:rPr>
          <w:sz w:val="22"/>
          <w:lang w:val="en-GB"/>
        </w:rPr>
        <w:t xml:space="preserve"> 1% of patients</w:t>
      </w:r>
      <w:r>
        <w:rPr>
          <w:sz w:val="22"/>
          <w:lang w:val="en-GB"/>
        </w:rPr>
        <w:t>,</w:t>
      </w:r>
      <w:r w:rsidRPr="002C75B8">
        <w:rPr>
          <w:sz w:val="22"/>
          <w:lang w:val="en-GB"/>
        </w:rPr>
        <w:t xml:space="preserve"> although a higher incidence was found in some areas</w:t>
      </w:r>
      <w:r>
        <w:rPr>
          <w:sz w:val="22"/>
          <w:lang w:val="en-GB"/>
        </w:rPr>
        <w:t xml:space="preserve"> [10]</w:t>
      </w:r>
      <w:r w:rsidRPr="002C75B8">
        <w:rPr>
          <w:sz w:val="22"/>
          <w:lang w:val="en-GB"/>
        </w:rPr>
        <w:t>. In Bihar</w:t>
      </w:r>
      <w:r>
        <w:rPr>
          <w:sz w:val="22"/>
          <w:lang w:val="en-GB"/>
        </w:rPr>
        <w:t>,</w:t>
      </w:r>
      <w:r w:rsidRPr="002C75B8">
        <w:rPr>
          <w:sz w:val="22"/>
          <w:lang w:val="en-GB"/>
        </w:rPr>
        <w:t xml:space="preserve"> the incidence of HIV is rising and coinfected cases are increasingly reported among migrant workers that have spent time in </w:t>
      </w:r>
      <w:smartTag w:uri="urn:schemas-microsoft-com:office:smarttags" w:element="country-region">
        <w:smartTag w:uri="urn:schemas-microsoft-com:office:smarttags" w:element="place">
          <w:r w:rsidRPr="002C75B8">
            <w:rPr>
              <w:sz w:val="22"/>
              <w:lang w:val="en-GB"/>
            </w:rPr>
            <w:t>India</w:t>
          </w:r>
        </w:smartTag>
      </w:smartTag>
      <w:r w:rsidRPr="002C75B8">
        <w:rPr>
          <w:sz w:val="22"/>
          <w:lang w:val="en-GB"/>
        </w:rPr>
        <w:t>’s big cities.</w:t>
      </w:r>
    </w:p>
    <w:p w:rsidR="006B0412" w:rsidRPr="002C75B8" w:rsidRDefault="006B0412" w:rsidP="006B0412">
      <w:pPr>
        <w:ind w:left="0" w:firstLine="0"/>
        <w:rPr>
          <w:sz w:val="22"/>
          <w:lang w:val="en-GB"/>
        </w:rPr>
      </w:pPr>
    </w:p>
    <w:p w:rsidR="006B0412" w:rsidRDefault="006B0412" w:rsidP="006B0412">
      <w:pPr>
        <w:ind w:left="0" w:firstLine="0"/>
        <w:rPr>
          <w:sz w:val="22"/>
          <w:lang w:val="en-GB"/>
        </w:rPr>
      </w:pPr>
      <w:r w:rsidRPr="002C75B8">
        <w:rPr>
          <w:sz w:val="22"/>
          <w:lang w:val="en-GB"/>
        </w:rPr>
        <w:t>No animal reservoir host could be identified</w:t>
      </w:r>
      <w:r>
        <w:rPr>
          <w:sz w:val="22"/>
          <w:lang w:val="en-GB"/>
        </w:rPr>
        <w:t>,</w:t>
      </w:r>
      <w:r w:rsidRPr="002C75B8">
        <w:rPr>
          <w:sz w:val="22"/>
          <w:lang w:val="en-GB"/>
        </w:rPr>
        <w:t xml:space="preserve"> despite many surveys, and transmission is believed to be anthroponotic, with infected patients and PKDL cases constituting the source of infection</w:t>
      </w:r>
      <w:r>
        <w:rPr>
          <w:sz w:val="22"/>
          <w:lang w:val="en-GB"/>
        </w:rPr>
        <w:t xml:space="preserve"> [11]</w:t>
      </w:r>
      <w:r w:rsidRPr="002C75B8">
        <w:rPr>
          <w:sz w:val="22"/>
          <w:lang w:val="en-GB"/>
        </w:rPr>
        <w:t xml:space="preserve">. PKDL occurs in an estimated 5-10% of patients </w:t>
      </w:r>
      <w:r>
        <w:rPr>
          <w:sz w:val="22"/>
          <w:lang w:val="en-GB"/>
        </w:rPr>
        <w:t xml:space="preserve">and </w:t>
      </w:r>
      <w:r w:rsidRPr="002C75B8">
        <w:rPr>
          <w:sz w:val="22"/>
          <w:lang w:val="en-GB"/>
        </w:rPr>
        <w:t>within 5 years of disease onset</w:t>
      </w:r>
      <w:r>
        <w:rPr>
          <w:sz w:val="22"/>
          <w:lang w:val="en-GB"/>
        </w:rPr>
        <w:t xml:space="preserve"> [12</w:t>
      </w:r>
      <w:proofErr w:type="gramStart"/>
      <w:r>
        <w:rPr>
          <w:sz w:val="22"/>
          <w:lang w:val="en-GB"/>
        </w:rPr>
        <w:t>]</w:t>
      </w:r>
      <w:r w:rsidRPr="002C75B8">
        <w:rPr>
          <w:sz w:val="22"/>
          <w:lang w:val="en-GB"/>
        </w:rPr>
        <w:t xml:space="preserve"> </w:t>
      </w:r>
      <w:r>
        <w:rPr>
          <w:sz w:val="22"/>
          <w:lang w:val="en-GB"/>
        </w:rPr>
        <w:t>.</w:t>
      </w:r>
      <w:proofErr w:type="gramEnd"/>
      <w:r>
        <w:rPr>
          <w:sz w:val="22"/>
          <w:lang w:val="en-GB"/>
        </w:rPr>
        <w:t xml:space="preserve"> It often</w:t>
      </w:r>
      <w:r w:rsidRPr="002C75B8">
        <w:rPr>
          <w:sz w:val="22"/>
          <w:lang w:val="en-GB"/>
        </w:rPr>
        <w:t xml:space="preserve"> remains untreated. A recent survey of 4</w:t>
      </w:r>
      <w:r>
        <w:rPr>
          <w:sz w:val="22"/>
          <w:lang w:val="en-GB"/>
        </w:rPr>
        <w:t>,</w:t>
      </w:r>
      <w:r w:rsidRPr="002C75B8">
        <w:rPr>
          <w:sz w:val="22"/>
          <w:lang w:val="en-GB"/>
        </w:rPr>
        <w:t xml:space="preserve">323 households (2010) in a highly endemic area of </w:t>
      </w:r>
      <w:smartTag w:uri="urn:schemas-microsoft-com:office:smarttags" w:element="place">
        <w:r w:rsidRPr="002C75B8">
          <w:rPr>
            <w:sz w:val="22"/>
            <w:lang w:val="en-GB"/>
          </w:rPr>
          <w:t>Bihar</w:t>
        </w:r>
      </w:smartTag>
      <w:r w:rsidRPr="002C75B8">
        <w:rPr>
          <w:sz w:val="22"/>
          <w:lang w:val="en-GB"/>
        </w:rPr>
        <w:t xml:space="preserve"> showed a PKDL incidence of 0</w:t>
      </w:r>
      <w:r>
        <w:rPr>
          <w:sz w:val="22"/>
          <w:lang w:val="en-GB"/>
        </w:rPr>
        <w:t>.</w:t>
      </w:r>
      <w:r w:rsidRPr="002C75B8">
        <w:rPr>
          <w:sz w:val="22"/>
          <w:lang w:val="en-GB"/>
        </w:rPr>
        <w:t>5/1</w:t>
      </w:r>
      <w:r>
        <w:rPr>
          <w:sz w:val="22"/>
          <w:lang w:val="en-GB"/>
        </w:rPr>
        <w:t>,</w:t>
      </w:r>
      <w:r w:rsidRPr="002C75B8">
        <w:rPr>
          <w:sz w:val="22"/>
          <w:lang w:val="en-GB"/>
        </w:rPr>
        <w:t xml:space="preserve">000 population </w:t>
      </w:r>
      <w:r w:rsidRPr="0027398A">
        <w:rPr>
          <w:sz w:val="22"/>
          <w:lang w:val="en-GB"/>
        </w:rPr>
        <w:t>(Prof. Das, personal communication)</w:t>
      </w:r>
      <w:r>
        <w:rPr>
          <w:sz w:val="22"/>
          <w:lang w:val="en-GB"/>
        </w:rPr>
        <w:t xml:space="preserve">. </w:t>
      </w:r>
      <w:r w:rsidRPr="002C75B8">
        <w:rPr>
          <w:sz w:val="22"/>
          <w:lang w:val="en-GB"/>
        </w:rPr>
        <w:t>Risk factors for infection are living in the same household as an active case, and poverty related factors such as poor nutrition and housing conditions</w:t>
      </w:r>
      <w:r>
        <w:rPr>
          <w:sz w:val="22"/>
          <w:lang w:val="en-GB"/>
        </w:rPr>
        <w:t xml:space="preserve"> [11</w:t>
      </w:r>
      <w:proofErr w:type="gramStart"/>
      <w:r>
        <w:rPr>
          <w:sz w:val="22"/>
          <w:lang w:val="en-GB"/>
        </w:rPr>
        <w:t>,13</w:t>
      </w:r>
      <w:proofErr w:type="gramEnd"/>
      <w:r>
        <w:rPr>
          <w:sz w:val="22"/>
          <w:lang w:val="en-GB"/>
        </w:rPr>
        <w:t>]</w:t>
      </w:r>
      <w:r w:rsidRPr="002C75B8">
        <w:rPr>
          <w:sz w:val="22"/>
          <w:lang w:val="en-GB"/>
        </w:rPr>
        <w:t xml:space="preserve">. Re-emergence of VL in VL free areas occurs periodically and is associated with diminishing herd immunity, the presence of untreated PKDL cases and changing environmental conditions </w:t>
      </w:r>
      <w:r>
        <w:rPr>
          <w:sz w:val="22"/>
          <w:lang w:val="en-GB"/>
        </w:rPr>
        <w:t>[14]</w:t>
      </w:r>
      <w:r w:rsidRPr="002C75B8">
        <w:rPr>
          <w:sz w:val="22"/>
          <w:lang w:val="en-GB"/>
        </w:rPr>
        <w:t>.</w:t>
      </w:r>
    </w:p>
    <w:p w:rsidR="006B0412" w:rsidRPr="002C75B8" w:rsidRDefault="006B0412" w:rsidP="006B0412">
      <w:pPr>
        <w:ind w:left="0" w:firstLine="0"/>
        <w:rPr>
          <w:sz w:val="22"/>
          <w:lang w:val="en-GB"/>
        </w:rPr>
      </w:pPr>
    </w:p>
    <w:p w:rsidR="006B0412" w:rsidRDefault="006B0412" w:rsidP="006B0412">
      <w:pPr>
        <w:ind w:left="0" w:firstLine="0"/>
        <w:rPr>
          <w:sz w:val="22"/>
          <w:lang w:val="en-GB"/>
        </w:rPr>
      </w:pPr>
      <w:r w:rsidRPr="002C75B8">
        <w:rPr>
          <w:sz w:val="22"/>
          <w:lang w:val="en-GB"/>
        </w:rPr>
        <w:t xml:space="preserve">CL by </w:t>
      </w:r>
      <w:r w:rsidRPr="009E7660">
        <w:rPr>
          <w:i/>
          <w:iCs/>
          <w:sz w:val="22"/>
          <w:lang w:val="en-GB"/>
        </w:rPr>
        <w:t>L. tropica</w:t>
      </w:r>
      <w:r w:rsidRPr="002C75B8">
        <w:rPr>
          <w:sz w:val="22"/>
          <w:lang w:val="en-GB"/>
        </w:rPr>
        <w:t xml:space="preserve"> and </w:t>
      </w:r>
      <w:r w:rsidRPr="009E7660">
        <w:rPr>
          <w:i/>
          <w:iCs/>
          <w:sz w:val="22"/>
          <w:lang w:val="en-GB"/>
        </w:rPr>
        <w:t>L. major</w:t>
      </w:r>
      <w:r w:rsidRPr="002C75B8">
        <w:rPr>
          <w:sz w:val="22"/>
          <w:lang w:val="en-GB"/>
        </w:rPr>
        <w:t xml:space="preserve"> </w:t>
      </w:r>
      <w:proofErr w:type="gramStart"/>
      <w:r w:rsidRPr="002C75B8">
        <w:rPr>
          <w:sz w:val="22"/>
          <w:lang w:val="en-GB"/>
        </w:rPr>
        <w:t>occurs</w:t>
      </w:r>
      <w:proofErr w:type="gramEnd"/>
      <w:r w:rsidRPr="002C75B8">
        <w:rPr>
          <w:sz w:val="22"/>
          <w:lang w:val="en-GB"/>
        </w:rPr>
        <w:t xml:space="preserve"> in the </w:t>
      </w:r>
      <w:proofErr w:type="spellStart"/>
      <w:r w:rsidRPr="002C75B8">
        <w:rPr>
          <w:sz w:val="22"/>
          <w:lang w:val="en-GB"/>
        </w:rPr>
        <w:t>northwestern</w:t>
      </w:r>
      <w:proofErr w:type="spellEnd"/>
      <w:r w:rsidRPr="002C75B8">
        <w:rPr>
          <w:sz w:val="22"/>
          <w:lang w:val="en-GB"/>
        </w:rPr>
        <w:t xml:space="preserve"> states of </w:t>
      </w:r>
      <w:smartTag w:uri="urn:schemas-microsoft-com:office:smarttags" w:element="country-region">
        <w:r w:rsidRPr="002C75B8">
          <w:rPr>
            <w:sz w:val="22"/>
            <w:lang w:val="en-GB"/>
          </w:rPr>
          <w:t>India</w:t>
        </w:r>
      </w:smartTag>
      <w:r w:rsidRPr="002C75B8">
        <w:rPr>
          <w:sz w:val="22"/>
          <w:lang w:val="en-GB"/>
        </w:rPr>
        <w:t xml:space="preserve"> (foci in Rajasthan and </w:t>
      </w:r>
      <w:smartTag w:uri="urn:schemas-microsoft-com:office:smarttags" w:element="place">
        <w:r w:rsidRPr="002C75B8">
          <w:rPr>
            <w:sz w:val="22"/>
            <w:lang w:val="en-GB"/>
          </w:rPr>
          <w:t>Punjab</w:t>
        </w:r>
      </w:smartTag>
      <w:r w:rsidRPr="002C75B8">
        <w:rPr>
          <w:sz w:val="22"/>
          <w:lang w:val="en-GB"/>
        </w:rPr>
        <w:t xml:space="preserve">). The most affected area in Rajasthan is </w:t>
      </w:r>
      <w:smartTag w:uri="urn:schemas-microsoft-com:office:smarttags" w:element="City">
        <w:smartTag w:uri="urn:schemas-microsoft-com:office:smarttags" w:element="place">
          <w:r w:rsidRPr="002C75B8">
            <w:rPr>
              <w:sz w:val="22"/>
              <w:lang w:val="en-GB"/>
            </w:rPr>
            <w:t>Bikaner</w:t>
          </w:r>
        </w:smartTag>
      </w:smartTag>
      <w:r w:rsidRPr="002C75B8">
        <w:rPr>
          <w:sz w:val="22"/>
          <w:lang w:val="en-GB"/>
        </w:rPr>
        <w:t xml:space="preserve"> district</w:t>
      </w:r>
      <w:r>
        <w:rPr>
          <w:sz w:val="22"/>
          <w:lang w:val="en-GB"/>
        </w:rPr>
        <w:t xml:space="preserve"> [15]</w:t>
      </w:r>
      <w:r w:rsidRPr="002C75B8">
        <w:rPr>
          <w:sz w:val="22"/>
          <w:lang w:val="en-GB"/>
        </w:rPr>
        <w:t xml:space="preserve">. Cases identified in other districts usually are immigrants from </w:t>
      </w:r>
      <w:smartTag w:uri="urn:schemas-microsoft-com:office:smarttags" w:element="place">
        <w:smartTag w:uri="urn:schemas-microsoft-com:office:smarttags" w:element="City">
          <w:r w:rsidRPr="002C75B8">
            <w:rPr>
              <w:sz w:val="22"/>
              <w:lang w:val="en-GB"/>
            </w:rPr>
            <w:t>Bikaner</w:t>
          </w:r>
        </w:smartTag>
      </w:smartTag>
      <w:r w:rsidRPr="002C75B8">
        <w:rPr>
          <w:sz w:val="22"/>
          <w:lang w:val="en-GB"/>
        </w:rPr>
        <w:t xml:space="preserve"> (Dr </w:t>
      </w:r>
      <w:proofErr w:type="spellStart"/>
      <w:r w:rsidRPr="002C75B8">
        <w:rPr>
          <w:sz w:val="22"/>
          <w:lang w:val="en-GB"/>
        </w:rPr>
        <w:t>Bumb</w:t>
      </w:r>
      <w:proofErr w:type="spellEnd"/>
      <w:r w:rsidRPr="002C75B8">
        <w:rPr>
          <w:sz w:val="22"/>
          <w:lang w:val="en-GB"/>
        </w:rPr>
        <w:t xml:space="preserve">, personal communication).  </w:t>
      </w:r>
    </w:p>
    <w:p w:rsidR="006B0412" w:rsidRPr="002C75B8" w:rsidRDefault="006B0412" w:rsidP="006B0412">
      <w:pPr>
        <w:ind w:left="0" w:firstLine="0"/>
        <w:rPr>
          <w:sz w:val="22"/>
          <w:lang w:val="en-GB"/>
        </w:rPr>
      </w:pPr>
    </w:p>
    <w:p w:rsidR="006B0412" w:rsidRPr="0027398A" w:rsidRDefault="006B0412" w:rsidP="006B0412">
      <w:pPr>
        <w:ind w:left="0" w:firstLine="0"/>
        <w:rPr>
          <w:sz w:val="22"/>
          <w:lang w:val="en-GB"/>
        </w:rPr>
      </w:pPr>
      <w:r w:rsidRPr="002C75B8">
        <w:rPr>
          <w:sz w:val="22"/>
          <w:lang w:val="en-GB"/>
        </w:rPr>
        <w:t>Recently</w:t>
      </w:r>
      <w:r>
        <w:rPr>
          <w:sz w:val="22"/>
          <w:lang w:val="en-GB"/>
        </w:rPr>
        <w:t>,</w:t>
      </w:r>
      <w:r w:rsidRPr="002C75B8">
        <w:rPr>
          <w:sz w:val="22"/>
          <w:lang w:val="en-GB"/>
        </w:rPr>
        <w:t xml:space="preserve"> CL (12 </w:t>
      </w:r>
      <w:r>
        <w:rPr>
          <w:sz w:val="22"/>
          <w:lang w:val="en-GB"/>
        </w:rPr>
        <w:t xml:space="preserve">cases </w:t>
      </w:r>
      <w:r w:rsidRPr="002C75B8">
        <w:rPr>
          <w:sz w:val="22"/>
          <w:lang w:val="en-GB"/>
        </w:rPr>
        <w:t>with active lesions</w:t>
      </w:r>
      <w:r>
        <w:rPr>
          <w:sz w:val="22"/>
          <w:lang w:val="en-GB"/>
        </w:rPr>
        <w:t>,</w:t>
      </w:r>
      <w:r w:rsidRPr="002C75B8">
        <w:rPr>
          <w:sz w:val="22"/>
          <w:lang w:val="en-GB"/>
        </w:rPr>
        <w:t xml:space="preserve"> out of 38 people examined) and VL (2 cases) have been reported in South India, Kerala, </w:t>
      </w:r>
      <w:r>
        <w:rPr>
          <w:sz w:val="22"/>
          <w:lang w:val="en-GB"/>
        </w:rPr>
        <w:t xml:space="preserve">which has </w:t>
      </w:r>
      <w:r w:rsidRPr="002C75B8">
        <w:rPr>
          <w:sz w:val="22"/>
          <w:lang w:val="en-GB"/>
        </w:rPr>
        <w:t xml:space="preserve">implications for the existing elimination program </w:t>
      </w:r>
      <w:r>
        <w:rPr>
          <w:sz w:val="22"/>
          <w:lang w:val="en-GB"/>
        </w:rPr>
        <w:t>[3</w:t>
      </w:r>
      <w:proofErr w:type="gramStart"/>
      <w:r>
        <w:rPr>
          <w:sz w:val="22"/>
          <w:lang w:val="en-GB"/>
        </w:rPr>
        <w:t>,4</w:t>
      </w:r>
      <w:proofErr w:type="gramEnd"/>
      <w:r>
        <w:rPr>
          <w:sz w:val="22"/>
          <w:lang w:val="en-GB"/>
        </w:rPr>
        <w:t>].</w:t>
      </w:r>
    </w:p>
    <w:p w:rsidR="006B0412" w:rsidRPr="002C75B8" w:rsidRDefault="006B0412" w:rsidP="006B0412">
      <w:pPr>
        <w:ind w:left="0" w:firstLine="0"/>
        <w:rPr>
          <w:b/>
          <w:sz w:val="22"/>
          <w:lang w:val="en-GB"/>
        </w:rPr>
      </w:pPr>
    </w:p>
    <w:p w:rsidR="006B0412" w:rsidRDefault="006B0412" w:rsidP="006B0412">
      <w:pPr>
        <w:ind w:left="0" w:firstLine="0"/>
        <w:rPr>
          <w:b/>
          <w:sz w:val="22"/>
          <w:lang w:val="en-GB"/>
        </w:rPr>
      </w:pPr>
    </w:p>
    <w:p w:rsidR="006B0412" w:rsidRDefault="006B0412" w:rsidP="006B0412">
      <w:pPr>
        <w:ind w:left="0" w:firstLine="0"/>
        <w:rPr>
          <w:b/>
          <w:sz w:val="22"/>
          <w:lang w:val="en-GB"/>
        </w:rPr>
      </w:pPr>
    </w:p>
    <w:p w:rsidR="006B0412" w:rsidRDefault="006B0412" w:rsidP="006B0412">
      <w:pPr>
        <w:ind w:left="0" w:firstLine="0"/>
        <w:rPr>
          <w:b/>
          <w:sz w:val="22"/>
          <w:lang w:val="en-GB"/>
        </w:rPr>
      </w:pPr>
      <w:r w:rsidRPr="002C75B8">
        <w:rPr>
          <w:b/>
          <w:sz w:val="22"/>
          <w:lang w:val="en-GB"/>
        </w:rPr>
        <w:t>PARASITOLOGICAL INFORMATION</w:t>
      </w:r>
    </w:p>
    <w:p w:rsidR="006B0412" w:rsidRPr="002C75B8" w:rsidRDefault="006B0412" w:rsidP="006B0412">
      <w:pPr>
        <w:ind w:left="0" w:firstLine="0"/>
        <w:rPr>
          <w:b/>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2394"/>
      </w:tblGrid>
      <w:tr w:rsidR="006B0412" w:rsidRPr="002C75B8" w:rsidTr="00A7768B">
        <w:tc>
          <w:tcPr>
            <w:tcW w:w="2394" w:type="dxa"/>
            <w:vAlign w:val="center"/>
          </w:tcPr>
          <w:p w:rsidR="006B0412" w:rsidRPr="002C75B8" w:rsidRDefault="006B0412" w:rsidP="00A7768B">
            <w:pPr>
              <w:ind w:left="0" w:firstLine="0"/>
              <w:jc w:val="center"/>
              <w:rPr>
                <w:sz w:val="22"/>
                <w:lang w:val="en-US"/>
              </w:rPr>
            </w:pPr>
            <w:r w:rsidRPr="002C75B8">
              <w:rPr>
                <w:b/>
                <w:bCs/>
                <w:i/>
                <w:iCs/>
                <w:sz w:val="22"/>
              </w:rPr>
              <w:t xml:space="preserve">Leishmania </w:t>
            </w:r>
            <w:proofErr w:type="spellStart"/>
            <w:r w:rsidRPr="002C75B8">
              <w:rPr>
                <w:b/>
                <w:bCs/>
                <w:sz w:val="22"/>
              </w:rPr>
              <w:t>species</w:t>
            </w:r>
            <w:proofErr w:type="spellEnd"/>
          </w:p>
        </w:tc>
        <w:tc>
          <w:tcPr>
            <w:tcW w:w="2394" w:type="dxa"/>
            <w:vAlign w:val="center"/>
          </w:tcPr>
          <w:p w:rsidR="006B0412" w:rsidRPr="002C75B8" w:rsidRDefault="006B0412" w:rsidP="00A7768B">
            <w:pPr>
              <w:ind w:left="0" w:firstLine="0"/>
              <w:jc w:val="center"/>
              <w:rPr>
                <w:b/>
                <w:bCs/>
                <w:sz w:val="22"/>
              </w:rPr>
            </w:pPr>
          </w:p>
          <w:p w:rsidR="006B0412" w:rsidRPr="002C75B8" w:rsidRDefault="006B0412" w:rsidP="00A7768B">
            <w:pPr>
              <w:ind w:left="0" w:firstLine="0"/>
              <w:jc w:val="center"/>
              <w:rPr>
                <w:sz w:val="22"/>
                <w:lang w:val="en-US"/>
              </w:rPr>
            </w:pPr>
            <w:proofErr w:type="spellStart"/>
            <w:r w:rsidRPr="002C75B8">
              <w:rPr>
                <w:b/>
                <w:bCs/>
                <w:sz w:val="22"/>
              </w:rPr>
              <w:t>Clinical</w:t>
            </w:r>
            <w:proofErr w:type="spellEnd"/>
            <w:r w:rsidRPr="002C75B8">
              <w:rPr>
                <w:b/>
                <w:bCs/>
                <w:sz w:val="22"/>
              </w:rPr>
              <w:t xml:space="preserve"> </w:t>
            </w:r>
            <w:proofErr w:type="spellStart"/>
            <w:r w:rsidRPr="002C75B8">
              <w:rPr>
                <w:b/>
                <w:bCs/>
                <w:sz w:val="22"/>
              </w:rPr>
              <w:t>form</w:t>
            </w:r>
            <w:proofErr w:type="spellEnd"/>
          </w:p>
        </w:tc>
        <w:tc>
          <w:tcPr>
            <w:tcW w:w="2394" w:type="dxa"/>
            <w:vAlign w:val="center"/>
          </w:tcPr>
          <w:p w:rsidR="006B0412" w:rsidRPr="002C75B8" w:rsidRDefault="006B0412" w:rsidP="00A7768B">
            <w:pPr>
              <w:ind w:left="0" w:firstLine="0"/>
              <w:jc w:val="center"/>
              <w:rPr>
                <w:b/>
                <w:bCs/>
                <w:sz w:val="22"/>
              </w:rPr>
            </w:pPr>
          </w:p>
          <w:p w:rsidR="006B0412" w:rsidRPr="002C75B8" w:rsidRDefault="006B0412" w:rsidP="00A7768B">
            <w:pPr>
              <w:ind w:left="0" w:firstLine="0"/>
              <w:jc w:val="center"/>
              <w:rPr>
                <w:sz w:val="22"/>
                <w:lang w:val="en-US"/>
              </w:rPr>
            </w:pPr>
            <w:r w:rsidRPr="002C75B8">
              <w:rPr>
                <w:b/>
                <w:bCs/>
                <w:sz w:val="22"/>
              </w:rPr>
              <w:t xml:space="preserve">Vector </w:t>
            </w:r>
            <w:proofErr w:type="spellStart"/>
            <w:r w:rsidRPr="002C75B8">
              <w:rPr>
                <w:b/>
                <w:bCs/>
                <w:sz w:val="22"/>
              </w:rPr>
              <w:t>species</w:t>
            </w:r>
            <w:proofErr w:type="spellEnd"/>
          </w:p>
        </w:tc>
        <w:tc>
          <w:tcPr>
            <w:tcW w:w="2394" w:type="dxa"/>
            <w:vAlign w:val="center"/>
          </w:tcPr>
          <w:p w:rsidR="006B0412" w:rsidRPr="002C75B8" w:rsidRDefault="006B0412" w:rsidP="00A7768B">
            <w:pPr>
              <w:ind w:left="0" w:firstLine="0"/>
              <w:jc w:val="center"/>
              <w:rPr>
                <w:b/>
                <w:bCs/>
                <w:sz w:val="22"/>
              </w:rPr>
            </w:pPr>
          </w:p>
          <w:p w:rsidR="006B0412" w:rsidRPr="002C75B8" w:rsidRDefault="006B0412" w:rsidP="00A7768B">
            <w:pPr>
              <w:ind w:left="0" w:firstLine="0"/>
              <w:jc w:val="center"/>
              <w:rPr>
                <w:sz w:val="22"/>
                <w:lang w:val="en-US"/>
              </w:rPr>
            </w:pPr>
            <w:proofErr w:type="spellStart"/>
            <w:r w:rsidRPr="002C75B8">
              <w:rPr>
                <w:b/>
                <w:bCs/>
                <w:sz w:val="22"/>
              </w:rPr>
              <w:t>Reservoirs</w:t>
            </w:r>
            <w:proofErr w:type="spellEnd"/>
          </w:p>
        </w:tc>
      </w:tr>
      <w:tr w:rsidR="006B0412" w:rsidRPr="002C75B8" w:rsidTr="00A7768B">
        <w:tc>
          <w:tcPr>
            <w:tcW w:w="2394" w:type="dxa"/>
            <w:vAlign w:val="center"/>
          </w:tcPr>
          <w:p w:rsidR="006B0412" w:rsidRPr="002C75B8" w:rsidRDefault="006B0412" w:rsidP="00A7768B">
            <w:pPr>
              <w:pStyle w:val="NormalWeb"/>
              <w:spacing w:before="0" w:beforeAutospacing="0" w:after="0" w:afterAutospacing="0" w:line="313" w:lineRule="atLeast"/>
              <w:textAlignment w:val="baseline"/>
              <w:rPr>
                <w:rFonts w:ascii="Arial" w:hAnsi="Arial" w:cs="Arial"/>
                <w:sz w:val="22"/>
                <w:szCs w:val="22"/>
              </w:rPr>
            </w:pPr>
            <w:r w:rsidRPr="002C75B8">
              <w:rPr>
                <w:rFonts w:ascii="Arial" w:eastAsia="Cambria" w:hAnsi="Arial" w:cs="Arial"/>
                <w:i/>
                <w:iCs/>
                <w:color w:val="000000"/>
                <w:kern w:val="24"/>
                <w:sz w:val="22"/>
                <w:szCs w:val="22"/>
              </w:rPr>
              <w:t>L. donovani</w:t>
            </w:r>
          </w:p>
        </w:tc>
        <w:tc>
          <w:tcPr>
            <w:tcW w:w="2394" w:type="dxa"/>
            <w:vAlign w:val="center"/>
          </w:tcPr>
          <w:p w:rsidR="006B0412" w:rsidRPr="002C75B8" w:rsidRDefault="006B0412" w:rsidP="00A7768B">
            <w:pPr>
              <w:pStyle w:val="NormalWeb"/>
              <w:spacing w:before="0" w:beforeAutospacing="0" w:after="0" w:afterAutospacing="0" w:line="313" w:lineRule="atLeast"/>
              <w:textAlignment w:val="baseline"/>
              <w:rPr>
                <w:rFonts w:ascii="Arial" w:hAnsi="Arial" w:cs="Arial"/>
                <w:sz w:val="22"/>
                <w:szCs w:val="22"/>
              </w:rPr>
            </w:pPr>
            <w:r w:rsidRPr="002C75B8">
              <w:rPr>
                <w:rFonts w:ascii="Arial" w:eastAsia="Cambria" w:hAnsi="Arial" w:cs="Arial"/>
                <w:color w:val="000000"/>
                <w:kern w:val="24"/>
                <w:sz w:val="22"/>
                <w:szCs w:val="22"/>
              </w:rPr>
              <w:t>AVL, PKDL</w:t>
            </w:r>
          </w:p>
        </w:tc>
        <w:tc>
          <w:tcPr>
            <w:tcW w:w="2394" w:type="dxa"/>
            <w:vAlign w:val="center"/>
          </w:tcPr>
          <w:p w:rsidR="006B0412" w:rsidRPr="002C75B8" w:rsidRDefault="006B0412" w:rsidP="00A7768B">
            <w:pPr>
              <w:pStyle w:val="NormalWeb"/>
              <w:spacing w:before="0" w:beforeAutospacing="0" w:after="0" w:afterAutospacing="0" w:line="313" w:lineRule="atLeast"/>
              <w:textAlignment w:val="baseline"/>
              <w:rPr>
                <w:rFonts w:ascii="Arial" w:hAnsi="Arial" w:cs="Arial"/>
                <w:sz w:val="22"/>
                <w:szCs w:val="22"/>
              </w:rPr>
            </w:pPr>
            <w:r w:rsidRPr="002C75B8">
              <w:rPr>
                <w:rFonts w:ascii="Arial" w:eastAsia="Cambria" w:hAnsi="Arial" w:cs="Arial"/>
                <w:i/>
                <w:iCs/>
                <w:color w:val="000000"/>
                <w:kern w:val="24"/>
                <w:sz w:val="22"/>
                <w:szCs w:val="22"/>
              </w:rPr>
              <w:t>P. argentipes</w:t>
            </w:r>
          </w:p>
        </w:tc>
        <w:tc>
          <w:tcPr>
            <w:tcW w:w="2394" w:type="dxa"/>
            <w:vAlign w:val="center"/>
          </w:tcPr>
          <w:p w:rsidR="006B0412" w:rsidRPr="002C75B8" w:rsidRDefault="006B0412" w:rsidP="00A7768B">
            <w:pPr>
              <w:pStyle w:val="NormalWeb"/>
              <w:spacing w:before="0" w:beforeAutospacing="0" w:after="0" w:afterAutospacing="0" w:line="313" w:lineRule="atLeast"/>
              <w:textAlignment w:val="baseline"/>
              <w:rPr>
                <w:rFonts w:ascii="Arial" w:hAnsi="Arial" w:cs="Arial"/>
                <w:sz w:val="22"/>
                <w:szCs w:val="22"/>
              </w:rPr>
            </w:pPr>
            <w:r w:rsidRPr="002C75B8">
              <w:rPr>
                <w:rFonts w:ascii="Arial" w:eastAsia="Cambria" w:hAnsi="Arial" w:cs="Arial"/>
                <w:color w:val="000000"/>
                <w:kern w:val="24"/>
                <w:sz w:val="22"/>
                <w:szCs w:val="22"/>
              </w:rPr>
              <w:t>Human</w:t>
            </w:r>
          </w:p>
        </w:tc>
      </w:tr>
      <w:tr w:rsidR="006B0412" w:rsidRPr="002C75B8" w:rsidTr="00A7768B">
        <w:tc>
          <w:tcPr>
            <w:tcW w:w="2394" w:type="dxa"/>
            <w:vAlign w:val="center"/>
          </w:tcPr>
          <w:p w:rsidR="006B0412" w:rsidRPr="002C75B8" w:rsidRDefault="006B0412" w:rsidP="00A7768B">
            <w:pPr>
              <w:pStyle w:val="NormalWeb"/>
              <w:spacing w:before="0" w:beforeAutospacing="0" w:after="0" w:afterAutospacing="0" w:line="313" w:lineRule="atLeast"/>
              <w:textAlignment w:val="baseline"/>
              <w:rPr>
                <w:rFonts w:ascii="Arial" w:hAnsi="Arial" w:cs="Arial"/>
                <w:sz w:val="22"/>
                <w:szCs w:val="22"/>
              </w:rPr>
            </w:pPr>
            <w:r w:rsidRPr="002C75B8">
              <w:rPr>
                <w:rFonts w:ascii="Arial" w:eastAsia="Cambria" w:hAnsi="Arial" w:cs="Arial"/>
                <w:i/>
                <w:iCs/>
                <w:color w:val="000000"/>
                <w:kern w:val="24"/>
                <w:sz w:val="22"/>
                <w:szCs w:val="22"/>
              </w:rPr>
              <w:t>L. major</w:t>
            </w:r>
          </w:p>
        </w:tc>
        <w:tc>
          <w:tcPr>
            <w:tcW w:w="2394" w:type="dxa"/>
            <w:vAlign w:val="center"/>
          </w:tcPr>
          <w:p w:rsidR="006B0412" w:rsidRPr="002C75B8" w:rsidRDefault="006B0412" w:rsidP="00A7768B">
            <w:pPr>
              <w:pStyle w:val="NormalWeb"/>
              <w:spacing w:before="0" w:beforeAutospacing="0" w:after="0" w:afterAutospacing="0"/>
              <w:textAlignment w:val="baseline"/>
              <w:rPr>
                <w:rFonts w:ascii="Arial" w:hAnsi="Arial" w:cs="Arial"/>
                <w:sz w:val="22"/>
                <w:szCs w:val="22"/>
              </w:rPr>
            </w:pPr>
            <w:r w:rsidRPr="002C75B8">
              <w:rPr>
                <w:rFonts w:ascii="Arial" w:eastAsia="Cambria" w:hAnsi="Arial" w:cs="Arial"/>
                <w:color w:val="000000"/>
                <w:kern w:val="24"/>
                <w:sz w:val="22"/>
                <w:szCs w:val="22"/>
              </w:rPr>
              <w:t>ZCL</w:t>
            </w:r>
          </w:p>
        </w:tc>
        <w:tc>
          <w:tcPr>
            <w:tcW w:w="2394" w:type="dxa"/>
            <w:vAlign w:val="center"/>
          </w:tcPr>
          <w:p w:rsidR="006B0412" w:rsidRDefault="006B0412" w:rsidP="00A7768B">
            <w:pPr>
              <w:pStyle w:val="NormalWeb"/>
              <w:spacing w:before="0" w:beforeAutospacing="0" w:after="0" w:afterAutospacing="0"/>
              <w:textAlignment w:val="baseline"/>
              <w:rPr>
                <w:rFonts w:ascii="Arial" w:eastAsia="Cambria" w:hAnsi="Arial" w:cs="Arial"/>
                <w:i/>
                <w:iCs/>
                <w:color w:val="000000"/>
                <w:kern w:val="24"/>
                <w:sz w:val="22"/>
                <w:szCs w:val="22"/>
              </w:rPr>
            </w:pPr>
            <w:r>
              <w:rPr>
                <w:rFonts w:ascii="Arial" w:eastAsia="Cambria" w:hAnsi="Arial" w:cs="Arial"/>
                <w:i/>
                <w:iCs/>
                <w:color w:val="000000"/>
                <w:kern w:val="24"/>
                <w:sz w:val="22"/>
                <w:szCs w:val="22"/>
              </w:rPr>
              <w:t xml:space="preserve">P. </w:t>
            </w:r>
            <w:proofErr w:type="spellStart"/>
            <w:r>
              <w:rPr>
                <w:rFonts w:ascii="Arial" w:eastAsia="Cambria" w:hAnsi="Arial" w:cs="Arial"/>
                <w:i/>
                <w:iCs/>
                <w:color w:val="000000"/>
                <w:kern w:val="24"/>
                <w:sz w:val="22"/>
                <w:szCs w:val="22"/>
              </w:rPr>
              <w:t>saheli</w:t>
            </w:r>
            <w:proofErr w:type="spellEnd"/>
            <w:r w:rsidRPr="002C75B8">
              <w:rPr>
                <w:rFonts w:ascii="Arial" w:eastAsia="Cambria" w:hAnsi="Arial" w:cs="Arial"/>
                <w:i/>
                <w:iCs/>
                <w:color w:val="000000"/>
                <w:kern w:val="24"/>
                <w:sz w:val="22"/>
                <w:szCs w:val="22"/>
              </w:rPr>
              <w:t xml:space="preserve">, </w:t>
            </w:r>
          </w:p>
          <w:p w:rsidR="006B0412" w:rsidRPr="002C75B8" w:rsidRDefault="006B0412" w:rsidP="00A7768B">
            <w:pPr>
              <w:pStyle w:val="NormalWeb"/>
              <w:spacing w:before="0" w:beforeAutospacing="0" w:after="0" w:afterAutospacing="0"/>
              <w:textAlignment w:val="baseline"/>
              <w:rPr>
                <w:rFonts w:ascii="Arial" w:hAnsi="Arial" w:cs="Arial"/>
                <w:sz w:val="22"/>
                <w:szCs w:val="22"/>
              </w:rPr>
            </w:pPr>
            <w:r w:rsidRPr="002C75B8">
              <w:rPr>
                <w:rFonts w:ascii="Arial" w:eastAsia="Cambria" w:hAnsi="Arial" w:cs="Arial"/>
                <w:i/>
                <w:iCs/>
                <w:color w:val="000000"/>
                <w:kern w:val="24"/>
                <w:sz w:val="22"/>
                <w:szCs w:val="22"/>
              </w:rPr>
              <w:t xml:space="preserve">P. </w:t>
            </w:r>
            <w:proofErr w:type="spellStart"/>
            <w:r w:rsidRPr="002C75B8">
              <w:rPr>
                <w:rFonts w:ascii="Arial" w:eastAsia="Cambria" w:hAnsi="Arial" w:cs="Arial"/>
                <w:i/>
                <w:iCs/>
                <w:color w:val="000000"/>
                <w:kern w:val="24"/>
                <w:sz w:val="22"/>
                <w:szCs w:val="22"/>
              </w:rPr>
              <w:t>papatasi</w:t>
            </w:r>
            <w:proofErr w:type="spellEnd"/>
            <w:r w:rsidRPr="002C75B8">
              <w:rPr>
                <w:rFonts w:ascii="Arial" w:eastAsia="Cambria" w:hAnsi="Arial" w:cs="Arial"/>
                <w:i/>
                <w:iCs/>
                <w:color w:val="000000"/>
                <w:kern w:val="24"/>
                <w:sz w:val="22"/>
                <w:szCs w:val="22"/>
              </w:rPr>
              <w:t xml:space="preserve"> </w:t>
            </w:r>
          </w:p>
        </w:tc>
        <w:tc>
          <w:tcPr>
            <w:tcW w:w="2394" w:type="dxa"/>
            <w:vAlign w:val="center"/>
          </w:tcPr>
          <w:p w:rsidR="006B0412" w:rsidRPr="002C75B8" w:rsidRDefault="006B0412" w:rsidP="00A7768B">
            <w:pPr>
              <w:pStyle w:val="NormalWeb"/>
              <w:spacing w:before="0" w:beforeAutospacing="0" w:after="0" w:afterAutospacing="0" w:line="313" w:lineRule="atLeast"/>
              <w:textAlignment w:val="baseline"/>
              <w:rPr>
                <w:rFonts w:ascii="Arial" w:hAnsi="Arial" w:cs="Arial"/>
                <w:sz w:val="22"/>
                <w:szCs w:val="22"/>
              </w:rPr>
            </w:pPr>
            <w:proofErr w:type="spellStart"/>
            <w:r w:rsidRPr="002C75B8">
              <w:rPr>
                <w:rFonts w:ascii="Arial" w:eastAsia="Cambria" w:hAnsi="Arial" w:cs="Arial"/>
                <w:i/>
                <w:iCs/>
                <w:color w:val="000000"/>
                <w:kern w:val="24"/>
                <w:sz w:val="22"/>
                <w:szCs w:val="22"/>
              </w:rPr>
              <w:t>M</w:t>
            </w:r>
            <w:r>
              <w:rPr>
                <w:rFonts w:ascii="Arial" w:eastAsia="Cambria" w:hAnsi="Arial" w:cs="Arial"/>
                <w:i/>
                <w:iCs/>
                <w:color w:val="000000"/>
                <w:kern w:val="24"/>
                <w:sz w:val="22"/>
                <w:szCs w:val="22"/>
              </w:rPr>
              <w:t>eriones</w:t>
            </w:r>
            <w:proofErr w:type="spellEnd"/>
            <w:r w:rsidRPr="002C75B8">
              <w:rPr>
                <w:rFonts w:ascii="Arial" w:eastAsia="Cambria" w:hAnsi="Arial" w:cs="Arial"/>
                <w:i/>
                <w:iCs/>
                <w:color w:val="000000"/>
                <w:kern w:val="24"/>
                <w:sz w:val="22"/>
                <w:szCs w:val="22"/>
              </w:rPr>
              <w:t xml:space="preserve"> </w:t>
            </w:r>
            <w:proofErr w:type="spellStart"/>
            <w:r w:rsidRPr="002C75B8">
              <w:rPr>
                <w:rFonts w:ascii="Arial" w:eastAsia="Cambria" w:hAnsi="Arial" w:cs="Arial"/>
                <w:i/>
                <w:iCs/>
                <w:color w:val="000000"/>
                <w:kern w:val="24"/>
                <w:sz w:val="22"/>
                <w:szCs w:val="22"/>
              </w:rPr>
              <w:t>hurrianae</w:t>
            </w:r>
            <w:proofErr w:type="spellEnd"/>
          </w:p>
        </w:tc>
      </w:tr>
      <w:tr w:rsidR="006B0412" w:rsidRPr="002C75B8" w:rsidTr="00A7768B">
        <w:tc>
          <w:tcPr>
            <w:tcW w:w="2394" w:type="dxa"/>
            <w:vAlign w:val="center"/>
          </w:tcPr>
          <w:p w:rsidR="006B0412" w:rsidRPr="002C75B8" w:rsidRDefault="006B0412" w:rsidP="00A7768B">
            <w:pPr>
              <w:pStyle w:val="NormalWeb"/>
              <w:spacing w:before="0" w:beforeAutospacing="0" w:after="0" w:afterAutospacing="0" w:line="313" w:lineRule="atLeast"/>
              <w:textAlignment w:val="baseline"/>
              <w:rPr>
                <w:rFonts w:ascii="Arial" w:hAnsi="Arial" w:cs="Arial"/>
                <w:sz w:val="22"/>
                <w:szCs w:val="22"/>
              </w:rPr>
            </w:pPr>
            <w:r w:rsidRPr="002C75B8">
              <w:rPr>
                <w:rFonts w:ascii="Arial" w:eastAsia="Cambria" w:hAnsi="Arial" w:cs="Arial"/>
                <w:i/>
                <w:iCs/>
                <w:color w:val="000000"/>
                <w:kern w:val="24"/>
                <w:sz w:val="22"/>
                <w:szCs w:val="22"/>
              </w:rPr>
              <w:t>L. tropica</w:t>
            </w:r>
          </w:p>
        </w:tc>
        <w:tc>
          <w:tcPr>
            <w:tcW w:w="2394" w:type="dxa"/>
            <w:vAlign w:val="center"/>
          </w:tcPr>
          <w:p w:rsidR="006B0412" w:rsidRPr="002C75B8" w:rsidRDefault="006B0412" w:rsidP="00A7768B">
            <w:pPr>
              <w:pStyle w:val="NormalWeb"/>
              <w:spacing w:before="0" w:beforeAutospacing="0" w:after="0" w:afterAutospacing="0" w:line="313" w:lineRule="atLeast"/>
              <w:textAlignment w:val="baseline"/>
              <w:rPr>
                <w:rFonts w:ascii="Arial" w:hAnsi="Arial" w:cs="Arial"/>
                <w:sz w:val="22"/>
                <w:szCs w:val="22"/>
              </w:rPr>
            </w:pPr>
            <w:r w:rsidRPr="002C75B8">
              <w:rPr>
                <w:rFonts w:ascii="Arial" w:eastAsia="Cambria" w:hAnsi="Arial" w:cs="Arial"/>
                <w:color w:val="000000"/>
                <w:kern w:val="24"/>
                <w:sz w:val="22"/>
                <w:szCs w:val="22"/>
              </w:rPr>
              <w:t>ACL</w:t>
            </w:r>
          </w:p>
        </w:tc>
        <w:tc>
          <w:tcPr>
            <w:tcW w:w="2394" w:type="dxa"/>
            <w:vAlign w:val="center"/>
          </w:tcPr>
          <w:p w:rsidR="006B0412" w:rsidRPr="002C75B8" w:rsidRDefault="006B0412" w:rsidP="00A7768B">
            <w:pPr>
              <w:pStyle w:val="NormalWeb"/>
              <w:spacing w:before="0" w:beforeAutospacing="0" w:after="0" w:afterAutospacing="0" w:line="313" w:lineRule="atLeast"/>
              <w:textAlignment w:val="baseline"/>
              <w:rPr>
                <w:rFonts w:ascii="Arial" w:hAnsi="Arial" w:cs="Arial"/>
                <w:sz w:val="22"/>
                <w:szCs w:val="22"/>
              </w:rPr>
            </w:pPr>
            <w:r w:rsidRPr="002C75B8">
              <w:rPr>
                <w:rFonts w:ascii="Arial" w:eastAsia="Cambria" w:hAnsi="Arial" w:cs="Arial"/>
                <w:i/>
                <w:iCs/>
                <w:color w:val="000000"/>
                <w:kern w:val="24"/>
                <w:sz w:val="22"/>
                <w:szCs w:val="22"/>
              </w:rPr>
              <w:t xml:space="preserve">P. </w:t>
            </w:r>
            <w:proofErr w:type="spellStart"/>
            <w:r w:rsidRPr="002C75B8">
              <w:rPr>
                <w:rFonts w:ascii="Arial" w:eastAsia="Cambria" w:hAnsi="Arial" w:cs="Arial"/>
                <w:i/>
                <w:iCs/>
                <w:color w:val="000000"/>
                <w:kern w:val="24"/>
                <w:sz w:val="22"/>
                <w:szCs w:val="22"/>
              </w:rPr>
              <w:t>sergenti</w:t>
            </w:r>
            <w:proofErr w:type="spellEnd"/>
            <w:r w:rsidRPr="002C75B8">
              <w:rPr>
                <w:rFonts w:ascii="Arial" w:eastAsia="Cambria" w:hAnsi="Arial" w:cs="Arial"/>
                <w:i/>
                <w:iCs/>
                <w:color w:val="000000"/>
                <w:kern w:val="24"/>
                <w:sz w:val="22"/>
                <w:szCs w:val="22"/>
              </w:rPr>
              <w:t xml:space="preserve"> </w:t>
            </w:r>
          </w:p>
        </w:tc>
        <w:tc>
          <w:tcPr>
            <w:tcW w:w="2394" w:type="dxa"/>
            <w:vAlign w:val="center"/>
          </w:tcPr>
          <w:p w:rsidR="006B0412" w:rsidRPr="002C75B8" w:rsidRDefault="006B0412" w:rsidP="00A7768B">
            <w:pPr>
              <w:pStyle w:val="NormalWeb"/>
              <w:spacing w:before="0" w:beforeAutospacing="0" w:after="0" w:afterAutospacing="0" w:line="313" w:lineRule="atLeast"/>
              <w:textAlignment w:val="baseline"/>
              <w:rPr>
                <w:rFonts w:ascii="Arial" w:hAnsi="Arial" w:cs="Arial"/>
                <w:sz w:val="22"/>
                <w:szCs w:val="22"/>
              </w:rPr>
            </w:pPr>
            <w:r w:rsidRPr="002C75B8">
              <w:rPr>
                <w:rFonts w:ascii="Arial" w:eastAsia="Cambria" w:hAnsi="Arial" w:cs="Arial"/>
                <w:color w:val="000000"/>
                <w:kern w:val="24"/>
                <w:sz w:val="22"/>
                <w:szCs w:val="22"/>
              </w:rPr>
              <w:t>Human</w:t>
            </w:r>
          </w:p>
        </w:tc>
      </w:tr>
    </w:tbl>
    <w:p w:rsidR="006B0412" w:rsidRPr="002C75B8"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r w:rsidRPr="002C75B8">
        <w:rPr>
          <w:b/>
          <w:sz w:val="22"/>
          <w:lang w:val="en-US"/>
        </w:rPr>
        <w:lastRenderedPageBreak/>
        <w:t>MAPS AND TRENDS</w:t>
      </w:r>
    </w:p>
    <w:p w:rsidR="006B0412" w:rsidRPr="002C75B8" w:rsidRDefault="006B0412" w:rsidP="006B0412">
      <w:pPr>
        <w:ind w:left="0" w:firstLine="0"/>
        <w:rPr>
          <w:b/>
          <w:sz w:val="22"/>
          <w:lang w:val="en-US"/>
        </w:rPr>
      </w:pPr>
    </w:p>
    <w:p w:rsidR="006B0412" w:rsidRPr="002C75B8" w:rsidRDefault="006B0412" w:rsidP="006B0412">
      <w:pPr>
        <w:ind w:left="0" w:firstLine="0"/>
        <w:rPr>
          <w:b/>
          <w:sz w:val="22"/>
          <w:lang w:val="en-US"/>
        </w:rPr>
      </w:pPr>
      <w:r w:rsidRPr="002C75B8">
        <w:rPr>
          <w:b/>
          <w:sz w:val="22"/>
          <w:lang w:val="en-US"/>
        </w:rPr>
        <w:t>Visceral leishmaniasis</w:t>
      </w:r>
    </w:p>
    <w:p w:rsidR="006B0412" w:rsidRDefault="006B0412" w:rsidP="006B0412">
      <w:pPr>
        <w:ind w:left="0" w:firstLine="0"/>
        <w:rPr>
          <w:b/>
          <w:sz w:val="22"/>
          <w:lang w:val="en-US"/>
        </w:rPr>
      </w:pPr>
      <w:r>
        <w:rPr>
          <w:b/>
          <w:noProof/>
          <w:sz w:val="22"/>
          <w:lang w:val="en-US"/>
        </w:rPr>
        <w:drawing>
          <wp:anchor distT="0" distB="0" distL="114300" distR="114300" simplePos="0" relativeHeight="251663360" behindDoc="0" locked="0" layoutInCell="1" allowOverlap="1">
            <wp:simplePos x="0" y="0"/>
            <wp:positionH relativeFrom="column">
              <wp:posOffset>342900</wp:posOffset>
            </wp:positionH>
            <wp:positionV relativeFrom="paragraph">
              <wp:posOffset>43180</wp:posOffset>
            </wp:positionV>
            <wp:extent cx="2625090" cy="3716655"/>
            <wp:effectExtent l="1905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625090" cy="3716655"/>
                    </a:xfrm>
                    <a:prstGeom prst="rect">
                      <a:avLst/>
                    </a:prstGeom>
                    <a:noFill/>
                    <a:ln w="9525">
                      <a:noFill/>
                      <a:miter lim="800000"/>
                      <a:headEnd/>
                      <a:tailEnd/>
                    </a:ln>
                  </pic:spPr>
                </pic:pic>
              </a:graphicData>
            </a:graphic>
          </wp:anchor>
        </w:drawing>
      </w:r>
      <w:r>
        <w:rPr>
          <w:b/>
          <w:noProof/>
          <w:sz w:val="22"/>
          <w:lang w:val="en-US"/>
        </w:rPr>
        <w:drawing>
          <wp:anchor distT="0" distB="0" distL="114300" distR="114300" simplePos="0" relativeHeight="251662336" behindDoc="0" locked="0" layoutInCell="1" allowOverlap="1">
            <wp:simplePos x="0" y="0"/>
            <wp:positionH relativeFrom="column">
              <wp:posOffset>3286125</wp:posOffset>
            </wp:positionH>
            <wp:positionV relativeFrom="paragraph">
              <wp:posOffset>43180</wp:posOffset>
            </wp:positionV>
            <wp:extent cx="2626995" cy="3716655"/>
            <wp:effectExtent l="1905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626995" cy="3716655"/>
                    </a:xfrm>
                    <a:prstGeom prst="rect">
                      <a:avLst/>
                    </a:prstGeom>
                    <a:noFill/>
                    <a:ln w="9525">
                      <a:noFill/>
                      <a:miter lim="800000"/>
                      <a:headEnd/>
                      <a:tailEnd/>
                    </a:ln>
                  </pic:spPr>
                </pic:pic>
              </a:graphicData>
            </a:graphic>
          </wp:anchor>
        </w:drawing>
      </w: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r w:rsidRPr="002C75B8">
        <w:rPr>
          <w:b/>
          <w:sz w:val="22"/>
          <w:lang w:val="en-US"/>
        </w:rPr>
        <w:t xml:space="preserve">  </w:t>
      </w: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p>
    <w:p w:rsidR="006B0412" w:rsidRDefault="006B0412" w:rsidP="006B0412">
      <w:pPr>
        <w:ind w:left="0" w:firstLine="0"/>
        <w:rPr>
          <w:b/>
          <w:sz w:val="22"/>
          <w:lang w:val="en-US"/>
        </w:rPr>
      </w:pPr>
      <w:r>
        <w:rPr>
          <w:b/>
          <w:sz w:val="22"/>
          <w:lang w:val="en-US"/>
        </w:rPr>
        <w:t>Cutaneous leishmaniasis</w:t>
      </w:r>
    </w:p>
    <w:p w:rsidR="006B0412" w:rsidRDefault="006B0412" w:rsidP="006B0412">
      <w:pPr>
        <w:ind w:left="0" w:firstLine="0"/>
        <w:rPr>
          <w:b/>
          <w:sz w:val="22"/>
          <w:lang w:val="en-US"/>
        </w:rPr>
      </w:pPr>
    </w:p>
    <w:p w:rsidR="006B0412" w:rsidRPr="00620107" w:rsidRDefault="006B0412" w:rsidP="006B0412">
      <w:pPr>
        <w:ind w:left="0" w:firstLine="0"/>
        <w:rPr>
          <w:b/>
          <w:sz w:val="22"/>
          <w:lang w:val="en-US"/>
        </w:rPr>
      </w:pPr>
      <w:r>
        <w:rPr>
          <w:b/>
          <w:sz w:val="22"/>
          <w:lang w:val="en-US"/>
        </w:rPr>
        <w:t xml:space="preserve">            </w:t>
      </w:r>
      <w:r>
        <w:rPr>
          <w:b/>
          <w:noProof/>
          <w:sz w:val="22"/>
          <w:lang w:val="en-US"/>
        </w:rPr>
        <w:drawing>
          <wp:inline distT="0" distB="0" distL="0" distR="0">
            <wp:extent cx="2339340" cy="3307080"/>
            <wp:effectExtent l="19050" t="0" r="3810" b="0"/>
            <wp:docPr id="2" name="Picture 2" descr="INCLmo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CLmod2"/>
                    <pic:cNvPicPr>
                      <a:picLocks noChangeAspect="1" noChangeArrowheads="1"/>
                    </pic:cNvPicPr>
                  </pic:nvPicPr>
                  <pic:blipFill>
                    <a:blip r:embed="rId8" cstate="print"/>
                    <a:srcRect/>
                    <a:stretch>
                      <a:fillRect/>
                    </a:stretch>
                  </pic:blipFill>
                  <pic:spPr bwMode="auto">
                    <a:xfrm>
                      <a:off x="0" y="0"/>
                      <a:ext cx="2339340" cy="3307080"/>
                    </a:xfrm>
                    <a:prstGeom prst="rect">
                      <a:avLst/>
                    </a:prstGeom>
                    <a:noFill/>
                    <a:ln w="9525">
                      <a:noFill/>
                      <a:miter lim="800000"/>
                      <a:headEnd/>
                      <a:tailEnd/>
                    </a:ln>
                  </pic:spPr>
                </pic:pic>
              </a:graphicData>
            </a:graphic>
          </wp:inline>
        </w:drawing>
      </w:r>
    </w:p>
    <w:p w:rsidR="006B0412" w:rsidRDefault="006B0412" w:rsidP="006B0412">
      <w:pPr>
        <w:ind w:left="0" w:firstLine="0"/>
        <w:rPr>
          <w:b/>
          <w:sz w:val="22"/>
          <w:lang w:val="en-US"/>
        </w:rPr>
      </w:pPr>
    </w:p>
    <w:p w:rsidR="006B0412" w:rsidRPr="002C75B8" w:rsidRDefault="006B0412" w:rsidP="006B0412">
      <w:pPr>
        <w:ind w:left="0" w:firstLine="0"/>
        <w:rPr>
          <w:sz w:val="22"/>
          <w:lang w:val="en-US"/>
        </w:rPr>
      </w:pPr>
      <w:r w:rsidRPr="002C75B8">
        <w:rPr>
          <w:b/>
          <w:sz w:val="22"/>
          <w:lang w:val="en-US"/>
        </w:rPr>
        <w:lastRenderedPageBreak/>
        <w:t>Visceral leishmaniasis trend</w:t>
      </w:r>
    </w:p>
    <w:p w:rsidR="006B0412" w:rsidRDefault="006B0412" w:rsidP="006B0412">
      <w:pPr>
        <w:ind w:left="0" w:firstLine="0"/>
        <w:rPr>
          <w:b/>
          <w:sz w:val="22"/>
          <w:lang w:val="en-US"/>
        </w:rPr>
      </w:pPr>
    </w:p>
    <w:p w:rsidR="006B0412" w:rsidRPr="002C75B8" w:rsidRDefault="006B0412" w:rsidP="006B0412">
      <w:pPr>
        <w:ind w:left="0" w:firstLine="0"/>
        <w:rPr>
          <w:b/>
          <w:sz w:val="22"/>
          <w:lang w:val="en-US"/>
        </w:rPr>
      </w:pPr>
      <w:r>
        <w:rPr>
          <w:b/>
          <w:noProof/>
          <w:sz w:val="22"/>
          <w:lang w:val="en-US"/>
        </w:rPr>
        <w:drawing>
          <wp:anchor distT="0" distB="0" distL="114300" distR="114300" simplePos="0" relativeHeight="251660288" behindDoc="0" locked="0" layoutInCell="1" allowOverlap="1">
            <wp:simplePos x="0" y="0"/>
            <wp:positionH relativeFrom="column">
              <wp:posOffset>-800100</wp:posOffset>
            </wp:positionH>
            <wp:positionV relativeFrom="paragraph">
              <wp:posOffset>21590</wp:posOffset>
            </wp:positionV>
            <wp:extent cx="7459980" cy="2517775"/>
            <wp:effectExtent l="0" t="0" r="0" b="0"/>
            <wp:wrapSquare wrapText="bothSides"/>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6B0412" w:rsidRPr="002C75B8" w:rsidRDefault="006B0412" w:rsidP="006B0412">
      <w:pPr>
        <w:ind w:left="0" w:firstLine="0"/>
        <w:rPr>
          <w:rFonts w:eastAsia="Times New Roman"/>
          <w:b/>
          <w:bCs/>
          <w:sz w:val="22"/>
          <w:lang w:val="en-US" w:eastAsia="es-ES"/>
        </w:rPr>
      </w:pPr>
      <w:r w:rsidRPr="002C75B8">
        <w:rPr>
          <w:b/>
          <w:sz w:val="22"/>
          <w:lang w:val="en-US"/>
        </w:rPr>
        <w:t>Cutaneous leishmaniasis trend</w:t>
      </w:r>
    </w:p>
    <w:p w:rsidR="006B0412" w:rsidRDefault="006B0412" w:rsidP="006B0412">
      <w:pPr>
        <w:ind w:left="0" w:firstLine="0"/>
        <w:rPr>
          <w:rFonts w:eastAsia="Times New Roman"/>
          <w:b/>
          <w:bCs/>
          <w:sz w:val="22"/>
          <w:lang w:val="en-US" w:eastAsia="es-ES"/>
        </w:rPr>
      </w:pPr>
      <w:r>
        <w:rPr>
          <w:rFonts w:eastAsia="Times New Roman"/>
          <w:b/>
          <w:bCs/>
          <w:noProof/>
          <w:sz w:val="22"/>
          <w:lang w:val="en-US"/>
        </w:rPr>
        <w:drawing>
          <wp:anchor distT="0" distB="0" distL="114300" distR="114300" simplePos="0" relativeHeight="251661312" behindDoc="0" locked="0" layoutInCell="1" allowOverlap="1">
            <wp:simplePos x="0" y="0"/>
            <wp:positionH relativeFrom="column">
              <wp:posOffset>685800</wp:posOffset>
            </wp:positionH>
            <wp:positionV relativeFrom="paragraph">
              <wp:posOffset>18415</wp:posOffset>
            </wp:positionV>
            <wp:extent cx="3100705" cy="1954530"/>
            <wp:effectExtent l="0" t="0" r="0" b="0"/>
            <wp:wrapNone/>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6B0412" w:rsidRPr="002C75B8" w:rsidRDefault="006B0412" w:rsidP="006B0412">
      <w:pPr>
        <w:ind w:left="0" w:firstLine="0"/>
        <w:rPr>
          <w:rFonts w:eastAsia="Times New Roman"/>
          <w:b/>
          <w:bCs/>
          <w:sz w:val="22"/>
          <w:lang w:val="en-US" w:eastAsia="es-ES"/>
        </w:rPr>
      </w:pPr>
    </w:p>
    <w:p w:rsidR="006B0412" w:rsidRPr="002C75B8" w:rsidRDefault="006B0412" w:rsidP="006B0412">
      <w:pPr>
        <w:ind w:left="0" w:firstLine="0"/>
        <w:rPr>
          <w:rFonts w:eastAsia="Times New Roman"/>
          <w:b/>
          <w:bCs/>
          <w:sz w:val="22"/>
          <w:lang w:val="en-US" w:eastAsia="es-ES"/>
        </w:rPr>
      </w:pPr>
    </w:p>
    <w:p w:rsidR="006B0412" w:rsidRPr="002C75B8" w:rsidRDefault="006B0412" w:rsidP="006B0412">
      <w:pPr>
        <w:ind w:left="0" w:firstLine="0"/>
        <w:rPr>
          <w:rFonts w:eastAsia="Times New Roman"/>
          <w:b/>
          <w:bCs/>
          <w:sz w:val="22"/>
          <w:lang w:val="en-US" w:eastAsia="es-ES"/>
        </w:rPr>
      </w:pPr>
    </w:p>
    <w:p w:rsidR="006B0412" w:rsidRPr="002C75B8" w:rsidRDefault="006B0412" w:rsidP="006B0412">
      <w:pPr>
        <w:ind w:left="0" w:firstLine="0"/>
        <w:rPr>
          <w:rFonts w:eastAsia="Times New Roman"/>
          <w:b/>
          <w:bCs/>
          <w:sz w:val="22"/>
          <w:lang w:val="en-US" w:eastAsia="es-ES"/>
        </w:rPr>
      </w:pPr>
    </w:p>
    <w:p w:rsidR="006B0412" w:rsidRPr="002C75B8" w:rsidRDefault="006B0412" w:rsidP="006B0412">
      <w:pPr>
        <w:ind w:left="0" w:firstLine="0"/>
        <w:rPr>
          <w:rFonts w:eastAsia="Times New Roman"/>
          <w:b/>
          <w:bCs/>
          <w:sz w:val="22"/>
          <w:lang w:val="en-US" w:eastAsia="es-ES"/>
        </w:rPr>
      </w:pPr>
    </w:p>
    <w:p w:rsidR="006B0412" w:rsidRPr="002C75B8" w:rsidRDefault="006B0412" w:rsidP="006B0412">
      <w:pPr>
        <w:ind w:left="0" w:firstLine="0"/>
        <w:rPr>
          <w:rFonts w:eastAsia="Times New Roman"/>
          <w:b/>
          <w:bCs/>
          <w:sz w:val="22"/>
          <w:lang w:val="en-US" w:eastAsia="es-ES"/>
        </w:rPr>
      </w:pPr>
    </w:p>
    <w:p w:rsidR="006B0412" w:rsidRDefault="006B0412" w:rsidP="006B0412">
      <w:pPr>
        <w:ind w:left="0" w:firstLine="0"/>
        <w:rPr>
          <w:rFonts w:eastAsia="Times New Roman"/>
          <w:b/>
          <w:bCs/>
          <w:sz w:val="22"/>
          <w:lang w:val="en-US" w:eastAsia="es-ES"/>
        </w:rPr>
      </w:pPr>
    </w:p>
    <w:p w:rsidR="006B0412" w:rsidRDefault="006B0412" w:rsidP="006B0412">
      <w:pPr>
        <w:ind w:left="0" w:firstLine="0"/>
        <w:rPr>
          <w:rFonts w:eastAsia="Times New Roman"/>
          <w:b/>
          <w:bCs/>
          <w:sz w:val="22"/>
          <w:lang w:val="en-US" w:eastAsia="es-ES"/>
        </w:rPr>
      </w:pPr>
    </w:p>
    <w:p w:rsidR="006B0412" w:rsidRDefault="006B0412" w:rsidP="006B0412">
      <w:pPr>
        <w:ind w:left="0" w:firstLine="0"/>
        <w:rPr>
          <w:rFonts w:eastAsia="Times New Roman"/>
          <w:b/>
          <w:bCs/>
          <w:sz w:val="22"/>
          <w:lang w:val="en-US" w:eastAsia="es-ES"/>
        </w:rPr>
      </w:pPr>
    </w:p>
    <w:p w:rsidR="006B0412" w:rsidRDefault="006B0412" w:rsidP="006B0412">
      <w:pPr>
        <w:ind w:left="0" w:firstLine="0"/>
        <w:rPr>
          <w:rFonts w:eastAsia="Times New Roman"/>
          <w:b/>
          <w:bCs/>
          <w:sz w:val="22"/>
          <w:lang w:val="en-US" w:eastAsia="es-ES"/>
        </w:rPr>
      </w:pPr>
    </w:p>
    <w:p w:rsidR="006B0412" w:rsidRDefault="006B0412" w:rsidP="006B0412">
      <w:pPr>
        <w:ind w:left="0" w:firstLine="0"/>
        <w:rPr>
          <w:rFonts w:eastAsia="Times New Roman"/>
          <w:b/>
          <w:bCs/>
          <w:sz w:val="22"/>
          <w:lang w:val="en-US" w:eastAsia="es-ES"/>
        </w:rPr>
      </w:pPr>
    </w:p>
    <w:p w:rsidR="006B0412" w:rsidRDefault="006B0412" w:rsidP="006B0412">
      <w:pPr>
        <w:ind w:left="0" w:firstLine="0"/>
        <w:rPr>
          <w:rFonts w:eastAsia="Times New Roman"/>
          <w:b/>
          <w:bCs/>
          <w:sz w:val="22"/>
          <w:lang w:val="en-US" w:eastAsia="es-ES"/>
        </w:rPr>
      </w:pPr>
    </w:p>
    <w:p w:rsidR="006B0412" w:rsidRDefault="006B0412" w:rsidP="006B0412">
      <w:pPr>
        <w:ind w:left="0" w:firstLine="0"/>
        <w:rPr>
          <w:rFonts w:eastAsia="Times New Roman"/>
          <w:b/>
          <w:bCs/>
          <w:sz w:val="22"/>
          <w:lang w:val="en-US" w:eastAsia="es-ES"/>
        </w:rPr>
      </w:pPr>
    </w:p>
    <w:p w:rsidR="006B0412" w:rsidRPr="002C75B8" w:rsidRDefault="006B0412" w:rsidP="006B0412">
      <w:pPr>
        <w:ind w:left="0" w:firstLine="0"/>
        <w:rPr>
          <w:rFonts w:eastAsia="Times New Roman"/>
          <w:b/>
          <w:bCs/>
          <w:sz w:val="22"/>
          <w:lang w:val="en-US" w:eastAsia="es-ES"/>
        </w:rPr>
      </w:pPr>
      <w:r w:rsidRPr="002C75B8">
        <w:rPr>
          <w:rFonts w:eastAsia="Times New Roman"/>
          <w:b/>
          <w:bCs/>
          <w:sz w:val="22"/>
          <w:lang w:val="en-US" w:eastAsia="es-ES"/>
        </w:rPr>
        <w:t>CONTROL</w:t>
      </w:r>
    </w:p>
    <w:p w:rsidR="006B0412" w:rsidRDefault="006B0412" w:rsidP="006B0412">
      <w:pPr>
        <w:ind w:left="0" w:firstLine="0"/>
        <w:rPr>
          <w:rFonts w:eastAsia="Times New Roman"/>
          <w:sz w:val="22"/>
          <w:lang w:val="en-GB" w:eastAsia="es-ES"/>
        </w:rPr>
      </w:pPr>
    </w:p>
    <w:p w:rsidR="006B0412" w:rsidRPr="002C75B8" w:rsidRDefault="006B0412" w:rsidP="006B0412">
      <w:pPr>
        <w:ind w:left="0" w:firstLine="0"/>
        <w:rPr>
          <w:rFonts w:eastAsia="SimSun"/>
          <w:sz w:val="22"/>
          <w:lang w:val="en-GB" w:eastAsia="zh-CN"/>
        </w:rPr>
      </w:pPr>
      <w:r w:rsidRPr="002C75B8">
        <w:rPr>
          <w:rFonts w:eastAsia="Times New Roman"/>
          <w:sz w:val="22"/>
          <w:lang w:val="en-GB" w:eastAsia="es-ES"/>
        </w:rPr>
        <w:t xml:space="preserve">The notification of VL is mandatory. Case reporting is </w:t>
      </w:r>
      <w:r w:rsidRPr="002C75B8">
        <w:rPr>
          <w:rFonts w:eastAsia="Times New Roman"/>
          <w:sz w:val="22"/>
          <w:lang w:val="en-US" w:eastAsia="es-ES"/>
        </w:rPr>
        <w:t xml:space="preserve">based on passive surveillance. </w:t>
      </w:r>
      <w:r>
        <w:rPr>
          <w:rFonts w:eastAsia="Times New Roman"/>
          <w:sz w:val="22"/>
          <w:lang w:val="en-US" w:eastAsia="es-ES"/>
        </w:rPr>
        <w:t>A</w:t>
      </w:r>
      <w:r w:rsidRPr="002C75B8">
        <w:rPr>
          <w:rFonts w:eastAsia="Times New Roman"/>
          <w:sz w:val="22"/>
          <w:lang w:val="en-US" w:eastAsia="es-ES"/>
        </w:rPr>
        <w:t xml:space="preserve"> Kala</w:t>
      </w:r>
      <w:r>
        <w:rPr>
          <w:rFonts w:eastAsia="Times New Roman"/>
          <w:sz w:val="22"/>
          <w:lang w:val="en-US" w:eastAsia="es-ES"/>
        </w:rPr>
        <w:t>-</w:t>
      </w:r>
      <w:r w:rsidRPr="002C75B8">
        <w:rPr>
          <w:rFonts w:eastAsia="Times New Roman"/>
          <w:sz w:val="22"/>
          <w:lang w:val="en-US" w:eastAsia="es-ES"/>
        </w:rPr>
        <w:t xml:space="preserve">Azar Elimination program </w:t>
      </w:r>
      <w:r>
        <w:rPr>
          <w:rFonts w:eastAsia="Times New Roman"/>
          <w:sz w:val="22"/>
          <w:lang w:val="en-US" w:eastAsia="es-ES"/>
        </w:rPr>
        <w:t xml:space="preserve">has been </w:t>
      </w:r>
      <w:r w:rsidRPr="002C75B8">
        <w:rPr>
          <w:rFonts w:eastAsia="Times New Roman"/>
          <w:sz w:val="22"/>
          <w:lang w:val="en-US" w:eastAsia="es-ES"/>
        </w:rPr>
        <w:t>in place since 2005</w:t>
      </w:r>
      <w:r>
        <w:rPr>
          <w:rFonts w:eastAsia="Times New Roman"/>
          <w:sz w:val="22"/>
          <w:lang w:val="en-US" w:eastAsia="es-ES"/>
        </w:rPr>
        <w:t xml:space="preserve">, aiming </w:t>
      </w:r>
      <w:r w:rsidRPr="002C75B8">
        <w:rPr>
          <w:rFonts w:eastAsia="Times New Roman"/>
          <w:sz w:val="22"/>
          <w:lang w:val="en-US" w:eastAsia="es-ES"/>
        </w:rPr>
        <w:t xml:space="preserve">to reduce the incidence of VL to 1/10,000 </w:t>
      </w:r>
      <w:r>
        <w:rPr>
          <w:rFonts w:eastAsia="Times New Roman"/>
          <w:sz w:val="22"/>
          <w:lang w:val="en-US" w:eastAsia="es-ES"/>
        </w:rPr>
        <w:t>by</w:t>
      </w:r>
      <w:r w:rsidRPr="002C75B8">
        <w:rPr>
          <w:rFonts w:eastAsia="Times New Roman"/>
          <w:sz w:val="22"/>
          <w:lang w:val="en-US" w:eastAsia="es-ES"/>
        </w:rPr>
        <w:t xml:space="preserve"> 2015 at district or </w:t>
      </w:r>
      <w:proofErr w:type="spellStart"/>
      <w:r w:rsidRPr="002C75B8">
        <w:rPr>
          <w:rFonts w:eastAsia="Times New Roman"/>
          <w:sz w:val="22"/>
          <w:lang w:val="en-US" w:eastAsia="es-ES"/>
        </w:rPr>
        <w:t>subdistrict</w:t>
      </w:r>
      <w:proofErr w:type="spellEnd"/>
      <w:r w:rsidRPr="002C75B8">
        <w:rPr>
          <w:rFonts w:eastAsia="Times New Roman"/>
          <w:sz w:val="22"/>
          <w:lang w:val="en-US" w:eastAsia="es-ES"/>
        </w:rPr>
        <w:t xml:space="preserve"> level. The plan includes early diagnosis and treatment, vector control, </w:t>
      </w:r>
      <w:proofErr w:type="spellStart"/>
      <w:r w:rsidRPr="002C75B8">
        <w:rPr>
          <w:rFonts w:eastAsia="Times New Roman"/>
          <w:sz w:val="22"/>
          <w:lang w:val="en-US" w:eastAsia="es-ES"/>
        </w:rPr>
        <w:t>bednet</w:t>
      </w:r>
      <w:proofErr w:type="spellEnd"/>
      <w:r w:rsidRPr="002C75B8">
        <w:rPr>
          <w:rFonts w:eastAsia="Times New Roman"/>
          <w:sz w:val="22"/>
          <w:lang w:val="en-US" w:eastAsia="es-ES"/>
        </w:rPr>
        <w:t xml:space="preserve"> distribution, active surveillance and social mobilization, but has only been implemented on a limited scale due to lack of funding. </w:t>
      </w:r>
      <w:r w:rsidRPr="002C75B8">
        <w:rPr>
          <w:rFonts w:eastAsia="SimSun"/>
          <w:sz w:val="22"/>
          <w:lang w:val="en-GB" w:eastAsia="zh-CN"/>
        </w:rPr>
        <w:t xml:space="preserve">Reporting of CL is not mandatory and only started in 2005, </w:t>
      </w:r>
      <w:r>
        <w:rPr>
          <w:rFonts w:eastAsia="SimSun"/>
          <w:sz w:val="22"/>
          <w:lang w:val="en-GB" w:eastAsia="zh-CN"/>
        </w:rPr>
        <w:t>through</w:t>
      </w:r>
      <w:r w:rsidRPr="002C75B8">
        <w:rPr>
          <w:rFonts w:eastAsia="SimSun"/>
          <w:sz w:val="22"/>
          <w:lang w:val="en-GB" w:eastAsia="zh-CN"/>
        </w:rPr>
        <w:t xml:space="preserve"> the </w:t>
      </w:r>
      <w:smartTag w:uri="urn:schemas-microsoft-com:office:smarttags" w:element="place">
        <w:smartTag w:uri="urn:schemas-microsoft-com:office:smarttags" w:element="PlaceName">
          <w:r w:rsidRPr="002C75B8">
            <w:rPr>
              <w:rFonts w:eastAsia="SimSun"/>
              <w:sz w:val="22"/>
              <w:lang w:val="en-GB" w:eastAsia="zh-CN"/>
            </w:rPr>
            <w:t>Medical</w:t>
          </w:r>
        </w:smartTag>
        <w:r w:rsidRPr="002C75B8">
          <w:rPr>
            <w:rFonts w:eastAsia="SimSun"/>
            <w:sz w:val="22"/>
            <w:lang w:val="en-GB" w:eastAsia="zh-CN"/>
          </w:rPr>
          <w:t xml:space="preserve"> </w:t>
        </w:r>
        <w:smartTag w:uri="urn:schemas-microsoft-com:office:smarttags" w:element="PlaceType">
          <w:r w:rsidRPr="002C75B8">
            <w:rPr>
              <w:rFonts w:eastAsia="SimSun"/>
              <w:sz w:val="22"/>
              <w:lang w:val="en-GB" w:eastAsia="zh-CN"/>
            </w:rPr>
            <w:t>College</w:t>
          </w:r>
        </w:smartTag>
        <w:r w:rsidRPr="002C75B8">
          <w:rPr>
            <w:rFonts w:eastAsia="SimSun"/>
            <w:sz w:val="22"/>
            <w:lang w:val="en-GB" w:eastAsia="zh-CN"/>
          </w:rPr>
          <w:t xml:space="preserve"> </w:t>
        </w:r>
        <w:smartTag w:uri="urn:schemas-microsoft-com:office:smarttags" w:element="PlaceType">
          <w:r w:rsidRPr="002C75B8">
            <w:rPr>
              <w:rFonts w:eastAsia="SimSun"/>
              <w:sz w:val="22"/>
              <w:lang w:val="en-GB" w:eastAsia="zh-CN"/>
            </w:rPr>
            <w:t>Hospital</w:t>
          </w:r>
        </w:smartTag>
      </w:smartTag>
      <w:r w:rsidRPr="002C75B8">
        <w:rPr>
          <w:rFonts w:eastAsia="SimSun"/>
          <w:sz w:val="22"/>
          <w:lang w:val="en-GB" w:eastAsia="zh-CN"/>
        </w:rPr>
        <w:t xml:space="preserve"> (the reference </w:t>
      </w:r>
      <w:proofErr w:type="spellStart"/>
      <w:r w:rsidRPr="002C75B8">
        <w:rPr>
          <w:rFonts w:eastAsia="SimSun"/>
          <w:sz w:val="22"/>
          <w:lang w:val="en-GB" w:eastAsia="zh-CN"/>
        </w:rPr>
        <w:t>cente</w:t>
      </w:r>
      <w:r>
        <w:rPr>
          <w:rFonts w:eastAsia="SimSun"/>
          <w:sz w:val="22"/>
          <w:lang w:val="en-GB" w:eastAsia="zh-CN"/>
        </w:rPr>
        <w:t>r</w:t>
      </w:r>
      <w:proofErr w:type="spellEnd"/>
      <w:r w:rsidRPr="002C75B8">
        <w:rPr>
          <w:rFonts w:eastAsia="SimSun"/>
          <w:sz w:val="22"/>
          <w:lang w:val="en-GB" w:eastAsia="zh-CN"/>
        </w:rPr>
        <w:t xml:space="preserve"> for case management). </w:t>
      </w:r>
    </w:p>
    <w:p w:rsidR="006B0412" w:rsidRDefault="006B0412" w:rsidP="006B0412">
      <w:pPr>
        <w:ind w:left="0" w:firstLine="0"/>
        <w:rPr>
          <w:rFonts w:eastAsia="Times New Roman"/>
          <w:sz w:val="22"/>
          <w:lang w:val="en-US" w:eastAsia="es-ES"/>
        </w:rPr>
      </w:pPr>
    </w:p>
    <w:p w:rsidR="006B0412" w:rsidRPr="002C75B8" w:rsidRDefault="006B0412" w:rsidP="006B0412">
      <w:pPr>
        <w:ind w:left="0" w:firstLine="0"/>
        <w:rPr>
          <w:rFonts w:eastAsia="Times New Roman"/>
          <w:sz w:val="22"/>
          <w:lang w:val="en-US" w:eastAsia="es-ES"/>
        </w:rPr>
      </w:pPr>
    </w:p>
    <w:p w:rsidR="006B0412" w:rsidRDefault="006B0412" w:rsidP="006B0412">
      <w:pPr>
        <w:ind w:left="0" w:firstLine="0"/>
        <w:rPr>
          <w:b/>
          <w:sz w:val="22"/>
          <w:lang w:val="en-US"/>
        </w:rPr>
      </w:pPr>
      <w:r w:rsidRPr="002C75B8">
        <w:rPr>
          <w:b/>
          <w:sz w:val="22"/>
          <w:lang w:val="en-US"/>
        </w:rPr>
        <w:t xml:space="preserve">DIAGNOSIS, TREATMENT </w:t>
      </w:r>
    </w:p>
    <w:p w:rsidR="006B0412" w:rsidRPr="002C75B8" w:rsidRDefault="006B0412" w:rsidP="006B0412">
      <w:pPr>
        <w:ind w:left="0" w:firstLine="0"/>
        <w:rPr>
          <w:b/>
          <w:sz w:val="22"/>
          <w:lang w:val="en-US"/>
        </w:rPr>
      </w:pPr>
    </w:p>
    <w:p w:rsidR="006B0412" w:rsidRPr="002C75B8" w:rsidRDefault="006B0412" w:rsidP="006B0412">
      <w:pPr>
        <w:ind w:left="0" w:firstLine="0"/>
        <w:rPr>
          <w:sz w:val="22"/>
          <w:lang w:val="en-US"/>
        </w:rPr>
      </w:pPr>
      <w:r w:rsidRPr="002C75B8">
        <w:rPr>
          <w:b/>
          <w:bCs/>
          <w:sz w:val="22"/>
          <w:lang w:val="en-US"/>
        </w:rPr>
        <w:t>Diagnosis</w:t>
      </w:r>
    </w:p>
    <w:p w:rsidR="006B0412" w:rsidRDefault="006B0412" w:rsidP="006B0412">
      <w:pPr>
        <w:ind w:left="0" w:firstLine="0"/>
        <w:rPr>
          <w:bCs/>
          <w:sz w:val="22"/>
          <w:lang w:val="en-US"/>
        </w:rPr>
      </w:pPr>
      <w:r w:rsidRPr="00EF6EC8">
        <w:rPr>
          <w:sz w:val="22"/>
          <w:lang w:val="en-US"/>
        </w:rPr>
        <w:t>VL</w:t>
      </w:r>
      <w:r w:rsidRPr="00EF6EC8">
        <w:rPr>
          <w:bCs/>
          <w:sz w:val="22"/>
          <w:lang w:val="en-US"/>
        </w:rPr>
        <w:t xml:space="preserve">: rK39 antigen-based </w:t>
      </w:r>
      <w:proofErr w:type="spellStart"/>
      <w:r w:rsidRPr="00EF6EC8">
        <w:rPr>
          <w:bCs/>
          <w:sz w:val="22"/>
          <w:lang w:val="en-US"/>
        </w:rPr>
        <w:t>immunochromatographic</w:t>
      </w:r>
      <w:proofErr w:type="spellEnd"/>
      <w:r w:rsidRPr="00EF6EC8">
        <w:rPr>
          <w:bCs/>
          <w:sz w:val="22"/>
          <w:lang w:val="en-US"/>
        </w:rPr>
        <w:t xml:space="preserve"> test (ICT), microscopic examination of spleen</w:t>
      </w:r>
      <w:r w:rsidRPr="002C75B8">
        <w:rPr>
          <w:bCs/>
          <w:sz w:val="22"/>
          <w:lang w:val="en-US"/>
        </w:rPr>
        <w:t xml:space="preserve"> aspirate</w:t>
      </w:r>
      <w:r>
        <w:rPr>
          <w:bCs/>
          <w:sz w:val="22"/>
          <w:lang w:val="en-US"/>
        </w:rPr>
        <w:t>.</w:t>
      </w:r>
      <w:r w:rsidRPr="002C75B8">
        <w:rPr>
          <w:bCs/>
          <w:sz w:val="22"/>
          <w:lang w:val="en-US"/>
        </w:rPr>
        <w:t xml:space="preserve">   </w:t>
      </w:r>
    </w:p>
    <w:p w:rsidR="006B0412" w:rsidRPr="002C75B8" w:rsidRDefault="006B0412" w:rsidP="006B0412">
      <w:pPr>
        <w:ind w:left="0" w:firstLine="0"/>
        <w:rPr>
          <w:bCs/>
          <w:sz w:val="22"/>
          <w:lang w:val="en-US"/>
        </w:rPr>
      </w:pPr>
    </w:p>
    <w:p w:rsidR="006B0412" w:rsidRPr="002C75B8" w:rsidRDefault="006B0412" w:rsidP="006B0412">
      <w:pPr>
        <w:ind w:left="0" w:firstLine="0"/>
        <w:rPr>
          <w:b/>
          <w:bCs/>
          <w:sz w:val="22"/>
          <w:lang w:val="en-US"/>
        </w:rPr>
      </w:pPr>
      <w:r w:rsidRPr="002C75B8">
        <w:rPr>
          <w:b/>
          <w:bCs/>
          <w:sz w:val="22"/>
          <w:lang w:val="en-US"/>
        </w:rPr>
        <w:lastRenderedPageBreak/>
        <w:t>Treatment</w:t>
      </w:r>
    </w:p>
    <w:p w:rsidR="006B0412" w:rsidRPr="00EF6EC8" w:rsidRDefault="006B0412" w:rsidP="006B0412">
      <w:pPr>
        <w:ind w:left="0" w:firstLine="0"/>
        <w:rPr>
          <w:sz w:val="22"/>
        </w:rPr>
      </w:pPr>
      <w:r w:rsidRPr="00EF6EC8">
        <w:rPr>
          <w:sz w:val="22"/>
        </w:rPr>
        <w:t>VL: miltefosine, 2.5 mg/kg/</w:t>
      </w:r>
      <w:proofErr w:type="spellStart"/>
      <w:r w:rsidRPr="00EF6EC8">
        <w:rPr>
          <w:sz w:val="22"/>
        </w:rPr>
        <w:t>day</w:t>
      </w:r>
      <w:proofErr w:type="spellEnd"/>
      <w:r w:rsidRPr="00EF6EC8">
        <w:rPr>
          <w:sz w:val="22"/>
        </w:rPr>
        <w:t xml:space="preserve"> </w:t>
      </w:r>
      <w:proofErr w:type="spellStart"/>
      <w:r w:rsidRPr="00EF6EC8">
        <w:rPr>
          <w:sz w:val="22"/>
        </w:rPr>
        <w:t>for</w:t>
      </w:r>
      <w:proofErr w:type="spellEnd"/>
      <w:r w:rsidRPr="00EF6EC8">
        <w:rPr>
          <w:sz w:val="22"/>
        </w:rPr>
        <w:t xml:space="preserve"> 28 </w:t>
      </w:r>
      <w:proofErr w:type="spellStart"/>
      <w:r w:rsidRPr="00EF6EC8">
        <w:rPr>
          <w:sz w:val="22"/>
        </w:rPr>
        <w:t>days</w:t>
      </w:r>
      <w:proofErr w:type="spellEnd"/>
      <w:r w:rsidRPr="00EF6EC8">
        <w:rPr>
          <w:sz w:val="22"/>
        </w:rPr>
        <w:t xml:space="preserve">. Cure </w:t>
      </w:r>
      <w:proofErr w:type="spellStart"/>
      <w:r w:rsidRPr="00EF6EC8">
        <w:rPr>
          <w:sz w:val="22"/>
        </w:rPr>
        <w:t>rate</w:t>
      </w:r>
      <w:proofErr w:type="spellEnd"/>
      <w:r w:rsidRPr="00EF6EC8">
        <w:rPr>
          <w:sz w:val="22"/>
        </w:rPr>
        <w:t xml:space="preserve"> </w:t>
      </w:r>
      <w:proofErr w:type="spellStart"/>
      <w:r w:rsidRPr="00EF6EC8">
        <w:rPr>
          <w:sz w:val="22"/>
        </w:rPr>
        <w:t>is</w:t>
      </w:r>
      <w:proofErr w:type="spellEnd"/>
      <w:r w:rsidRPr="00EF6EC8">
        <w:rPr>
          <w:sz w:val="22"/>
        </w:rPr>
        <w:t xml:space="preserve"> 94%. </w:t>
      </w:r>
      <w:proofErr w:type="spellStart"/>
      <w:r w:rsidRPr="00EF6EC8">
        <w:rPr>
          <w:sz w:val="22"/>
        </w:rPr>
        <w:t>Second</w:t>
      </w:r>
      <w:proofErr w:type="spellEnd"/>
      <w:r w:rsidRPr="00EF6EC8">
        <w:rPr>
          <w:sz w:val="22"/>
        </w:rPr>
        <w:t xml:space="preserve"> line: </w:t>
      </w:r>
      <w:proofErr w:type="spellStart"/>
      <w:r w:rsidRPr="00EF6EC8">
        <w:rPr>
          <w:sz w:val="22"/>
        </w:rPr>
        <w:t>conventional</w:t>
      </w:r>
      <w:proofErr w:type="spellEnd"/>
      <w:r w:rsidRPr="00EF6EC8">
        <w:rPr>
          <w:sz w:val="22"/>
        </w:rPr>
        <w:t xml:space="preserve"> amphotericin B, 1 mg/kg/</w:t>
      </w:r>
      <w:proofErr w:type="spellStart"/>
      <w:r w:rsidRPr="00EF6EC8">
        <w:rPr>
          <w:sz w:val="22"/>
        </w:rPr>
        <w:t>day</w:t>
      </w:r>
      <w:proofErr w:type="spellEnd"/>
      <w:r w:rsidRPr="00EF6EC8">
        <w:rPr>
          <w:sz w:val="22"/>
        </w:rPr>
        <w:t xml:space="preserve"> </w:t>
      </w:r>
      <w:proofErr w:type="spellStart"/>
      <w:r w:rsidRPr="00EF6EC8">
        <w:rPr>
          <w:sz w:val="22"/>
        </w:rPr>
        <w:t>for</w:t>
      </w:r>
      <w:proofErr w:type="spellEnd"/>
      <w:r w:rsidRPr="00EF6EC8">
        <w:rPr>
          <w:sz w:val="22"/>
        </w:rPr>
        <w:t xml:space="preserve"> 15 </w:t>
      </w:r>
      <w:proofErr w:type="spellStart"/>
      <w:r w:rsidRPr="00EF6EC8">
        <w:rPr>
          <w:sz w:val="22"/>
        </w:rPr>
        <w:t>days</w:t>
      </w:r>
      <w:proofErr w:type="spellEnd"/>
      <w:r w:rsidRPr="00EF6EC8">
        <w:rPr>
          <w:sz w:val="22"/>
        </w:rPr>
        <w:t xml:space="preserve">. Cure </w:t>
      </w:r>
      <w:proofErr w:type="spellStart"/>
      <w:r w:rsidRPr="00EF6EC8">
        <w:rPr>
          <w:sz w:val="22"/>
        </w:rPr>
        <w:t>rate</w:t>
      </w:r>
      <w:proofErr w:type="spellEnd"/>
      <w:r w:rsidRPr="00EF6EC8">
        <w:rPr>
          <w:sz w:val="22"/>
        </w:rPr>
        <w:t xml:space="preserve"> </w:t>
      </w:r>
      <w:proofErr w:type="spellStart"/>
      <w:r w:rsidRPr="00EF6EC8">
        <w:rPr>
          <w:sz w:val="22"/>
        </w:rPr>
        <w:t>is</w:t>
      </w:r>
      <w:proofErr w:type="spellEnd"/>
      <w:r w:rsidRPr="00EF6EC8">
        <w:rPr>
          <w:sz w:val="22"/>
        </w:rPr>
        <w:t xml:space="preserve"> 98%. </w:t>
      </w:r>
      <w:proofErr w:type="spellStart"/>
      <w:r w:rsidRPr="00EF6EC8">
        <w:rPr>
          <w:sz w:val="22"/>
        </w:rPr>
        <w:t>Resistance</w:t>
      </w:r>
      <w:proofErr w:type="spellEnd"/>
      <w:r w:rsidRPr="00EF6EC8">
        <w:rPr>
          <w:sz w:val="22"/>
        </w:rPr>
        <w:t xml:space="preserve"> </w:t>
      </w:r>
      <w:proofErr w:type="spellStart"/>
      <w:r w:rsidRPr="00EF6EC8">
        <w:rPr>
          <w:sz w:val="22"/>
        </w:rPr>
        <w:t>to</w:t>
      </w:r>
      <w:proofErr w:type="spellEnd"/>
      <w:r w:rsidRPr="00EF6EC8">
        <w:rPr>
          <w:sz w:val="22"/>
        </w:rPr>
        <w:t xml:space="preserve"> antimonials </w:t>
      </w:r>
      <w:proofErr w:type="spellStart"/>
      <w:r w:rsidRPr="00EF6EC8">
        <w:rPr>
          <w:sz w:val="22"/>
        </w:rPr>
        <w:t>was</w:t>
      </w:r>
      <w:proofErr w:type="spellEnd"/>
      <w:r w:rsidRPr="00EF6EC8">
        <w:rPr>
          <w:sz w:val="22"/>
        </w:rPr>
        <w:t xml:space="preserve"> </w:t>
      </w:r>
      <w:proofErr w:type="spellStart"/>
      <w:r w:rsidRPr="00EF6EC8">
        <w:rPr>
          <w:sz w:val="22"/>
        </w:rPr>
        <w:t>found</w:t>
      </w:r>
      <w:proofErr w:type="spellEnd"/>
      <w:r w:rsidRPr="00EF6EC8">
        <w:rPr>
          <w:sz w:val="22"/>
        </w:rPr>
        <w:t xml:space="preserve"> </w:t>
      </w:r>
      <w:proofErr w:type="spellStart"/>
      <w:r w:rsidRPr="00EF6EC8">
        <w:rPr>
          <w:sz w:val="22"/>
        </w:rPr>
        <w:t>to</w:t>
      </w:r>
      <w:proofErr w:type="spellEnd"/>
      <w:r w:rsidRPr="00EF6EC8">
        <w:rPr>
          <w:sz w:val="22"/>
        </w:rPr>
        <w:t xml:space="preserve"> </w:t>
      </w:r>
      <w:proofErr w:type="spellStart"/>
      <w:r w:rsidRPr="00EF6EC8">
        <w:rPr>
          <w:sz w:val="22"/>
        </w:rPr>
        <w:t>be</w:t>
      </w:r>
      <w:proofErr w:type="spellEnd"/>
      <w:r w:rsidRPr="00EF6EC8">
        <w:rPr>
          <w:sz w:val="22"/>
        </w:rPr>
        <w:t xml:space="preserve"> as </w:t>
      </w:r>
      <w:proofErr w:type="spellStart"/>
      <w:r w:rsidRPr="00EF6EC8">
        <w:rPr>
          <w:sz w:val="22"/>
        </w:rPr>
        <w:t>high</w:t>
      </w:r>
      <w:proofErr w:type="spellEnd"/>
      <w:r w:rsidRPr="00EF6EC8">
        <w:rPr>
          <w:sz w:val="22"/>
        </w:rPr>
        <w:t xml:space="preserve"> as 60% in </w:t>
      </w:r>
      <w:proofErr w:type="spellStart"/>
      <w:r w:rsidRPr="00EF6EC8">
        <w:rPr>
          <w:sz w:val="22"/>
        </w:rPr>
        <w:t>endemic</w:t>
      </w:r>
      <w:proofErr w:type="spellEnd"/>
      <w:r w:rsidRPr="00EF6EC8">
        <w:rPr>
          <w:sz w:val="22"/>
        </w:rPr>
        <w:t xml:space="preserve"> </w:t>
      </w:r>
      <w:proofErr w:type="spellStart"/>
      <w:r w:rsidRPr="00EF6EC8">
        <w:rPr>
          <w:sz w:val="22"/>
        </w:rPr>
        <w:t>foci</w:t>
      </w:r>
      <w:proofErr w:type="spellEnd"/>
      <w:r w:rsidRPr="00EF6EC8">
        <w:rPr>
          <w:sz w:val="22"/>
        </w:rPr>
        <w:t xml:space="preserve"> in Bihar, </w:t>
      </w:r>
      <w:proofErr w:type="spellStart"/>
      <w:r w:rsidRPr="00EF6EC8">
        <w:rPr>
          <w:sz w:val="22"/>
        </w:rPr>
        <w:t>but</w:t>
      </w:r>
      <w:proofErr w:type="spellEnd"/>
      <w:r w:rsidRPr="00EF6EC8">
        <w:rPr>
          <w:sz w:val="22"/>
        </w:rPr>
        <w:t xml:space="preserve"> antimonials are </w:t>
      </w:r>
      <w:proofErr w:type="spellStart"/>
      <w:r w:rsidRPr="00EF6EC8">
        <w:rPr>
          <w:sz w:val="22"/>
        </w:rPr>
        <w:t>still</w:t>
      </w:r>
      <w:proofErr w:type="spellEnd"/>
      <w:r w:rsidRPr="00EF6EC8">
        <w:rPr>
          <w:sz w:val="22"/>
        </w:rPr>
        <w:t xml:space="preserve"> in use </w:t>
      </w:r>
      <w:proofErr w:type="spellStart"/>
      <w:r w:rsidRPr="00EF6EC8">
        <w:rPr>
          <w:sz w:val="22"/>
        </w:rPr>
        <w:t>where</w:t>
      </w:r>
      <w:proofErr w:type="spellEnd"/>
      <w:r w:rsidRPr="00EF6EC8">
        <w:rPr>
          <w:sz w:val="22"/>
        </w:rPr>
        <w:t xml:space="preserve"> miltefosine </w:t>
      </w:r>
      <w:proofErr w:type="spellStart"/>
      <w:r w:rsidRPr="00EF6EC8">
        <w:rPr>
          <w:sz w:val="22"/>
        </w:rPr>
        <w:t>is</w:t>
      </w:r>
      <w:proofErr w:type="spellEnd"/>
      <w:r w:rsidRPr="00EF6EC8">
        <w:rPr>
          <w:sz w:val="22"/>
        </w:rPr>
        <w:t xml:space="preserve"> </w:t>
      </w:r>
      <w:proofErr w:type="spellStart"/>
      <w:r w:rsidRPr="00EF6EC8">
        <w:rPr>
          <w:sz w:val="22"/>
        </w:rPr>
        <w:t>not</w:t>
      </w:r>
      <w:proofErr w:type="spellEnd"/>
      <w:r w:rsidRPr="00EF6EC8">
        <w:rPr>
          <w:sz w:val="22"/>
        </w:rPr>
        <w:t xml:space="preserve"> </w:t>
      </w:r>
      <w:proofErr w:type="spellStart"/>
      <w:r w:rsidRPr="00EF6EC8">
        <w:rPr>
          <w:sz w:val="22"/>
        </w:rPr>
        <w:t>implemented</w:t>
      </w:r>
      <w:proofErr w:type="spellEnd"/>
      <w:r w:rsidRPr="00EF6EC8">
        <w:rPr>
          <w:sz w:val="22"/>
        </w:rPr>
        <w:t xml:space="preserve"> and </w:t>
      </w:r>
      <w:proofErr w:type="spellStart"/>
      <w:r w:rsidRPr="00EF6EC8">
        <w:rPr>
          <w:sz w:val="22"/>
        </w:rPr>
        <w:t>where</w:t>
      </w:r>
      <w:proofErr w:type="spellEnd"/>
      <w:r w:rsidRPr="00EF6EC8">
        <w:rPr>
          <w:sz w:val="22"/>
        </w:rPr>
        <w:t xml:space="preserve"> no </w:t>
      </w:r>
      <w:proofErr w:type="spellStart"/>
      <w:r w:rsidRPr="00EF6EC8">
        <w:rPr>
          <w:sz w:val="22"/>
        </w:rPr>
        <w:t>resistant</w:t>
      </w:r>
      <w:proofErr w:type="spellEnd"/>
      <w:r w:rsidRPr="00EF6EC8">
        <w:rPr>
          <w:sz w:val="22"/>
        </w:rPr>
        <w:t xml:space="preserve"> cases </w:t>
      </w:r>
      <w:proofErr w:type="spellStart"/>
      <w:r w:rsidRPr="00EF6EC8">
        <w:rPr>
          <w:sz w:val="22"/>
        </w:rPr>
        <w:t>have</w:t>
      </w:r>
      <w:proofErr w:type="spellEnd"/>
      <w:r w:rsidRPr="00EF6EC8">
        <w:rPr>
          <w:sz w:val="22"/>
        </w:rPr>
        <w:t xml:space="preserve"> </w:t>
      </w:r>
      <w:proofErr w:type="spellStart"/>
      <w:r w:rsidRPr="00EF6EC8">
        <w:rPr>
          <w:sz w:val="22"/>
        </w:rPr>
        <w:t>been</w:t>
      </w:r>
      <w:proofErr w:type="spellEnd"/>
      <w:r w:rsidRPr="00EF6EC8">
        <w:rPr>
          <w:sz w:val="22"/>
        </w:rPr>
        <w:t xml:space="preserve"> </w:t>
      </w:r>
      <w:proofErr w:type="spellStart"/>
      <w:r w:rsidRPr="00EF6EC8">
        <w:rPr>
          <w:sz w:val="22"/>
        </w:rPr>
        <w:t>found</w:t>
      </w:r>
      <w:proofErr w:type="spellEnd"/>
      <w:r w:rsidRPr="00EF6EC8">
        <w:rPr>
          <w:sz w:val="22"/>
        </w:rPr>
        <w:t xml:space="preserve"> (</w:t>
      </w:r>
      <w:proofErr w:type="spellStart"/>
      <w:r w:rsidRPr="00EF6EC8">
        <w:rPr>
          <w:sz w:val="22"/>
        </w:rPr>
        <w:t>Sb</w:t>
      </w:r>
      <w:r w:rsidRPr="00EF6EC8">
        <w:rPr>
          <w:sz w:val="22"/>
          <w:vertAlign w:val="superscript"/>
        </w:rPr>
        <w:t>v</w:t>
      </w:r>
      <w:proofErr w:type="spellEnd"/>
      <w:r w:rsidRPr="00EF6EC8">
        <w:rPr>
          <w:sz w:val="22"/>
        </w:rPr>
        <w:t xml:space="preserve"> 20 mg/kg/</w:t>
      </w:r>
      <w:proofErr w:type="spellStart"/>
      <w:r w:rsidRPr="00EF6EC8">
        <w:rPr>
          <w:sz w:val="22"/>
        </w:rPr>
        <w:t>day</w:t>
      </w:r>
      <w:proofErr w:type="spellEnd"/>
      <w:r w:rsidRPr="00EF6EC8">
        <w:rPr>
          <w:sz w:val="22"/>
        </w:rPr>
        <w:t xml:space="preserve"> </w:t>
      </w:r>
      <w:proofErr w:type="spellStart"/>
      <w:r w:rsidRPr="00EF6EC8">
        <w:rPr>
          <w:sz w:val="22"/>
        </w:rPr>
        <w:t>for</w:t>
      </w:r>
      <w:proofErr w:type="spellEnd"/>
      <w:r w:rsidRPr="00EF6EC8">
        <w:rPr>
          <w:sz w:val="22"/>
        </w:rPr>
        <w:t xml:space="preserve"> 30 </w:t>
      </w:r>
      <w:proofErr w:type="spellStart"/>
      <w:r w:rsidRPr="00EF6EC8">
        <w:rPr>
          <w:sz w:val="22"/>
        </w:rPr>
        <w:t>days</w:t>
      </w:r>
      <w:proofErr w:type="spellEnd"/>
      <w:r w:rsidRPr="00EF6EC8">
        <w:rPr>
          <w:sz w:val="22"/>
        </w:rPr>
        <w:t xml:space="preserve">). </w:t>
      </w:r>
    </w:p>
    <w:p w:rsidR="006B0412" w:rsidRDefault="006B0412" w:rsidP="006B0412">
      <w:pPr>
        <w:ind w:left="0" w:firstLine="0"/>
        <w:rPr>
          <w:sz w:val="22"/>
        </w:rPr>
      </w:pPr>
    </w:p>
    <w:p w:rsidR="006B0412" w:rsidRPr="00EF6EC8" w:rsidRDefault="006B0412" w:rsidP="006B0412">
      <w:pPr>
        <w:ind w:left="0" w:firstLine="0"/>
        <w:rPr>
          <w:sz w:val="22"/>
        </w:rPr>
      </w:pPr>
      <w:r w:rsidRPr="00EF6EC8">
        <w:rPr>
          <w:sz w:val="22"/>
        </w:rPr>
        <w:t>PKDL: antimonials, 20 mg</w:t>
      </w:r>
      <w:r>
        <w:rPr>
          <w:sz w:val="22"/>
        </w:rPr>
        <w:t xml:space="preserve"> </w:t>
      </w:r>
      <w:proofErr w:type="spellStart"/>
      <w:r>
        <w:rPr>
          <w:sz w:val="22"/>
        </w:rPr>
        <w:t>Sb</w:t>
      </w:r>
      <w:r w:rsidRPr="001905E8">
        <w:rPr>
          <w:sz w:val="22"/>
          <w:vertAlign w:val="superscript"/>
        </w:rPr>
        <w:t>v</w:t>
      </w:r>
      <w:proofErr w:type="spellEnd"/>
      <w:r w:rsidRPr="00EF6EC8">
        <w:rPr>
          <w:sz w:val="22"/>
        </w:rPr>
        <w:t>/kg/</w:t>
      </w:r>
      <w:proofErr w:type="spellStart"/>
      <w:r w:rsidRPr="00EF6EC8">
        <w:rPr>
          <w:sz w:val="22"/>
        </w:rPr>
        <w:t>day</w:t>
      </w:r>
      <w:proofErr w:type="spellEnd"/>
      <w:r w:rsidRPr="00EF6EC8">
        <w:rPr>
          <w:sz w:val="22"/>
        </w:rPr>
        <w:t xml:space="preserve"> </w:t>
      </w:r>
      <w:proofErr w:type="spellStart"/>
      <w:r w:rsidRPr="00EF6EC8">
        <w:rPr>
          <w:sz w:val="22"/>
        </w:rPr>
        <w:t>for</w:t>
      </w:r>
      <w:proofErr w:type="spellEnd"/>
      <w:r w:rsidRPr="00EF6EC8">
        <w:rPr>
          <w:sz w:val="22"/>
        </w:rPr>
        <w:t xml:space="preserve"> 120 </w:t>
      </w:r>
      <w:proofErr w:type="spellStart"/>
      <w:r w:rsidRPr="00EF6EC8">
        <w:rPr>
          <w:sz w:val="22"/>
        </w:rPr>
        <w:t>days</w:t>
      </w:r>
      <w:proofErr w:type="spellEnd"/>
      <w:r w:rsidRPr="00EF6EC8">
        <w:rPr>
          <w:sz w:val="22"/>
        </w:rPr>
        <w:t xml:space="preserve"> </w:t>
      </w:r>
      <w:proofErr w:type="spellStart"/>
      <w:r w:rsidRPr="00EF6EC8">
        <w:rPr>
          <w:sz w:val="22"/>
        </w:rPr>
        <w:t>or</w:t>
      </w:r>
      <w:proofErr w:type="spellEnd"/>
      <w:r w:rsidRPr="00EF6EC8">
        <w:rPr>
          <w:sz w:val="22"/>
        </w:rPr>
        <w:t xml:space="preserve"> </w:t>
      </w:r>
      <w:proofErr w:type="spellStart"/>
      <w:r w:rsidRPr="00EF6EC8">
        <w:rPr>
          <w:sz w:val="22"/>
        </w:rPr>
        <w:t>conventional</w:t>
      </w:r>
      <w:proofErr w:type="spellEnd"/>
      <w:r w:rsidRPr="00EF6EC8">
        <w:rPr>
          <w:sz w:val="22"/>
        </w:rPr>
        <w:t xml:space="preserve"> amphotericin B, 4-5 </w:t>
      </w:r>
      <w:proofErr w:type="spellStart"/>
      <w:r w:rsidRPr="00EF6EC8">
        <w:rPr>
          <w:sz w:val="22"/>
        </w:rPr>
        <w:t>courses</w:t>
      </w:r>
      <w:proofErr w:type="spellEnd"/>
      <w:r w:rsidRPr="00EF6EC8">
        <w:rPr>
          <w:sz w:val="22"/>
        </w:rPr>
        <w:t xml:space="preserve">. </w:t>
      </w:r>
    </w:p>
    <w:p w:rsidR="006B0412" w:rsidRDefault="006B0412" w:rsidP="006B0412">
      <w:pPr>
        <w:ind w:left="0" w:firstLine="0"/>
        <w:rPr>
          <w:sz w:val="22"/>
        </w:rPr>
      </w:pPr>
    </w:p>
    <w:p w:rsidR="006B0412" w:rsidRPr="00EF6EC8" w:rsidRDefault="006B0412" w:rsidP="006B0412">
      <w:pPr>
        <w:ind w:left="0" w:firstLine="0"/>
        <w:rPr>
          <w:rFonts w:eastAsia="SimSun"/>
          <w:sz w:val="22"/>
          <w:lang w:val="en-GB" w:eastAsia="zh-CN"/>
        </w:rPr>
      </w:pPr>
      <w:r w:rsidRPr="00EF6EC8">
        <w:rPr>
          <w:sz w:val="22"/>
        </w:rPr>
        <w:t>CL: intralesional</w:t>
      </w:r>
      <w:r w:rsidRPr="00EF6EC8">
        <w:rPr>
          <w:rFonts w:eastAsia="SimSun"/>
          <w:sz w:val="22"/>
          <w:lang w:val="en-GB" w:eastAsia="zh-CN"/>
        </w:rPr>
        <w:t xml:space="preserve"> antimonials, </w:t>
      </w:r>
      <w:proofErr w:type="spellStart"/>
      <w:r w:rsidRPr="00EF6EC8">
        <w:rPr>
          <w:rFonts w:eastAsia="SimSun"/>
          <w:sz w:val="22"/>
          <w:lang w:val="en-GB" w:eastAsia="zh-CN"/>
        </w:rPr>
        <w:t>rifampicin</w:t>
      </w:r>
      <w:proofErr w:type="spellEnd"/>
      <w:r w:rsidRPr="00EF6EC8">
        <w:rPr>
          <w:rFonts w:eastAsia="SimSun"/>
          <w:sz w:val="22"/>
          <w:lang w:val="en-GB" w:eastAsia="zh-CN"/>
        </w:rPr>
        <w:t>, cryosurgery, radiofrequency heat therapy [16].</w:t>
      </w:r>
    </w:p>
    <w:p w:rsidR="006B0412" w:rsidRDefault="006B0412" w:rsidP="006B0412">
      <w:pPr>
        <w:ind w:left="0" w:firstLine="0"/>
        <w:rPr>
          <w:bCs/>
          <w:sz w:val="22"/>
          <w:lang w:val="en-US"/>
        </w:rPr>
      </w:pPr>
    </w:p>
    <w:p w:rsidR="006B0412" w:rsidRPr="002C75B8" w:rsidRDefault="006B0412" w:rsidP="006B0412">
      <w:pPr>
        <w:ind w:left="0" w:firstLine="0"/>
        <w:rPr>
          <w:bCs/>
          <w:sz w:val="22"/>
          <w:lang w:val="en-US"/>
        </w:rPr>
      </w:pPr>
    </w:p>
    <w:p w:rsidR="006B0412" w:rsidRDefault="006B0412" w:rsidP="006B0412">
      <w:pPr>
        <w:ind w:left="0" w:firstLine="0"/>
        <w:rPr>
          <w:b/>
          <w:bCs/>
          <w:sz w:val="22"/>
          <w:lang w:val="en-US"/>
        </w:rPr>
      </w:pPr>
      <w:r w:rsidRPr="002C75B8">
        <w:rPr>
          <w:b/>
          <w:bCs/>
          <w:sz w:val="22"/>
          <w:lang w:val="en-US"/>
        </w:rPr>
        <w:t xml:space="preserve">ACCESS TO CARE </w:t>
      </w:r>
    </w:p>
    <w:p w:rsidR="006B0412" w:rsidRPr="002C75B8" w:rsidRDefault="006B0412" w:rsidP="006B0412">
      <w:pPr>
        <w:ind w:left="0" w:firstLine="0"/>
        <w:rPr>
          <w:sz w:val="22"/>
          <w:lang w:val="en-US"/>
        </w:rPr>
      </w:pPr>
    </w:p>
    <w:p w:rsidR="006B0412" w:rsidRDefault="006B0412" w:rsidP="006B0412">
      <w:pPr>
        <w:ind w:left="0" w:firstLine="0"/>
        <w:rPr>
          <w:sz w:val="22"/>
          <w:lang w:val="en-US"/>
        </w:rPr>
      </w:pPr>
      <w:r w:rsidRPr="002C75B8">
        <w:rPr>
          <w:sz w:val="22"/>
          <w:lang w:val="en-US"/>
        </w:rPr>
        <w:t>The Kala</w:t>
      </w:r>
      <w:r>
        <w:rPr>
          <w:sz w:val="22"/>
          <w:lang w:val="en-US"/>
        </w:rPr>
        <w:t>-a</w:t>
      </w:r>
      <w:r w:rsidRPr="002C75B8">
        <w:rPr>
          <w:sz w:val="22"/>
          <w:lang w:val="en-US"/>
        </w:rPr>
        <w:t xml:space="preserve">zar </w:t>
      </w:r>
      <w:r>
        <w:rPr>
          <w:sz w:val="22"/>
          <w:lang w:val="en-US"/>
        </w:rPr>
        <w:t>E</w:t>
      </w:r>
      <w:r w:rsidRPr="002C75B8">
        <w:rPr>
          <w:sz w:val="22"/>
          <w:lang w:val="en-US"/>
        </w:rPr>
        <w:t>limination Plan includes free diagnosis and treatment for VL patients. However, public health facilities often lack trained human resources</w:t>
      </w:r>
      <w:r>
        <w:rPr>
          <w:sz w:val="22"/>
          <w:lang w:val="en-US"/>
        </w:rPr>
        <w:t>,</w:t>
      </w:r>
      <w:r w:rsidRPr="002C75B8">
        <w:rPr>
          <w:sz w:val="22"/>
          <w:lang w:val="en-US"/>
        </w:rPr>
        <w:t xml:space="preserve"> diagnostics and drugs for the treatment of VL. In 2007 and 2008, according to estimates, </w:t>
      </w:r>
      <w:r>
        <w:rPr>
          <w:sz w:val="22"/>
          <w:lang w:val="en-US"/>
        </w:rPr>
        <w:t xml:space="preserve">a large amount of </w:t>
      </w:r>
      <w:r w:rsidRPr="002C75B8">
        <w:rPr>
          <w:sz w:val="22"/>
          <w:lang w:val="en-US"/>
        </w:rPr>
        <w:t>patients could not be treated in the public sector</w:t>
      </w:r>
      <w:r>
        <w:rPr>
          <w:sz w:val="22"/>
          <w:lang w:val="en-US"/>
        </w:rPr>
        <w:t>, as t</w:t>
      </w:r>
      <w:r w:rsidRPr="002C75B8">
        <w:rPr>
          <w:sz w:val="22"/>
          <w:lang w:val="en-US"/>
        </w:rPr>
        <w:t xml:space="preserve">he government </w:t>
      </w:r>
      <w:r>
        <w:rPr>
          <w:sz w:val="22"/>
          <w:lang w:val="en-US"/>
        </w:rPr>
        <w:t xml:space="preserve">only </w:t>
      </w:r>
      <w:r w:rsidRPr="002C75B8">
        <w:rPr>
          <w:sz w:val="22"/>
          <w:lang w:val="en-US"/>
        </w:rPr>
        <w:t xml:space="preserve">purchased leishmaniasis treatment </w:t>
      </w:r>
      <w:r>
        <w:rPr>
          <w:sz w:val="22"/>
          <w:lang w:val="en-US"/>
        </w:rPr>
        <w:t xml:space="preserve">(miltefosine, antimonials and amphotericin B) for less than half of the estimated number of patients. </w:t>
      </w:r>
      <w:r w:rsidRPr="002C75B8">
        <w:rPr>
          <w:sz w:val="22"/>
          <w:lang w:val="en-US"/>
        </w:rPr>
        <w:t xml:space="preserve">The roll out of miltefosine in </w:t>
      </w:r>
      <w:proofErr w:type="spellStart"/>
      <w:r w:rsidRPr="002C75B8">
        <w:rPr>
          <w:sz w:val="22"/>
          <w:lang w:val="en-US"/>
        </w:rPr>
        <w:t>antimonial</w:t>
      </w:r>
      <w:proofErr w:type="spellEnd"/>
      <w:r w:rsidRPr="002C75B8">
        <w:rPr>
          <w:sz w:val="22"/>
          <w:lang w:val="en-US"/>
        </w:rPr>
        <w:t>-resistant areas is still incomplete. In a survey</w:t>
      </w:r>
      <w:r>
        <w:rPr>
          <w:sz w:val="22"/>
          <w:lang w:val="en-US"/>
        </w:rPr>
        <w:t xml:space="preserve"> held</w:t>
      </w:r>
      <w:r w:rsidRPr="002C75B8">
        <w:rPr>
          <w:sz w:val="22"/>
          <w:lang w:val="en-US"/>
        </w:rPr>
        <w:t xml:space="preserve"> in </w:t>
      </w:r>
      <w:smartTag w:uri="urn:schemas-microsoft-com:office:smarttags" w:element="place">
        <w:r w:rsidRPr="002C75B8">
          <w:rPr>
            <w:sz w:val="22"/>
            <w:lang w:val="en-US"/>
          </w:rPr>
          <w:t>Bihar</w:t>
        </w:r>
      </w:smartTag>
      <w:r w:rsidRPr="002C75B8">
        <w:rPr>
          <w:sz w:val="22"/>
          <w:lang w:val="en-US"/>
        </w:rPr>
        <w:t xml:space="preserve"> in 2008, nearly half of </w:t>
      </w:r>
      <w:r>
        <w:rPr>
          <w:sz w:val="22"/>
          <w:lang w:val="en-US"/>
        </w:rPr>
        <w:t xml:space="preserve">the </w:t>
      </w:r>
      <w:r w:rsidRPr="002C75B8">
        <w:rPr>
          <w:sz w:val="22"/>
          <w:lang w:val="en-US"/>
        </w:rPr>
        <w:t>patients were treated with antimonials</w:t>
      </w:r>
      <w:r>
        <w:rPr>
          <w:sz w:val="22"/>
          <w:lang w:val="en-US"/>
        </w:rPr>
        <w:t xml:space="preserve">; </w:t>
      </w:r>
      <w:r w:rsidRPr="002C75B8">
        <w:rPr>
          <w:sz w:val="22"/>
          <w:lang w:val="en-US"/>
        </w:rPr>
        <w:t xml:space="preserve">40% of </w:t>
      </w:r>
      <w:r>
        <w:rPr>
          <w:sz w:val="22"/>
          <w:lang w:val="en-US"/>
        </w:rPr>
        <w:t>whom</w:t>
      </w:r>
      <w:r w:rsidRPr="002C75B8">
        <w:rPr>
          <w:sz w:val="22"/>
          <w:lang w:val="en-US"/>
        </w:rPr>
        <w:t xml:space="preserve"> needed a second treatment course </w:t>
      </w:r>
      <w:r>
        <w:rPr>
          <w:sz w:val="22"/>
          <w:lang w:val="en-US"/>
        </w:rPr>
        <w:t>[17].</w:t>
      </w:r>
      <w:r w:rsidRPr="002C75B8">
        <w:rPr>
          <w:sz w:val="22"/>
          <w:lang w:val="en-US"/>
        </w:rPr>
        <w:t xml:space="preserve"> </w:t>
      </w:r>
    </w:p>
    <w:p w:rsidR="006B0412" w:rsidRPr="002C75B8" w:rsidRDefault="006B0412" w:rsidP="006B0412">
      <w:pPr>
        <w:ind w:left="0" w:firstLine="0"/>
        <w:rPr>
          <w:sz w:val="22"/>
          <w:lang w:val="en-US"/>
        </w:rPr>
      </w:pPr>
    </w:p>
    <w:p w:rsidR="006B0412" w:rsidRDefault="006B0412" w:rsidP="006B0412">
      <w:pPr>
        <w:ind w:left="0" w:firstLine="0"/>
        <w:rPr>
          <w:sz w:val="22"/>
          <w:lang w:val="en-GB"/>
        </w:rPr>
      </w:pPr>
      <w:r w:rsidRPr="002C75B8">
        <w:rPr>
          <w:sz w:val="22"/>
          <w:lang w:val="en-US"/>
        </w:rPr>
        <w:t xml:space="preserve">Lack of access to treatment is also caused by patients suffering </w:t>
      </w:r>
      <w:r>
        <w:rPr>
          <w:sz w:val="22"/>
          <w:lang w:val="en-US"/>
        </w:rPr>
        <w:t xml:space="preserve">major </w:t>
      </w:r>
      <w:r w:rsidRPr="002C75B8">
        <w:rPr>
          <w:sz w:val="22"/>
          <w:lang w:val="en-US"/>
        </w:rPr>
        <w:t xml:space="preserve">economic </w:t>
      </w:r>
      <w:r>
        <w:rPr>
          <w:sz w:val="22"/>
          <w:lang w:val="en-US"/>
        </w:rPr>
        <w:t>loss</w:t>
      </w:r>
      <w:r w:rsidRPr="002C75B8">
        <w:rPr>
          <w:sz w:val="22"/>
          <w:lang w:val="en-US"/>
        </w:rPr>
        <w:t xml:space="preserve"> when spend</w:t>
      </w:r>
      <w:r>
        <w:rPr>
          <w:sz w:val="22"/>
          <w:lang w:val="en-US"/>
        </w:rPr>
        <w:t>ing</w:t>
      </w:r>
      <w:r w:rsidRPr="002C75B8">
        <w:rPr>
          <w:sz w:val="22"/>
          <w:lang w:val="en-US"/>
        </w:rPr>
        <w:t xml:space="preserve"> time away from home. Patients typically first seek care </w:t>
      </w:r>
      <w:r>
        <w:rPr>
          <w:sz w:val="22"/>
          <w:lang w:val="en-US"/>
        </w:rPr>
        <w:t>through</w:t>
      </w:r>
      <w:r w:rsidRPr="002C75B8">
        <w:rPr>
          <w:sz w:val="22"/>
          <w:lang w:val="en-US"/>
        </w:rPr>
        <w:t xml:space="preserve"> a local</w:t>
      </w:r>
      <w:r>
        <w:rPr>
          <w:sz w:val="22"/>
          <w:lang w:val="en-US"/>
        </w:rPr>
        <w:t>, but</w:t>
      </w:r>
      <w:r w:rsidRPr="002C75B8">
        <w:rPr>
          <w:sz w:val="22"/>
          <w:lang w:val="en-US"/>
        </w:rPr>
        <w:t xml:space="preserve"> unqualified</w:t>
      </w:r>
      <w:r>
        <w:rPr>
          <w:sz w:val="22"/>
          <w:lang w:val="en-US"/>
        </w:rPr>
        <w:t>,</w:t>
      </w:r>
      <w:r w:rsidRPr="002C75B8">
        <w:rPr>
          <w:sz w:val="22"/>
          <w:lang w:val="en-US"/>
        </w:rPr>
        <w:t xml:space="preserve"> village health worker. When seeking care outside the community, only an estimated 30% of patients made use of the public sector, and over 50% of patients resort to poorly trained private practitioners. There is a lack of awareness of the serious nature of the disease, and there is thought to be gender inequality in seeking treatment.</w:t>
      </w:r>
      <w:r w:rsidRPr="002C75B8">
        <w:rPr>
          <w:sz w:val="22"/>
          <w:lang w:val="en-GB"/>
        </w:rPr>
        <w:t xml:space="preserve"> </w:t>
      </w:r>
    </w:p>
    <w:p w:rsidR="006B0412" w:rsidRPr="002C75B8" w:rsidRDefault="006B0412" w:rsidP="006B0412">
      <w:pPr>
        <w:ind w:left="0" w:firstLine="0"/>
        <w:rPr>
          <w:sz w:val="22"/>
          <w:lang w:val="en-US"/>
        </w:rPr>
      </w:pPr>
    </w:p>
    <w:p w:rsidR="006B0412" w:rsidRDefault="006B0412" w:rsidP="006B0412">
      <w:pPr>
        <w:ind w:left="0" w:firstLine="0"/>
        <w:rPr>
          <w:sz w:val="22"/>
          <w:lang w:val="en-US"/>
        </w:rPr>
      </w:pPr>
    </w:p>
    <w:p w:rsidR="006B0412" w:rsidRDefault="006B0412" w:rsidP="006B0412">
      <w:pPr>
        <w:ind w:left="0" w:firstLine="0"/>
        <w:rPr>
          <w:sz w:val="22"/>
          <w:lang w:val="en-US"/>
        </w:rPr>
      </w:pPr>
      <w:r w:rsidRPr="002C75B8">
        <w:rPr>
          <w:b/>
          <w:sz w:val="22"/>
          <w:lang w:val="en-US"/>
        </w:rPr>
        <w:t>ACCESS TO DRUGS</w:t>
      </w:r>
      <w:r w:rsidRPr="002C75B8">
        <w:rPr>
          <w:sz w:val="22"/>
          <w:lang w:val="en-US"/>
        </w:rPr>
        <w:t xml:space="preserve"> </w:t>
      </w:r>
    </w:p>
    <w:p w:rsidR="006B0412" w:rsidRPr="002C75B8" w:rsidRDefault="006B0412" w:rsidP="006B0412">
      <w:pPr>
        <w:ind w:left="0" w:firstLine="0"/>
        <w:rPr>
          <w:sz w:val="22"/>
          <w:lang w:val="en-US"/>
        </w:rPr>
      </w:pPr>
    </w:p>
    <w:p w:rsidR="006B0412" w:rsidRDefault="006B0412" w:rsidP="006B0412">
      <w:pPr>
        <w:ind w:left="0" w:firstLine="0"/>
        <w:rPr>
          <w:sz w:val="22"/>
          <w:lang w:val="en-US"/>
        </w:rPr>
      </w:pPr>
      <w:r w:rsidRPr="002C75B8">
        <w:rPr>
          <w:sz w:val="22"/>
          <w:lang w:val="en-US"/>
        </w:rPr>
        <w:t>Miltefosine (</w:t>
      </w:r>
      <w:smartTag w:uri="urn:schemas-microsoft-com:office:smarttags" w:element="City">
        <w:r w:rsidRPr="002C75B8">
          <w:rPr>
            <w:sz w:val="22"/>
            <w:lang w:val="en-US"/>
          </w:rPr>
          <w:t>Paladin</w:t>
        </w:r>
      </w:smartTag>
      <w:r w:rsidRPr="002C75B8">
        <w:rPr>
          <w:sz w:val="22"/>
          <w:lang w:val="en-US"/>
        </w:rPr>
        <w:t xml:space="preserve">, </w:t>
      </w:r>
      <w:smartTag w:uri="urn:schemas-microsoft-com:office:smarttags" w:element="country-region">
        <w:r w:rsidRPr="002C75B8">
          <w:rPr>
            <w:sz w:val="22"/>
            <w:lang w:val="en-US"/>
          </w:rPr>
          <w:t>Canada</w:t>
        </w:r>
      </w:smartTag>
      <w:r w:rsidRPr="002C75B8">
        <w:rPr>
          <w:sz w:val="22"/>
          <w:lang w:val="en-US"/>
        </w:rPr>
        <w:t xml:space="preserve">), generic sodium stibogluconate (Albert David, </w:t>
      </w:r>
      <w:smartTag w:uri="urn:schemas-microsoft-com:office:smarttags" w:element="country-region">
        <w:r w:rsidRPr="002C75B8">
          <w:rPr>
            <w:sz w:val="22"/>
            <w:lang w:val="en-US"/>
          </w:rPr>
          <w:t>India</w:t>
        </w:r>
      </w:smartTag>
      <w:r w:rsidRPr="002C75B8">
        <w:rPr>
          <w:sz w:val="22"/>
          <w:lang w:val="en-US"/>
        </w:rPr>
        <w:t xml:space="preserve">), paromomycin (Gland Pharma, </w:t>
      </w:r>
      <w:smartTag w:uri="urn:schemas-microsoft-com:office:smarttags" w:element="country-region">
        <w:r w:rsidRPr="002C75B8">
          <w:rPr>
            <w:sz w:val="22"/>
            <w:lang w:val="en-US"/>
          </w:rPr>
          <w:t>India</w:t>
        </w:r>
      </w:smartTag>
      <w:r w:rsidRPr="002C75B8">
        <w:rPr>
          <w:sz w:val="22"/>
          <w:lang w:val="en-US"/>
        </w:rPr>
        <w:t>), amphotericin B (various generic manufacturers) and AmBisome (</w:t>
      </w:r>
      <w:smartTag w:uri="urn:schemas-microsoft-com:office:smarttags" w:element="City">
        <w:r w:rsidRPr="002C75B8">
          <w:rPr>
            <w:sz w:val="22"/>
            <w:lang w:val="en-US"/>
          </w:rPr>
          <w:t>Gilead</w:t>
        </w:r>
      </w:smartTag>
      <w:r w:rsidRPr="002C75B8">
        <w:rPr>
          <w:sz w:val="22"/>
          <w:lang w:val="en-US"/>
        </w:rPr>
        <w:t xml:space="preserve">, </w:t>
      </w:r>
      <w:smartTag w:uri="urn:schemas-microsoft-com:office:smarttags" w:element="country-region">
        <w:r w:rsidRPr="002C75B8">
          <w:rPr>
            <w:sz w:val="22"/>
            <w:lang w:val="en-US"/>
          </w:rPr>
          <w:t>US</w:t>
        </w:r>
      </w:smartTag>
      <w:r w:rsidRPr="002C75B8">
        <w:rPr>
          <w:sz w:val="22"/>
          <w:lang w:val="en-US"/>
        </w:rPr>
        <w:t xml:space="preserve">) are registered in </w:t>
      </w:r>
      <w:smartTag w:uri="urn:schemas-microsoft-com:office:smarttags" w:element="place">
        <w:smartTag w:uri="urn:schemas-microsoft-com:office:smarttags" w:element="country-region">
          <w:r w:rsidRPr="002C75B8">
            <w:rPr>
              <w:sz w:val="22"/>
              <w:lang w:val="en-US"/>
            </w:rPr>
            <w:t>India</w:t>
          </w:r>
        </w:smartTag>
      </w:smartTag>
      <w:r w:rsidRPr="002C75B8">
        <w:rPr>
          <w:sz w:val="22"/>
          <w:lang w:val="en-US"/>
        </w:rPr>
        <w:t xml:space="preserve">. The National Essential Drug List (2003 edition) includes sodium stibogluconate, amphotericin B and </w:t>
      </w:r>
      <w:proofErr w:type="spellStart"/>
      <w:r w:rsidRPr="002C75B8">
        <w:rPr>
          <w:sz w:val="22"/>
          <w:lang w:val="en-US"/>
        </w:rPr>
        <w:t>pentamidine</w:t>
      </w:r>
      <w:proofErr w:type="spellEnd"/>
      <w:r w:rsidRPr="002C75B8">
        <w:rPr>
          <w:sz w:val="22"/>
          <w:lang w:val="en-US"/>
        </w:rPr>
        <w:t xml:space="preserve"> for leishmaniasis. </w:t>
      </w:r>
    </w:p>
    <w:p w:rsidR="006B0412" w:rsidRPr="002C75B8" w:rsidRDefault="006B0412" w:rsidP="006B0412">
      <w:pPr>
        <w:ind w:left="0" w:firstLine="0"/>
        <w:rPr>
          <w:sz w:val="22"/>
          <w:lang w:val="en-US"/>
        </w:rPr>
      </w:pPr>
    </w:p>
    <w:p w:rsidR="006B0412" w:rsidRDefault="006B0412" w:rsidP="006B0412">
      <w:pPr>
        <w:ind w:left="0" w:firstLine="0"/>
        <w:rPr>
          <w:sz w:val="22"/>
          <w:lang w:val="en-US"/>
        </w:rPr>
      </w:pPr>
      <w:r w:rsidRPr="002C75B8">
        <w:rPr>
          <w:sz w:val="22"/>
          <w:lang w:val="en-US"/>
        </w:rPr>
        <w:t xml:space="preserve">Generic sodium stibogluconate, miltefosine and amphotericin B are widely available </w:t>
      </w:r>
      <w:r>
        <w:rPr>
          <w:sz w:val="22"/>
          <w:lang w:val="en-US"/>
        </w:rPr>
        <w:t>at</w:t>
      </w:r>
      <w:r w:rsidRPr="002C75B8">
        <w:rPr>
          <w:sz w:val="22"/>
          <w:lang w:val="en-US"/>
        </w:rPr>
        <w:t xml:space="preserve"> the regulated (pharmacies) and unregulated (drug markets) </w:t>
      </w:r>
      <w:r>
        <w:rPr>
          <w:sz w:val="22"/>
          <w:lang w:val="en-US"/>
        </w:rPr>
        <w:t xml:space="preserve">private </w:t>
      </w:r>
      <w:r w:rsidRPr="002C75B8">
        <w:rPr>
          <w:sz w:val="22"/>
          <w:lang w:val="en-US"/>
        </w:rPr>
        <w:t>for</w:t>
      </w:r>
      <w:r>
        <w:rPr>
          <w:sz w:val="22"/>
          <w:lang w:val="en-US"/>
        </w:rPr>
        <w:t>-</w:t>
      </w:r>
      <w:r w:rsidRPr="002C75B8">
        <w:rPr>
          <w:sz w:val="22"/>
          <w:lang w:val="en-US"/>
        </w:rPr>
        <w:t>profit sector. One tablet of miltefosine (50 mg) costs 2</w:t>
      </w:r>
      <w:r>
        <w:rPr>
          <w:sz w:val="22"/>
          <w:lang w:val="en-US"/>
        </w:rPr>
        <w:t>.</w:t>
      </w:r>
      <w:r w:rsidRPr="002C75B8">
        <w:rPr>
          <w:sz w:val="22"/>
          <w:lang w:val="en-US"/>
        </w:rPr>
        <w:t>5 USD, and one vial of generic sodium stibogluconate costs 4</w:t>
      </w:r>
      <w:r>
        <w:rPr>
          <w:sz w:val="22"/>
          <w:lang w:val="en-US"/>
        </w:rPr>
        <w:t>.</w:t>
      </w:r>
      <w:r w:rsidRPr="002C75B8">
        <w:rPr>
          <w:sz w:val="22"/>
          <w:lang w:val="en-US"/>
        </w:rPr>
        <w:t xml:space="preserve">8 USD, leading to treatment costs of 140 resp. 34 USD for an adult patient of </w:t>
      </w:r>
      <w:smartTag w:uri="urn:schemas-microsoft-com:office:smarttags" w:element="metricconverter">
        <w:smartTagPr>
          <w:attr w:name="ProductID" w:val="35 kg"/>
        </w:smartTagPr>
        <w:r w:rsidRPr="002C75B8">
          <w:rPr>
            <w:sz w:val="22"/>
            <w:lang w:val="en-US"/>
          </w:rPr>
          <w:t>35 kg</w:t>
        </w:r>
      </w:smartTag>
      <w:r w:rsidRPr="002C75B8">
        <w:rPr>
          <w:sz w:val="22"/>
          <w:lang w:val="en-US"/>
        </w:rPr>
        <w:t>. A vial of 50 mg amphotericin B costs 6</w:t>
      </w:r>
      <w:r>
        <w:rPr>
          <w:sz w:val="22"/>
          <w:lang w:val="en-US"/>
        </w:rPr>
        <w:t>.</w:t>
      </w:r>
      <w:r w:rsidRPr="002C75B8">
        <w:rPr>
          <w:sz w:val="22"/>
          <w:lang w:val="en-US"/>
        </w:rPr>
        <w:t xml:space="preserve">3 USD (Rs 301). Paromomycin and AmBisome are not for sale in the private sector. The cost of VL </w:t>
      </w:r>
      <w:r>
        <w:rPr>
          <w:sz w:val="22"/>
          <w:lang w:val="en-US"/>
        </w:rPr>
        <w:t>for</w:t>
      </w:r>
      <w:r w:rsidRPr="002C75B8">
        <w:rPr>
          <w:sz w:val="22"/>
          <w:lang w:val="en-US"/>
        </w:rPr>
        <w:t xml:space="preserve"> patients in </w:t>
      </w:r>
      <w:smartTag w:uri="urn:schemas-microsoft-com:office:smarttags" w:element="place">
        <w:r w:rsidRPr="002C75B8">
          <w:rPr>
            <w:sz w:val="22"/>
            <w:lang w:val="en-US"/>
          </w:rPr>
          <w:t>Bihar</w:t>
        </w:r>
      </w:smartTag>
      <w:r w:rsidRPr="002C75B8">
        <w:rPr>
          <w:sz w:val="22"/>
          <w:lang w:val="en-US"/>
        </w:rPr>
        <w:t xml:space="preserve"> was 127 USD</w:t>
      </w:r>
      <w:r>
        <w:rPr>
          <w:sz w:val="22"/>
          <w:lang w:val="en-US"/>
        </w:rPr>
        <w:t>,</w:t>
      </w:r>
      <w:r w:rsidRPr="002C75B8">
        <w:rPr>
          <w:sz w:val="22"/>
          <w:lang w:val="en-US"/>
        </w:rPr>
        <w:t xml:space="preserve"> on average</w:t>
      </w:r>
      <w:r>
        <w:rPr>
          <w:sz w:val="22"/>
          <w:lang w:val="en-US"/>
        </w:rPr>
        <w:t>,</w:t>
      </w:r>
      <w:r w:rsidRPr="002C75B8">
        <w:rPr>
          <w:sz w:val="22"/>
          <w:lang w:val="en-US"/>
        </w:rPr>
        <w:t xml:space="preserve"> </w:t>
      </w:r>
      <w:r>
        <w:rPr>
          <w:sz w:val="22"/>
          <w:lang w:val="en-US"/>
        </w:rPr>
        <w:t xml:space="preserve">as shown </w:t>
      </w:r>
      <w:r w:rsidRPr="002C75B8">
        <w:rPr>
          <w:sz w:val="22"/>
          <w:lang w:val="en-US"/>
        </w:rPr>
        <w:t>in a recent survey</w:t>
      </w:r>
      <w:r>
        <w:rPr>
          <w:sz w:val="22"/>
          <w:lang w:val="en-US"/>
        </w:rPr>
        <w:t>;</w:t>
      </w:r>
      <w:r w:rsidRPr="002C75B8">
        <w:rPr>
          <w:sz w:val="22"/>
          <w:lang w:val="en-US"/>
        </w:rPr>
        <w:t xml:space="preserve"> </w:t>
      </w:r>
      <w:r>
        <w:rPr>
          <w:sz w:val="22"/>
          <w:lang w:val="en-US"/>
        </w:rPr>
        <w:t>this</w:t>
      </w:r>
      <w:r w:rsidRPr="002C75B8">
        <w:rPr>
          <w:sz w:val="22"/>
          <w:lang w:val="en-US"/>
        </w:rPr>
        <w:t xml:space="preserve"> is comparable to more than 3 months of income, </w:t>
      </w:r>
      <w:r>
        <w:rPr>
          <w:sz w:val="22"/>
          <w:lang w:val="en-US"/>
        </w:rPr>
        <w:t>plus additional</w:t>
      </w:r>
      <w:r w:rsidRPr="002C75B8">
        <w:rPr>
          <w:sz w:val="22"/>
          <w:lang w:val="en-US"/>
        </w:rPr>
        <w:t xml:space="preserve"> high indirect costs due to weeks of </w:t>
      </w:r>
      <w:r>
        <w:rPr>
          <w:sz w:val="22"/>
          <w:lang w:val="en-US"/>
        </w:rPr>
        <w:t xml:space="preserve">wage </w:t>
      </w:r>
      <w:r w:rsidRPr="002C75B8">
        <w:rPr>
          <w:sz w:val="22"/>
          <w:lang w:val="en-US"/>
        </w:rPr>
        <w:t xml:space="preserve">loss </w:t>
      </w:r>
      <w:r>
        <w:rPr>
          <w:sz w:val="22"/>
          <w:lang w:val="en-US"/>
        </w:rPr>
        <w:t>[18</w:t>
      </w:r>
      <w:proofErr w:type="gramStart"/>
      <w:r>
        <w:rPr>
          <w:sz w:val="22"/>
          <w:lang w:val="en-US"/>
        </w:rPr>
        <w:t>]</w:t>
      </w:r>
      <w:r w:rsidRPr="002C75B8">
        <w:rPr>
          <w:sz w:val="22"/>
          <w:lang w:val="en-US"/>
        </w:rPr>
        <w:t xml:space="preserve"> </w:t>
      </w:r>
      <w:r>
        <w:rPr>
          <w:sz w:val="22"/>
          <w:lang w:val="en-US"/>
        </w:rPr>
        <w:t>.</w:t>
      </w:r>
      <w:proofErr w:type="gramEnd"/>
    </w:p>
    <w:p w:rsidR="006B0412" w:rsidRPr="002C75B8" w:rsidRDefault="006B0412" w:rsidP="006B0412">
      <w:pPr>
        <w:ind w:left="0" w:firstLine="0"/>
        <w:rPr>
          <w:sz w:val="22"/>
          <w:lang w:val="en-US"/>
        </w:rPr>
      </w:pPr>
    </w:p>
    <w:p w:rsidR="006B0412" w:rsidRPr="002C75B8" w:rsidRDefault="006B0412" w:rsidP="006B0412">
      <w:pPr>
        <w:ind w:left="0" w:firstLine="0"/>
        <w:rPr>
          <w:sz w:val="22"/>
          <w:lang w:val="en-US"/>
        </w:rPr>
      </w:pPr>
      <w:r w:rsidRPr="002C75B8">
        <w:rPr>
          <w:sz w:val="22"/>
          <w:lang w:val="en-US"/>
        </w:rPr>
        <w:t xml:space="preserve">Because of lack of access to free treatment, many patients are forced to use the </w:t>
      </w:r>
      <w:r>
        <w:rPr>
          <w:sz w:val="22"/>
          <w:lang w:val="en-US"/>
        </w:rPr>
        <w:t xml:space="preserve">private </w:t>
      </w:r>
      <w:r w:rsidRPr="002C75B8">
        <w:rPr>
          <w:sz w:val="22"/>
          <w:lang w:val="en-US"/>
        </w:rPr>
        <w:t>for</w:t>
      </w:r>
      <w:r>
        <w:rPr>
          <w:sz w:val="22"/>
          <w:lang w:val="en-US"/>
        </w:rPr>
        <w:t>-</w:t>
      </w:r>
      <w:r w:rsidRPr="002C75B8">
        <w:rPr>
          <w:sz w:val="22"/>
          <w:lang w:val="en-US"/>
        </w:rPr>
        <w:t xml:space="preserve">profit sector and can in most cases only afford partial treatments. This forms a major risk for the development of resistant strains against miltefosine. </w:t>
      </w:r>
    </w:p>
    <w:p w:rsidR="006B0412" w:rsidRDefault="006B0412" w:rsidP="006B0412">
      <w:pPr>
        <w:ind w:left="0" w:firstLine="0"/>
        <w:rPr>
          <w:b/>
          <w:sz w:val="22"/>
          <w:lang w:val="en-US"/>
        </w:rPr>
      </w:pPr>
    </w:p>
    <w:p w:rsidR="006B0412" w:rsidRDefault="006B0412" w:rsidP="006B0412">
      <w:pPr>
        <w:ind w:left="0" w:firstLine="0"/>
        <w:rPr>
          <w:b/>
          <w:sz w:val="22"/>
          <w:lang w:val="en-US"/>
        </w:rPr>
      </w:pPr>
      <w:r w:rsidRPr="002C75B8">
        <w:rPr>
          <w:b/>
          <w:sz w:val="22"/>
          <w:lang w:val="en-US"/>
        </w:rPr>
        <w:lastRenderedPageBreak/>
        <w:t>SOURCES OF INFORMATION</w:t>
      </w:r>
    </w:p>
    <w:p w:rsidR="006B0412" w:rsidRDefault="006B0412" w:rsidP="006B0412">
      <w:pPr>
        <w:ind w:left="0" w:firstLine="0"/>
        <w:rPr>
          <w:b/>
          <w:sz w:val="22"/>
          <w:lang w:val="en-US"/>
        </w:rPr>
      </w:pPr>
    </w:p>
    <w:p w:rsidR="006B0412" w:rsidRPr="002C75B8" w:rsidRDefault="006B0412" w:rsidP="006B0412">
      <w:pPr>
        <w:numPr>
          <w:ilvl w:val="0"/>
          <w:numId w:val="5"/>
        </w:numPr>
        <w:rPr>
          <w:sz w:val="22"/>
          <w:lang w:val="en-US"/>
        </w:rPr>
      </w:pPr>
      <w:r>
        <w:rPr>
          <w:sz w:val="22"/>
          <w:lang w:val="en-US"/>
        </w:rPr>
        <w:t xml:space="preserve">Dr SN Sharma, </w:t>
      </w:r>
      <w:r w:rsidRPr="002C75B8">
        <w:rPr>
          <w:sz w:val="22"/>
          <w:lang w:val="en-US"/>
        </w:rPr>
        <w:t xml:space="preserve">NVBDCP, </w:t>
      </w:r>
      <w:r>
        <w:rPr>
          <w:sz w:val="22"/>
          <w:lang w:val="en-US"/>
        </w:rPr>
        <w:t xml:space="preserve">Ministry of Health &amp; Family Welfare, </w:t>
      </w:r>
      <w:smartTag w:uri="urn:schemas-microsoft-com:office:smarttags" w:element="place">
        <w:smartTag w:uri="urn:schemas-microsoft-com:office:smarttags" w:element="City">
          <w:r w:rsidRPr="002C75B8">
            <w:rPr>
              <w:sz w:val="22"/>
              <w:lang w:val="en-US"/>
            </w:rPr>
            <w:t>Delhi</w:t>
          </w:r>
        </w:smartTag>
      </w:smartTag>
      <w:r>
        <w:rPr>
          <w:sz w:val="22"/>
          <w:lang w:val="en-US"/>
        </w:rPr>
        <w:t>.</w:t>
      </w:r>
    </w:p>
    <w:p w:rsidR="006B0412" w:rsidRPr="00EF6EC8" w:rsidRDefault="006B0412" w:rsidP="006B0412">
      <w:pPr>
        <w:numPr>
          <w:ilvl w:val="0"/>
          <w:numId w:val="5"/>
        </w:numPr>
        <w:ind w:right="-1"/>
        <w:rPr>
          <w:bCs/>
          <w:i/>
          <w:iCs/>
          <w:sz w:val="22"/>
          <w:lang w:val="en-GB"/>
        </w:rPr>
      </w:pPr>
      <w:r w:rsidRPr="00EF6EC8">
        <w:rPr>
          <w:sz w:val="22"/>
          <w:lang w:val="en-US"/>
        </w:rPr>
        <w:t xml:space="preserve">Dr Sujit </w:t>
      </w:r>
      <w:proofErr w:type="spellStart"/>
      <w:r w:rsidRPr="00EF6EC8">
        <w:rPr>
          <w:sz w:val="22"/>
          <w:lang w:val="en-US"/>
        </w:rPr>
        <w:t>Batthacharya</w:t>
      </w:r>
      <w:proofErr w:type="spellEnd"/>
      <w:r w:rsidRPr="00EF6EC8">
        <w:rPr>
          <w:sz w:val="22"/>
          <w:lang w:val="en-US"/>
        </w:rPr>
        <w:t xml:space="preserve">, SEARO/WHO. </w:t>
      </w:r>
      <w:r w:rsidRPr="001905E8">
        <w:rPr>
          <w:bCs/>
          <w:i/>
          <w:iCs/>
          <w:sz w:val="22"/>
          <w:lang w:val="en-GB"/>
        </w:rPr>
        <w:t xml:space="preserve">A WHO informal consultation on epidemiological information on disease burden due to </w:t>
      </w:r>
      <w:r w:rsidRPr="00EF6EC8">
        <w:rPr>
          <w:bCs/>
          <w:i/>
          <w:iCs/>
          <w:sz w:val="22"/>
          <w:lang w:val="en-GB"/>
        </w:rPr>
        <w:t>kala-azar in Bangladesh, India and Nepal. Paro, Bhutan, 8-10 March 2011</w:t>
      </w:r>
    </w:p>
    <w:p w:rsidR="006B0412" w:rsidRPr="00EF6EC8" w:rsidRDefault="006B0412" w:rsidP="006B0412">
      <w:pPr>
        <w:numPr>
          <w:ilvl w:val="0"/>
          <w:numId w:val="5"/>
        </w:numPr>
        <w:ind w:right="-1"/>
        <w:rPr>
          <w:bCs/>
          <w:iCs/>
          <w:sz w:val="22"/>
          <w:lang w:val="en-GB"/>
        </w:rPr>
      </w:pPr>
      <w:r w:rsidRPr="00EF6EC8">
        <w:rPr>
          <w:bCs/>
          <w:iCs/>
          <w:sz w:val="22"/>
          <w:lang w:val="en-GB"/>
        </w:rPr>
        <w:t>Dr Shyam Sundar, Institute of Medical Sciences, Banaras Hindu University, Varanasi. A WHO informal consultation on epidemiological information on disease burden due to kala-azar in Bangladesh, India and Nepal. Paro, Bhutan, 8-10 March 2011.</w:t>
      </w:r>
    </w:p>
    <w:p w:rsidR="006B0412" w:rsidRPr="00EF6EC8" w:rsidRDefault="006B0412" w:rsidP="006B0412">
      <w:pPr>
        <w:ind w:left="0" w:right="-1" w:firstLine="0"/>
        <w:rPr>
          <w:bCs/>
          <w:iCs/>
          <w:sz w:val="22"/>
          <w:lang w:val="en-GB"/>
        </w:rPr>
      </w:pPr>
    </w:p>
    <w:p w:rsidR="006B0412" w:rsidRPr="00EF6EC8" w:rsidRDefault="006B0412" w:rsidP="006B0412">
      <w:pPr>
        <w:ind w:left="0" w:firstLine="0"/>
        <w:rPr>
          <w:bCs/>
          <w:iCs/>
          <w:sz w:val="22"/>
          <w:lang w:val="en-GB"/>
        </w:rPr>
      </w:pPr>
    </w:p>
    <w:p w:rsidR="006B0412" w:rsidRPr="00EF6EC8" w:rsidRDefault="006B0412" w:rsidP="006B0412">
      <w:pPr>
        <w:ind w:left="0" w:firstLine="0"/>
        <w:rPr>
          <w:b/>
          <w:bCs/>
          <w:i/>
          <w:iCs/>
          <w:sz w:val="22"/>
          <w:u w:val="single"/>
          <w:lang w:val="en-GB"/>
        </w:rPr>
      </w:pPr>
    </w:p>
    <w:p w:rsidR="006B0412" w:rsidRPr="006B0412" w:rsidRDefault="006B0412" w:rsidP="006B0412">
      <w:pPr>
        <w:ind w:left="0" w:firstLine="0"/>
        <w:jc w:val="left"/>
        <w:rPr>
          <w:sz w:val="22"/>
          <w:lang w:val="en-GB"/>
        </w:rPr>
      </w:pPr>
      <w:r w:rsidRPr="006B0412">
        <w:rPr>
          <w:bCs/>
          <w:iCs/>
          <w:sz w:val="22"/>
          <w:lang w:val="en-GB"/>
        </w:rPr>
        <w:t xml:space="preserve">1. </w:t>
      </w:r>
      <w:proofErr w:type="spellStart"/>
      <w:r w:rsidRPr="006B0412">
        <w:rPr>
          <w:bCs/>
          <w:iCs/>
          <w:sz w:val="22"/>
          <w:lang w:val="en-GB"/>
        </w:rPr>
        <w:t>Thakur</w:t>
      </w:r>
      <w:proofErr w:type="spellEnd"/>
      <w:r w:rsidRPr="006B0412">
        <w:rPr>
          <w:bCs/>
          <w:iCs/>
          <w:sz w:val="22"/>
          <w:lang w:val="en-GB"/>
        </w:rPr>
        <w:t xml:space="preserve"> CP (1984).</w:t>
      </w:r>
      <w:r w:rsidRPr="006B0412">
        <w:rPr>
          <w:sz w:val="22"/>
          <w:lang w:val="en-GB"/>
        </w:rPr>
        <w:t xml:space="preserve"> </w:t>
      </w:r>
      <w:proofErr w:type="gramStart"/>
      <w:r w:rsidRPr="006B0412">
        <w:rPr>
          <w:sz w:val="22"/>
          <w:lang w:val="en-GB"/>
        </w:rPr>
        <w:t>Epidemiological, clinical and therapeutic features of Bihar kala-azar (including post kala-azar dermal leishmaniasis).</w:t>
      </w:r>
      <w:proofErr w:type="gramEnd"/>
      <w:r w:rsidRPr="006B0412">
        <w:rPr>
          <w:sz w:val="22"/>
          <w:lang w:val="en-GB"/>
        </w:rPr>
        <w:t xml:space="preserve"> </w:t>
      </w:r>
      <w:hyperlink r:id="rId11" w:tooltip="Transactions of the Royal Society of Tropical Medicine and Hygiene." w:history="1">
        <w:r w:rsidRPr="006B0412">
          <w:rPr>
            <w:rStyle w:val="Hyperlink"/>
            <w:color w:val="auto"/>
            <w:sz w:val="22"/>
            <w:u w:val="none"/>
            <w:lang w:val="da-DK"/>
          </w:rPr>
          <w:t>Trans R Soc Trop Med Hyg.</w:t>
        </w:r>
      </w:hyperlink>
      <w:r w:rsidRPr="006B0412">
        <w:rPr>
          <w:sz w:val="22"/>
        </w:rPr>
        <w:t xml:space="preserve"> </w:t>
      </w:r>
      <w:r w:rsidRPr="006B0412">
        <w:rPr>
          <w:sz w:val="22"/>
          <w:lang w:val="en-GB"/>
        </w:rPr>
        <w:t>1984</w:t>
      </w:r>
      <w:proofErr w:type="gramStart"/>
      <w:r w:rsidRPr="006B0412">
        <w:rPr>
          <w:sz w:val="22"/>
          <w:lang w:val="en-GB"/>
        </w:rPr>
        <w:t>;78</w:t>
      </w:r>
      <w:proofErr w:type="gramEnd"/>
      <w:r w:rsidRPr="006B0412">
        <w:rPr>
          <w:sz w:val="22"/>
          <w:lang w:val="en-GB"/>
        </w:rPr>
        <w:t>(3):391-8</w:t>
      </w:r>
    </w:p>
    <w:p w:rsidR="006B0412" w:rsidRPr="006B0412" w:rsidRDefault="006B0412" w:rsidP="006B0412">
      <w:pPr>
        <w:ind w:left="360" w:firstLine="0"/>
        <w:rPr>
          <w:lang w:val="en-GB"/>
        </w:rPr>
      </w:pPr>
    </w:p>
    <w:p w:rsidR="006B0412" w:rsidRPr="006B0412" w:rsidRDefault="006B0412" w:rsidP="006B0412">
      <w:pPr>
        <w:ind w:left="0" w:firstLine="0"/>
        <w:rPr>
          <w:lang w:val="en-GB"/>
        </w:rPr>
      </w:pPr>
      <w:r w:rsidRPr="006B0412">
        <w:rPr>
          <w:sz w:val="22"/>
          <w:lang w:val="en-US"/>
        </w:rPr>
        <w:t xml:space="preserve">2. Desjeux P (1991). </w:t>
      </w:r>
      <w:proofErr w:type="gramStart"/>
      <w:r w:rsidRPr="006B0412">
        <w:rPr>
          <w:sz w:val="22"/>
          <w:lang w:val="en-US"/>
        </w:rPr>
        <w:t>Information on the epidemiology and control of the leishmaniases by country or territory.</w:t>
      </w:r>
      <w:proofErr w:type="gramEnd"/>
      <w:r w:rsidRPr="006B0412">
        <w:rPr>
          <w:sz w:val="22"/>
          <w:lang w:val="en-US"/>
        </w:rPr>
        <w:t xml:space="preserve"> </w:t>
      </w:r>
      <w:proofErr w:type="gramStart"/>
      <w:r w:rsidRPr="006B0412">
        <w:rPr>
          <w:sz w:val="22"/>
          <w:lang w:val="en-US"/>
        </w:rPr>
        <w:t>1991. WHO/LEISH/91.30.</w:t>
      </w:r>
      <w:proofErr w:type="gramEnd"/>
    </w:p>
    <w:p w:rsidR="006B0412" w:rsidRPr="006B0412" w:rsidRDefault="006B0412" w:rsidP="006B0412">
      <w:pPr>
        <w:ind w:left="0" w:firstLine="0"/>
        <w:rPr>
          <w:sz w:val="22"/>
          <w:lang w:val="en-GB"/>
        </w:rPr>
      </w:pPr>
    </w:p>
    <w:p w:rsidR="006B0412" w:rsidRPr="006B0412" w:rsidRDefault="006B0412" w:rsidP="006B0412">
      <w:pPr>
        <w:ind w:left="0" w:firstLine="0"/>
        <w:rPr>
          <w:sz w:val="22"/>
          <w:lang w:val="en-GB"/>
        </w:rPr>
      </w:pPr>
      <w:r w:rsidRPr="006B0412">
        <w:rPr>
          <w:sz w:val="22"/>
          <w:lang w:val="en-GB"/>
        </w:rPr>
        <w:t xml:space="preserve">3. Simi SM, </w:t>
      </w:r>
      <w:proofErr w:type="spellStart"/>
      <w:r w:rsidRPr="006B0412">
        <w:rPr>
          <w:sz w:val="22"/>
          <w:lang w:val="en-GB"/>
        </w:rPr>
        <w:t>Anish</w:t>
      </w:r>
      <w:proofErr w:type="spellEnd"/>
      <w:r w:rsidRPr="006B0412">
        <w:rPr>
          <w:sz w:val="22"/>
          <w:lang w:val="en-GB"/>
        </w:rPr>
        <w:t xml:space="preserve"> TS, </w:t>
      </w:r>
      <w:proofErr w:type="spellStart"/>
      <w:r w:rsidRPr="006B0412">
        <w:rPr>
          <w:sz w:val="22"/>
          <w:lang w:val="en-GB"/>
        </w:rPr>
        <w:t>Jyothi</w:t>
      </w:r>
      <w:proofErr w:type="spellEnd"/>
      <w:r w:rsidRPr="006B0412">
        <w:rPr>
          <w:sz w:val="22"/>
          <w:lang w:val="en-GB"/>
        </w:rPr>
        <w:t xml:space="preserve"> R, </w:t>
      </w:r>
      <w:proofErr w:type="spellStart"/>
      <w:r w:rsidRPr="006B0412">
        <w:rPr>
          <w:sz w:val="22"/>
          <w:lang w:val="en-GB"/>
        </w:rPr>
        <w:t>Vijayakumar</w:t>
      </w:r>
      <w:proofErr w:type="spellEnd"/>
      <w:r w:rsidRPr="006B0412">
        <w:rPr>
          <w:sz w:val="22"/>
          <w:lang w:val="en-GB"/>
        </w:rPr>
        <w:t xml:space="preserve"> K, Philip RR et al (2010). </w:t>
      </w:r>
      <w:proofErr w:type="gramStart"/>
      <w:r w:rsidRPr="006B0412">
        <w:rPr>
          <w:sz w:val="22"/>
          <w:lang w:val="en-GB"/>
        </w:rPr>
        <w:t xml:space="preserve">Searching for cutaneous leishmaniasis in </w:t>
      </w:r>
      <w:proofErr w:type="spellStart"/>
      <w:r w:rsidRPr="006B0412">
        <w:rPr>
          <w:sz w:val="22"/>
          <w:lang w:val="en-GB"/>
        </w:rPr>
        <w:t>tribals</w:t>
      </w:r>
      <w:proofErr w:type="spellEnd"/>
      <w:r w:rsidRPr="006B0412">
        <w:rPr>
          <w:sz w:val="22"/>
          <w:lang w:val="en-GB"/>
        </w:rPr>
        <w:t xml:space="preserve"> from Kerala, India.</w:t>
      </w:r>
      <w:proofErr w:type="gramEnd"/>
      <w:r w:rsidRPr="006B0412">
        <w:rPr>
          <w:sz w:val="22"/>
          <w:lang w:val="en-GB"/>
        </w:rPr>
        <w:t xml:space="preserve"> </w:t>
      </w:r>
      <w:hyperlink r:id="rId12" w:history="1">
        <w:r w:rsidRPr="006B0412">
          <w:rPr>
            <w:rStyle w:val="Hyperlink"/>
            <w:color w:val="auto"/>
            <w:sz w:val="22"/>
            <w:u w:val="none"/>
            <w:lang w:val="en-GB"/>
          </w:rPr>
          <w:t>Glob Infect Dis</w:t>
        </w:r>
        <w:proofErr w:type="gramStart"/>
        <w:r w:rsidRPr="006B0412">
          <w:rPr>
            <w:rStyle w:val="Hyperlink"/>
            <w:color w:val="auto"/>
            <w:sz w:val="22"/>
            <w:u w:val="none"/>
            <w:lang w:val="en-GB"/>
          </w:rPr>
          <w:t>.</w:t>
        </w:r>
        <w:proofErr w:type="gramEnd"/>
      </w:hyperlink>
      <w:r w:rsidRPr="006B0412">
        <w:rPr>
          <w:sz w:val="22"/>
          <w:lang w:val="en-GB"/>
        </w:rPr>
        <w:t>2(2):95-100.</w:t>
      </w:r>
    </w:p>
    <w:p w:rsidR="006B0412" w:rsidRPr="006B0412" w:rsidRDefault="006B0412" w:rsidP="006B0412">
      <w:pPr>
        <w:ind w:left="0" w:firstLine="0"/>
        <w:rPr>
          <w:sz w:val="22"/>
          <w:lang w:val="en-GB"/>
        </w:rPr>
      </w:pPr>
    </w:p>
    <w:p w:rsidR="006B0412" w:rsidRPr="006B0412" w:rsidRDefault="006B0412" w:rsidP="006B0412">
      <w:pPr>
        <w:ind w:left="0" w:firstLine="0"/>
        <w:rPr>
          <w:sz w:val="22"/>
          <w:lang w:val="en-GB"/>
        </w:rPr>
      </w:pPr>
      <w:r w:rsidRPr="006B0412">
        <w:rPr>
          <w:sz w:val="22"/>
          <w:lang w:val="en-GB"/>
        </w:rPr>
        <w:t xml:space="preserve">4. </w:t>
      </w:r>
      <w:proofErr w:type="spellStart"/>
      <w:r w:rsidRPr="006B0412">
        <w:rPr>
          <w:sz w:val="22"/>
          <w:lang w:val="en-GB"/>
        </w:rPr>
        <w:t>Kesavan</w:t>
      </w:r>
      <w:proofErr w:type="spellEnd"/>
      <w:r w:rsidRPr="006B0412">
        <w:rPr>
          <w:sz w:val="22"/>
          <w:lang w:val="en-GB"/>
        </w:rPr>
        <w:t xml:space="preserve"> A, </w:t>
      </w:r>
      <w:proofErr w:type="spellStart"/>
      <w:r w:rsidRPr="006B0412">
        <w:rPr>
          <w:sz w:val="22"/>
          <w:lang w:val="en-GB"/>
        </w:rPr>
        <w:t>Parvathy</w:t>
      </w:r>
      <w:proofErr w:type="spellEnd"/>
      <w:r w:rsidRPr="006B0412">
        <w:rPr>
          <w:sz w:val="22"/>
          <w:lang w:val="en-GB"/>
        </w:rPr>
        <w:t xml:space="preserve"> VK, Thomas S, </w:t>
      </w:r>
      <w:proofErr w:type="spellStart"/>
      <w:r w:rsidRPr="006B0412">
        <w:rPr>
          <w:sz w:val="22"/>
          <w:lang w:val="en-GB"/>
        </w:rPr>
        <w:t>Sudha</w:t>
      </w:r>
      <w:proofErr w:type="spellEnd"/>
      <w:r w:rsidRPr="006B0412">
        <w:rPr>
          <w:sz w:val="22"/>
          <w:lang w:val="en-GB"/>
        </w:rPr>
        <w:t xml:space="preserve"> SP (2003). Indigenous visceral leishmaniasis: two cases from Kerala. Indian </w:t>
      </w:r>
      <w:proofErr w:type="spellStart"/>
      <w:r w:rsidRPr="006B0412">
        <w:rPr>
          <w:sz w:val="22"/>
          <w:lang w:val="en-GB"/>
        </w:rPr>
        <w:t>Pediatrics</w:t>
      </w:r>
      <w:proofErr w:type="spellEnd"/>
      <w:r w:rsidRPr="006B0412">
        <w:rPr>
          <w:sz w:val="22"/>
          <w:lang w:val="en-GB"/>
        </w:rPr>
        <w:t xml:space="preserve"> 40:373-374. </w:t>
      </w:r>
    </w:p>
    <w:p w:rsidR="006B0412" w:rsidRPr="006B0412" w:rsidRDefault="006B0412" w:rsidP="006B0412">
      <w:pPr>
        <w:ind w:left="0" w:firstLine="0"/>
        <w:rPr>
          <w:sz w:val="22"/>
          <w:lang w:val="en-GB"/>
        </w:rPr>
      </w:pPr>
    </w:p>
    <w:p w:rsidR="006B0412" w:rsidRPr="006B0412" w:rsidRDefault="006B0412" w:rsidP="006B0412">
      <w:pPr>
        <w:ind w:left="0" w:firstLine="0"/>
        <w:rPr>
          <w:sz w:val="22"/>
          <w:lang w:val="en-GB"/>
        </w:rPr>
      </w:pPr>
      <w:r w:rsidRPr="006B0412">
        <w:rPr>
          <w:sz w:val="22"/>
          <w:lang w:val="en-GB"/>
        </w:rPr>
        <w:t xml:space="preserve">5. Sharma U, </w:t>
      </w:r>
      <w:proofErr w:type="spellStart"/>
      <w:r w:rsidRPr="006B0412">
        <w:rPr>
          <w:sz w:val="22"/>
          <w:lang w:val="en-GB"/>
        </w:rPr>
        <w:t>Redhu</w:t>
      </w:r>
      <w:proofErr w:type="spellEnd"/>
      <w:r w:rsidRPr="006B0412">
        <w:rPr>
          <w:sz w:val="22"/>
          <w:lang w:val="en-GB"/>
        </w:rPr>
        <w:t xml:space="preserve"> NS, </w:t>
      </w:r>
      <w:proofErr w:type="spellStart"/>
      <w:r w:rsidRPr="006B0412">
        <w:rPr>
          <w:sz w:val="22"/>
          <w:lang w:val="en-GB"/>
        </w:rPr>
        <w:t>Mathur</w:t>
      </w:r>
      <w:proofErr w:type="spellEnd"/>
      <w:r w:rsidRPr="006B0412">
        <w:rPr>
          <w:sz w:val="22"/>
          <w:lang w:val="en-GB"/>
        </w:rPr>
        <w:t xml:space="preserve"> P, </w:t>
      </w:r>
      <w:proofErr w:type="spellStart"/>
      <w:r w:rsidRPr="006B0412">
        <w:rPr>
          <w:sz w:val="22"/>
          <w:lang w:val="en-GB"/>
        </w:rPr>
        <w:t>Sarman</w:t>
      </w:r>
      <w:proofErr w:type="spellEnd"/>
      <w:r w:rsidRPr="006B0412">
        <w:rPr>
          <w:sz w:val="22"/>
          <w:lang w:val="en-GB"/>
        </w:rPr>
        <w:t xml:space="preserve"> S (2007). </w:t>
      </w:r>
      <w:proofErr w:type="gramStart"/>
      <w:r w:rsidRPr="006B0412">
        <w:rPr>
          <w:sz w:val="22"/>
          <w:lang w:val="en-GB"/>
        </w:rPr>
        <w:t xml:space="preserve">Re-emergence of visceral </w:t>
      </w:r>
      <w:r w:rsidRPr="006B0412">
        <w:rPr>
          <w:sz w:val="22"/>
          <w:lang w:val="en-GB"/>
        </w:rPr>
        <w:br/>
        <w:t>leishmaniasis in Gujarat, India.</w:t>
      </w:r>
      <w:proofErr w:type="gramEnd"/>
      <w:r w:rsidRPr="006B0412">
        <w:rPr>
          <w:sz w:val="22"/>
          <w:lang w:val="en-GB"/>
        </w:rPr>
        <w:t xml:space="preserve"> J </w:t>
      </w:r>
      <w:proofErr w:type="spellStart"/>
      <w:r w:rsidRPr="006B0412">
        <w:rPr>
          <w:sz w:val="22"/>
          <w:lang w:val="en-GB"/>
        </w:rPr>
        <w:t>Vect</w:t>
      </w:r>
      <w:proofErr w:type="spellEnd"/>
      <w:r w:rsidRPr="006B0412">
        <w:rPr>
          <w:sz w:val="22"/>
          <w:lang w:val="en-GB"/>
        </w:rPr>
        <w:t xml:space="preserve"> Born </w:t>
      </w:r>
      <w:proofErr w:type="spellStart"/>
      <w:r w:rsidRPr="006B0412">
        <w:rPr>
          <w:sz w:val="22"/>
          <w:lang w:val="en-GB"/>
        </w:rPr>
        <w:t>Dis</w:t>
      </w:r>
      <w:proofErr w:type="spellEnd"/>
      <w:r w:rsidRPr="006B0412">
        <w:rPr>
          <w:sz w:val="22"/>
          <w:lang w:val="en-GB"/>
        </w:rPr>
        <w:t xml:space="preserve"> 44:230–232.</w:t>
      </w:r>
    </w:p>
    <w:p w:rsidR="006B0412" w:rsidRPr="006B0412" w:rsidRDefault="006B0412" w:rsidP="006B0412">
      <w:pPr>
        <w:ind w:left="0" w:firstLine="0"/>
        <w:rPr>
          <w:sz w:val="22"/>
          <w:lang w:val="en-GB"/>
        </w:rPr>
      </w:pPr>
    </w:p>
    <w:p w:rsidR="006B0412" w:rsidRPr="006B0412" w:rsidRDefault="006B0412" w:rsidP="006B0412">
      <w:pPr>
        <w:ind w:left="0" w:firstLine="0"/>
        <w:rPr>
          <w:sz w:val="22"/>
          <w:lang w:val="en-GB"/>
        </w:rPr>
      </w:pPr>
      <w:r w:rsidRPr="006B0412">
        <w:rPr>
          <w:sz w:val="22"/>
          <w:lang w:val="en-GB"/>
        </w:rPr>
        <w:t xml:space="preserve">6. Boelaert M, </w:t>
      </w:r>
      <w:proofErr w:type="spellStart"/>
      <w:r w:rsidRPr="006B0412">
        <w:rPr>
          <w:sz w:val="22"/>
          <w:lang w:val="en-GB"/>
        </w:rPr>
        <w:t>Meheus</w:t>
      </w:r>
      <w:proofErr w:type="spellEnd"/>
      <w:r w:rsidRPr="006B0412">
        <w:rPr>
          <w:sz w:val="22"/>
          <w:lang w:val="en-GB"/>
        </w:rPr>
        <w:t xml:space="preserve"> P, Sanchez A, Singh SP, </w:t>
      </w:r>
      <w:proofErr w:type="spellStart"/>
      <w:r w:rsidRPr="006B0412">
        <w:rPr>
          <w:sz w:val="22"/>
          <w:lang w:val="en-GB"/>
        </w:rPr>
        <w:t>Vanlerberghe</w:t>
      </w:r>
      <w:proofErr w:type="spellEnd"/>
      <w:r w:rsidRPr="006B0412">
        <w:rPr>
          <w:sz w:val="22"/>
          <w:lang w:val="en-GB"/>
        </w:rPr>
        <w:t xml:space="preserve"> V et al (2009). The poorest of the poor: a poverty appraisal of households affected by visceral leishmaniasis in Bihar, India. </w:t>
      </w:r>
      <w:proofErr w:type="spellStart"/>
      <w:r w:rsidRPr="006B0412">
        <w:rPr>
          <w:sz w:val="22"/>
          <w:lang w:val="en-GB"/>
        </w:rPr>
        <w:t>Trop</w:t>
      </w:r>
      <w:proofErr w:type="spellEnd"/>
      <w:r w:rsidRPr="006B0412">
        <w:rPr>
          <w:sz w:val="22"/>
          <w:lang w:val="en-GB"/>
        </w:rPr>
        <w:t xml:space="preserve"> Med </w:t>
      </w:r>
      <w:proofErr w:type="spellStart"/>
      <w:r w:rsidRPr="006B0412">
        <w:rPr>
          <w:sz w:val="22"/>
          <w:lang w:val="en-GB"/>
        </w:rPr>
        <w:t>Int</w:t>
      </w:r>
      <w:proofErr w:type="spellEnd"/>
      <w:r w:rsidRPr="006B0412">
        <w:rPr>
          <w:sz w:val="22"/>
          <w:lang w:val="en-GB"/>
        </w:rPr>
        <w:t xml:space="preserve"> Health 14(6): 639–644.</w:t>
      </w:r>
    </w:p>
    <w:p w:rsidR="006B0412" w:rsidRPr="006B0412" w:rsidRDefault="006B0412" w:rsidP="006B0412">
      <w:pPr>
        <w:ind w:left="0" w:firstLine="0"/>
        <w:rPr>
          <w:sz w:val="22"/>
          <w:lang w:val="en-GB"/>
        </w:rPr>
      </w:pPr>
    </w:p>
    <w:p w:rsidR="006B0412" w:rsidRPr="006B0412" w:rsidRDefault="006B0412" w:rsidP="006B0412">
      <w:pPr>
        <w:ind w:left="0" w:firstLine="0"/>
        <w:rPr>
          <w:sz w:val="22"/>
          <w:lang w:val="en-GB"/>
        </w:rPr>
      </w:pPr>
      <w:r w:rsidRPr="006B0412">
        <w:rPr>
          <w:sz w:val="22"/>
          <w:lang w:val="en-GB"/>
        </w:rPr>
        <w:t xml:space="preserve">7. Singh SP, Reddy DCS, </w:t>
      </w:r>
      <w:proofErr w:type="spellStart"/>
      <w:r w:rsidRPr="006B0412">
        <w:rPr>
          <w:sz w:val="22"/>
          <w:lang w:val="en-GB"/>
        </w:rPr>
        <w:t>Rai</w:t>
      </w:r>
      <w:proofErr w:type="spellEnd"/>
      <w:r w:rsidRPr="006B0412">
        <w:rPr>
          <w:sz w:val="22"/>
          <w:lang w:val="en-GB"/>
        </w:rPr>
        <w:t xml:space="preserve"> M, Sundar S (2006). </w:t>
      </w:r>
      <w:proofErr w:type="gramStart"/>
      <w:r w:rsidRPr="006B0412">
        <w:rPr>
          <w:sz w:val="22"/>
          <w:lang w:val="en-GB"/>
        </w:rPr>
        <w:t>Serious underreporting of visceral leishmaniasis through passive case reporting in Bihar.</w:t>
      </w:r>
      <w:proofErr w:type="gramEnd"/>
      <w:r w:rsidRPr="006B0412">
        <w:rPr>
          <w:sz w:val="22"/>
          <w:lang w:val="en-GB"/>
        </w:rPr>
        <w:t xml:space="preserve"> </w:t>
      </w:r>
      <w:proofErr w:type="spellStart"/>
      <w:r w:rsidRPr="006B0412">
        <w:rPr>
          <w:sz w:val="22"/>
          <w:lang w:val="en-GB"/>
        </w:rPr>
        <w:t>Trop</w:t>
      </w:r>
      <w:proofErr w:type="spellEnd"/>
      <w:r w:rsidRPr="006B0412">
        <w:rPr>
          <w:sz w:val="22"/>
          <w:lang w:val="en-GB"/>
        </w:rPr>
        <w:t xml:space="preserve"> Med </w:t>
      </w:r>
      <w:proofErr w:type="spellStart"/>
      <w:r w:rsidRPr="006B0412">
        <w:rPr>
          <w:sz w:val="22"/>
          <w:lang w:val="en-GB"/>
        </w:rPr>
        <w:t>Int</w:t>
      </w:r>
      <w:proofErr w:type="spellEnd"/>
      <w:r w:rsidRPr="006B0412">
        <w:rPr>
          <w:sz w:val="22"/>
          <w:lang w:val="en-GB"/>
        </w:rPr>
        <w:t xml:space="preserve"> Health 11(6):899-905.</w:t>
      </w:r>
    </w:p>
    <w:p w:rsidR="006B0412" w:rsidRPr="006B0412" w:rsidRDefault="006B0412" w:rsidP="006B0412">
      <w:pPr>
        <w:ind w:left="0" w:firstLine="0"/>
        <w:rPr>
          <w:sz w:val="22"/>
          <w:lang w:val="en-GB"/>
        </w:rPr>
      </w:pPr>
    </w:p>
    <w:p w:rsidR="006B0412" w:rsidRPr="006B0412" w:rsidRDefault="006B0412" w:rsidP="006B0412">
      <w:pPr>
        <w:ind w:left="0" w:firstLine="0"/>
        <w:rPr>
          <w:sz w:val="22"/>
          <w:lang w:val="en-GB"/>
        </w:rPr>
      </w:pPr>
      <w:r w:rsidRPr="006B0412">
        <w:rPr>
          <w:sz w:val="22"/>
          <w:lang w:val="en-GB"/>
        </w:rPr>
        <w:t xml:space="preserve">8. Singh V, </w:t>
      </w:r>
      <w:proofErr w:type="spellStart"/>
      <w:r w:rsidRPr="006B0412">
        <w:rPr>
          <w:sz w:val="22"/>
          <w:lang w:val="en-GB"/>
        </w:rPr>
        <w:t>Ranjan</w:t>
      </w:r>
      <w:proofErr w:type="spellEnd"/>
      <w:r w:rsidRPr="006B0412">
        <w:rPr>
          <w:sz w:val="22"/>
          <w:lang w:val="en-GB"/>
        </w:rPr>
        <w:t xml:space="preserve"> A, K. </w:t>
      </w:r>
      <w:proofErr w:type="spellStart"/>
      <w:r w:rsidRPr="006B0412">
        <w:rPr>
          <w:sz w:val="22"/>
          <w:lang w:val="en-GB"/>
        </w:rPr>
        <w:t>Topno</w:t>
      </w:r>
      <w:proofErr w:type="spellEnd"/>
      <w:r w:rsidRPr="006B0412">
        <w:rPr>
          <w:sz w:val="22"/>
          <w:lang w:val="en-GB"/>
        </w:rPr>
        <w:t xml:space="preserve"> R, </w:t>
      </w:r>
      <w:proofErr w:type="spellStart"/>
      <w:r w:rsidRPr="006B0412">
        <w:rPr>
          <w:sz w:val="22"/>
          <w:lang w:val="en-GB"/>
        </w:rPr>
        <w:t>Verma</w:t>
      </w:r>
      <w:proofErr w:type="spellEnd"/>
      <w:r w:rsidRPr="006B0412">
        <w:rPr>
          <w:sz w:val="22"/>
          <w:lang w:val="en-GB"/>
        </w:rPr>
        <w:t xml:space="preserve"> R, </w:t>
      </w:r>
      <w:proofErr w:type="spellStart"/>
      <w:r w:rsidRPr="006B0412">
        <w:rPr>
          <w:sz w:val="22"/>
          <w:lang w:val="en-GB"/>
        </w:rPr>
        <w:t>Siddique</w:t>
      </w:r>
      <w:proofErr w:type="spellEnd"/>
      <w:r w:rsidRPr="006B0412">
        <w:rPr>
          <w:sz w:val="22"/>
          <w:lang w:val="en-GB"/>
        </w:rPr>
        <w:t xml:space="preserve"> N et al (2010). Short Report: Estimation of Under-Reporting of Visceral Leishmaniasis Cases in Bihar, India. Am J </w:t>
      </w:r>
      <w:proofErr w:type="spellStart"/>
      <w:r w:rsidRPr="006B0412">
        <w:rPr>
          <w:sz w:val="22"/>
          <w:lang w:val="en-GB"/>
        </w:rPr>
        <w:t>Trop</w:t>
      </w:r>
      <w:proofErr w:type="spellEnd"/>
      <w:r w:rsidRPr="006B0412">
        <w:rPr>
          <w:sz w:val="22"/>
          <w:lang w:val="en-GB"/>
        </w:rPr>
        <w:t xml:space="preserve"> Med </w:t>
      </w:r>
      <w:proofErr w:type="spellStart"/>
      <w:r w:rsidRPr="006B0412">
        <w:rPr>
          <w:sz w:val="22"/>
          <w:lang w:val="en-GB"/>
        </w:rPr>
        <w:t>Hyg</w:t>
      </w:r>
      <w:proofErr w:type="spellEnd"/>
      <w:r w:rsidRPr="006B0412">
        <w:rPr>
          <w:sz w:val="22"/>
          <w:lang w:val="en-GB"/>
        </w:rPr>
        <w:t xml:space="preserve"> 82(1): 9–</w:t>
      </w:r>
      <w:proofErr w:type="gramStart"/>
      <w:r w:rsidRPr="006B0412">
        <w:rPr>
          <w:sz w:val="22"/>
          <w:lang w:val="en-GB"/>
        </w:rPr>
        <w:t>11.</w:t>
      </w:r>
      <w:proofErr w:type="gramEnd"/>
    </w:p>
    <w:p w:rsidR="006B0412" w:rsidRPr="006B0412" w:rsidRDefault="006B0412" w:rsidP="006B0412">
      <w:pPr>
        <w:ind w:left="0" w:firstLine="0"/>
        <w:rPr>
          <w:sz w:val="22"/>
          <w:lang w:val="en-GB"/>
        </w:rPr>
      </w:pPr>
    </w:p>
    <w:p w:rsidR="006B0412" w:rsidRPr="006B0412" w:rsidRDefault="006B0412" w:rsidP="006B0412">
      <w:pPr>
        <w:ind w:left="0" w:firstLine="0"/>
        <w:rPr>
          <w:sz w:val="22"/>
          <w:lang w:val="en-GB"/>
        </w:rPr>
      </w:pPr>
      <w:r w:rsidRPr="006B0412">
        <w:rPr>
          <w:sz w:val="22"/>
          <w:lang w:val="en-GB"/>
        </w:rPr>
        <w:t xml:space="preserve">9. TDR </w:t>
      </w:r>
      <w:proofErr w:type="spellStart"/>
      <w:r w:rsidRPr="006B0412">
        <w:rPr>
          <w:sz w:val="22"/>
          <w:lang w:val="en-GB"/>
        </w:rPr>
        <w:t>multicentric</w:t>
      </w:r>
      <w:proofErr w:type="spellEnd"/>
      <w:r w:rsidRPr="006B0412">
        <w:rPr>
          <w:sz w:val="22"/>
          <w:lang w:val="en-GB"/>
        </w:rPr>
        <w:t xml:space="preserve"> studies on VL supported by WHO/TDR. </w:t>
      </w:r>
      <w:proofErr w:type="gramStart"/>
      <w:r w:rsidRPr="006B0412">
        <w:rPr>
          <w:sz w:val="22"/>
          <w:lang w:val="en-GB"/>
        </w:rPr>
        <w:t>WHO 2007; p 88.</w:t>
      </w:r>
      <w:proofErr w:type="gramEnd"/>
      <w:r w:rsidRPr="006B0412">
        <w:rPr>
          <w:sz w:val="22"/>
          <w:lang w:val="en-GB"/>
        </w:rPr>
        <w:t xml:space="preserve"> </w:t>
      </w:r>
    </w:p>
    <w:p w:rsidR="006B0412" w:rsidRPr="006B0412" w:rsidRDefault="006B0412" w:rsidP="006B0412">
      <w:pPr>
        <w:ind w:left="0" w:firstLine="0"/>
        <w:rPr>
          <w:sz w:val="22"/>
          <w:lang w:val="en-GB"/>
        </w:rPr>
      </w:pPr>
    </w:p>
    <w:p w:rsidR="006B0412" w:rsidRPr="006B0412" w:rsidRDefault="006B0412" w:rsidP="006B0412">
      <w:pPr>
        <w:ind w:left="0" w:firstLine="0"/>
        <w:rPr>
          <w:sz w:val="22"/>
          <w:lang w:val="en-GB"/>
        </w:rPr>
      </w:pPr>
      <w:r w:rsidRPr="006B0412">
        <w:rPr>
          <w:sz w:val="22"/>
          <w:lang w:val="nl-NL"/>
        </w:rPr>
        <w:t xml:space="preserve">10. Alvar J, Aparicio P, Aseffa A, Den Boer M, Cañavate C et al (2008). </w:t>
      </w:r>
      <w:r w:rsidRPr="006B0412">
        <w:rPr>
          <w:sz w:val="22"/>
        </w:rPr>
        <w:fldChar w:fldCharType="begin"/>
      </w:r>
      <w:r w:rsidRPr="006B0412">
        <w:rPr>
          <w:sz w:val="22"/>
          <w:lang w:val="nl-NL"/>
        </w:rPr>
        <w:instrText xml:space="preserve"> HYPERLINK "http://www.ncbi.nlm.nih.gov/pubmed/18400800" </w:instrText>
      </w:r>
      <w:r w:rsidRPr="006B0412">
        <w:rPr>
          <w:sz w:val="22"/>
        </w:rPr>
        <w:fldChar w:fldCharType="separate"/>
      </w:r>
      <w:r w:rsidRPr="006B0412">
        <w:rPr>
          <w:rStyle w:val="Hyperlink"/>
          <w:color w:val="auto"/>
          <w:sz w:val="22"/>
          <w:u w:val="none"/>
          <w:lang w:val="en-GB"/>
        </w:rPr>
        <w:t>The relationship between leishmaniasis and AIDS: the second 10 years.</w:t>
      </w:r>
      <w:r w:rsidRPr="006B0412">
        <w:rPr>
          <w:sz w:val="22"/>
        </w:rPr>
        <w:fldChar w:fldCharType="end"/>
      </w:r>
      <w:r w:rsidRPr="006B0412">
        <w:rPr>
          <w:sz w:val="22"/>
          <w:lang w:val="en-GB"/>
        </w:rPr>
        <w:t xml:space="preserve"> </w:t>
      </w:r>
      <w:proofErr w:type="spellStart"/>
      <w:r w:rsidRPr="006B0412">
        <w:rPr>
          <w:sz w:val="22"/>
          <w:lang w:val="en-GB"/>
        </w:rPr>
        <w:t>Clin</w:t>
      </w:r>
      <w:proofErr w:type="spellEnd"/>
      <w:r w:rsidRPr="006B0412">
        <w:rPr>
          <w:sz w:val="22"/>
          <w:lang w:val="en-GB"/>
        </w:rPr>
        <w:t xml:space="preserve"> </w:t>
      </w:r>
      <w:proofErr w:type="spellStart"/>
      <w:r w:rsidRPr="006B0412">
        <w:rPr>
          <w:sz w:val="22"/>
          <w:lang w:val="en-GB"/>
        </w:rPr>
        <w:t>Microbiol</w:t>
      </w:r>
      <w:proofErr w:type="spellEnd"/>
      <w:r w:rsidRPr="006B0412">
        <w:rPr>
          <w:sz w:val="22"/>
          <w:lang w:val="en-GB"/>
        </w:rPr>
        <w:t xml:space="preserve"> Rev 21(2):334-59.</w:t>
      </w:r>
    </w:p>
    <w:p w:rsidR="006B0412" w:rsidRPr="006B0412" w:rsidRDefault="006B0412" w:rsidP="006B0412">
      <w:pPr>
        <w:ind w:left="0" w:firstLine="0"/>
        <w:rPr>
          <w:sz w:val="22"/>
          <w:lang w:val="en-GB"/>
        </w:rPr>
      </w:pPr>
    </w:p>
    <w:p w:rsidR="006B0412" w:rsidRPr="006B0412" w:rsidRDefault="006B0412" w:rsidP="006B0412">
      <w:pPr>
        <w:ind w:left="0" w:firstLine="0"/>
        <w:rPr>
          <w:sz w:val="22"/>
          <w:lang w:val="en-GB"/>
        </w:rPr>
      </w:pPr>
      <w:r w:rsidRPr="006B0412">
        <w:rPr>
          <w:sz w:val="22"/>
          <w:lang w:val="en-GB"/>
        </w:rPr>
        <w:t xml:space="preserve">11. Bern C, Courtenay O, Alvar J (2010). Of cattle, sand flies and men: a systematic review of risk factor analyses for South Asian visceral leishmaniasis and implications for elimination. </w:t>
      </w:r>
      <w:proofErr w:type="spellStart"/>
      <w:r w:rsidRPr="006B0412">
        <w:rPr>
          <w:sz w:val="22"/>
          <w:lang w:val="en-GB"/>
        </w:rPr>
        <w:t>PLoS</w:t>
      </w:r>
      <w:proofErr w:type="spellEnd"/>
      <w:r w:rsidRPr="006B0412">
        <w:rPr>
          <w:sz w:val="22"/>
          <w:lang w:val="en-GB"/>
        </w:rPr>
        <w:t xml:space="preserve"> </w:t>
      </w:r>
      <w:proofErr w:type="spellStart"/>
      <w:r w:rsidRPr="006B0412">
        <w:rPr>
          <w:sz w:val="22"/>
          <w:lang w:val="en-GB"/>
        </w:rPr>
        <w:t>Negl</w:t>
      </w:r>
      <w:proofErr w:type="spellEnd"/>
      <w:r w:rsidRPr="006B0412">
        <w:rPr>
          <w:sz w:val="22"/>
          <w:lang w:val="en-GB"/>
        </w:rPr>
        <w:t xml:space="preserve"> </w:t>
      </w:r>
      <w:proofErr w:type="spellStart"/>
      <w:r w:rsidRPr="006B0412">
        <w:rPr>
          <w:sz w:val="22"/>
          <w:lang w:val="en-GB"/>
        </w:rPr>
        <w:t>Trop</w:t>
      </w:r>
      <w:proofErr w:type="spellEnd"/>
      <w:r w:rsidRPr="006B0412">
        <w:rPr>
          <w:sz w:val="22"/>
          <w:lang w:val="en-GB"/>
        </w:rPr>
        <w:t xml:space="preserve"> </w:t>
      </w:r>
      <w:proofErr w:type="spellStart"/>
      <w:r w:rsidRPr="006B0412">
        <w:rPr>
          <w:sz w:val="22"/>
          <w:lang w:val="en-GB"/>
        </w:rPr>
        <w:t>Dis</w:t>
      </w:r>
      <w:proofErr w:type="spellEnd"/>
      <w:r w:rsidRPr="006B0412">
        <w:rPr>
          <w:sz w:val="22"/>
          <w:lang w:val="en-GB"/>
        </w:rPr>
        <w:t xml:space="preserve"> 4(2):e599.</w:t>
      </w:r>
    </w:p>
    <w:p w:rsidR="006B0412" w:rsidRPr="006B0412" w:rsidRDefault="006B0412" w:rsidP="006B0412">
      <w:pPr>
        <w:ind w:left="0" w:firstLine="0"/>
        <w:rPr>
          <w:sz w:val="22"/>
          <w:lang w:val="en-GB"/>
        </w:rPr>
      </w:pPr>
    </w:p>
    <w:p w:rsidR="006B0412" w:rsidRPr="006B0412" w:rsidRDefault="006B0412" w:rsidP="006B0412">
      <w:pPr>
        <w:ind w:left="0" w:firstLine="0"/>
        <w:rPr>
          <w:sz w:val="22"/>
          <w:lang w:val="en-GB"/>
        </w:rPr>
      </w:pPr>
      <w:r w:rsidRPr="006B0412">
        <w:rPr>
          <w:sz w:val="22"/>
          <w:lang w:val="en-GB"/>
        </w:rPr>
        <w:t xml:space="preserve">12. </w:t>
      </w:r>
      <w:proofErr w:type="spellStart"/>
      <w:r w:rsidRPr="006B0412">
        <w:rPr>
          <w:sz w:val="22"/>
          <w:lang w:val="en-GB"/>
        </w:rPr>
        <w:t>Ramesh</w:t>
      </w:r>
      <w:proofErr w:type="spellEnd"/>
      <w:r w:rsidRPr="006B0412">
        <w:rPr>
          <w:sz w:val="22"/>
          <w:lang w:val="en-GB"/>
        </w:rPr>
        <w:t xml:space="preserve"> V (1995). Post-kala-azar dermal leishmaniasis </w:t>
      </w:r>
      <w:proofErr w:type="spellStart"/>
      <w:r w:rsidRPr="006B0412">
        <w:rPr>
          <w:sz w:val="22"/>
          <w:lang w:val="en-GB"/>
        </w:rPr>
        <w:t>Int</w:t>
      </w:r>
      <w:proofErr w:type="spellEnd"/>
      <w:r w:rsidRPr="006B0412">
        <w:rPr>
          <w:sz w:val="22"/>
          <w:lang w:val="en-GB"/>
        </w:rPr>
        <w:t xml:space="preserve"> J </w:t>
      </w:r>
      <w:proofErr w:type="spellStart"/>
      <w:r w:rsidRPr="006B0412">
        <w:rPr>
          <w:sz w:val="22"/>
          <w:lang w:val="en-GB"/>
        </w:rPr>
        <w:t>Dermatol</w:t>
      </w:r>
      <w:proofErr w:type="spellEnd"/>
      <w:r w:rsidRPr="006B0412">
        <w:rPr>
          <w:sz w:val="22"/>
          <w:lang w:val="en-GB"/>
        </w:rPr>
        <w:t xml:space="preserve"> 34: 95-01. </w:t>
      </w:r>
    </w:p>
    <w:p w:rsidR="006B0412" w:rsidRPr="006B0412" w:rsidRDefault="006B0412" w:rsidP="006B0412">
      <w:pPr>
        <w:ind w:left="0" w:firstLine="0"/>
        <w:rPr>
          <w:sz w:val="22"/>
          <w:lang w:val="en-GB"/>
        </w:rPr>
      </w:pPr>
    </w:p>
    <w:p w:rsidR="006B0412" w:rsidRPr="006B0412" w:rsidRDefault="006B0412" w:rsidP="006B0412">
      <w:pPr>
        <w:ind w:left="0" w:firstLine="0"/>
        <w:rPr>
          <w:sz w:val="22"/>
          <w:lang w:val="en-GB"/>
        </w:rPr>
      </w:pPr>
      <w:r w:rsidRPr="006B0412">
        <w:rPr>
          <w:sz w:val="22"/>
          <w:lang w:val="en-GB"/>
        </w:rPr>
        <w:lastRenderedPageBreak/>
        <w:t xml:space="preserve">13. </w:t>
      </w:r>
      <w:proofErr w:type="spellStart"/>
      <w:r w:rsidRPr="006B0412">
        <w:rPr>
          <w:sz w:val="22"/>
          <w:lang w:val="en-GB"/>
        </w:rPr>
        <w:t>Kesari</w:t>
      </w:r>
      <w:proofErr w:type="spellEnd"/>
      <w:r w:rsidRPr="006B0412">
        <w:rPr>
          <w:sz w:val="22"/>
          <w:lang w:val="en-GB"/>
        </w:rPr>
        <w:t xml:space="preserve"> S, </w:t>
      </w:r>
      <w:proofErr w:type="spellStart"/>
      <w:r w:rsidRPr="006B0412">
        <w:rPr>
          <w:sz w:val="22"/>
          <w:lang w:val="en-GB"/>
        </w:rPr>
        <w:t>Bhunia</w:t>
      </w:r>
      <w:proofErr w:type="spellEnd"/>
      <w:r w:rsidRPr="006B0412">
        <w:rPr>
          <w:sz w:val="22"/>
          <w:lang w:val="en-GB"/>
        </w:rPr>
        <w:t xml:space="preserve"> G, Kumar V, </w:t>
      </w:r>
      <w:proofErr w:type="spellStart"/>
      <w:r w:rsidRPr="006B0412">
        <w:rPr>
          <w:sz w:val="22"/>
          <w:lang w:val="en-GB"/>
        </w:rPr>
        <w:t>Jeyaram</w:t>
      </w:r>
      <w:proofErr w:type="spellEnd"/>
      <w:r w:rsidRPr="006B0412">
        <w:rPr>
          <w:sz w:val="22"/>
          <w:lang w:val="en-GB"/>
        </w:rPr>
        <w:t xml:space="preserve"> A, </w:t>
      </w:r>
      <w:proofErr w:type="spellStart"/>
      <w:r w:rsidRPr="006B0412">
        <w:rPr>
          <w:sz w:val="22"/>
          <w:lang w:val="en-GB"/>
        </w:rPr>
        <w:t>Ranjan</w:t>
      </w:r>
      <w:proofErr w:type="spellEnd"/>
      <w:r w:rsidRPr="006B0412">
        <w:rPr>
          <w:sz w:val="22"/>
          <w:lang w:val="en-GB"/>
        </w:rPr>
        <w:t xml:space="preserve"> A et al (2010). Study of house-level risk factors associated in the transmission of Indian Kala-azar. </w:t>
      </w:r>
      <w:proofErr w:type="spellStart"/>
      <w:r w:rsidRPr="006B0412">
        <w:rPr>
          <w:sz w:val="22"/>
          <w:lang w:val="en-GB"/>
        </w:rPr>
        <w:t>Parasit</w:t>
      </w:r>
      <w:proofErr w:type="spellEnd"/>
      <w:r w:rsidRPr="006B0412">
        <w:rPr>
          <w:sz w:val="22"/>
          <w:lang w:val="en-GB"/>
        </w:rPr>
        <w:t xml:space="preserve"> Vectors 12(3):94.</w:t>
      </w:r>
    </w:p>
    <w:p w:rsidR="006B0412" w:rsidRPr="006B0412" w:rsidRDefault="006B0412" w:rsidP="006B0412">
      <w:pPr>
        <w:rPr>
          <w:sz w:val="22"/>
          <w:lang w:val="en-GB"/>
        </w:rPr>
      </w:pPr>
      <w:r w:rsidRPr="006B0412">
        <w:rPr>
          <w:sz w:val="22"/>
          <w:lang w:val="en-GB"/>
        </w:rPr>
        <w:t xml:space="preserve"> </w:t>
      </w:r>
    </w:p>
    <w:p w:rsidR="006B0412" w:rsidRPr="006B0412" w:rsidRDefault="006B0412" w:rsidP="006B0412">
      <w:pPr>
        <w:ind w:left="0" w:firstLine="0"/>
        <w:rPr>
          <w:sz w:val="22"/>
          <w:lang w:val="en-GB"/>
        </w:rPr>
      </w:pPr>
      <w:r w:rsidRPr="006B0412">
        <w:rPr>
          <w:sz w:val="22"/>
          <w:lang w:val="en-GB"/>
        </w:rPr>
        <w:t xml:space="preserve">14. Sharma U, </w:t>
      </w:r>
      <w:proofErr w:type="spellStart"/>
      <w:r w:rsidRPr="006B0412">
        <w:rPr>
          <w:sz w:val="22"/>
          <w:lang w:val="en-GB"/>
        </w:rPr>
        <w:t>Redhu</w:t>
      </w:r>
      <w:proofErr w:type="spellEnd"/>
      <w:r w:rsidRPr="006B0412">
        <w:rPr>
          <w:sz w:val="22"/>
          <w:lang w:val="en-GB"/>
        </w:rPr>
        <w:t xml:space="preserve"> NS, </w:t>
      </w:r>
      <w:proofErr w:type="spellStart"/>
      <w:r w:rsidRPr="006B0412">
        <w:rPr>
          <w:sz w:val="22"/>
          <w:lang w:val="en-GB"/>
        </w:rPr>
        <w:t>Mathur</w:t>
      </w:r>
      <w:proofErr w:type="spellEnd"/>
      <w:r w:rsidRPr="006B0412">
        <w:rPr>
          <w:sz w:val="22"/>
          <w:lang w:val="en-GB"/>
        </w:rPr>
        <w:t xml:space="preserve"> P, </w:t>
      </w:r>
      <w:proofErr w:type="spellStart"/>
      <w:r w:rsidRPr="006B0412">
        <w:rPr>
          <w:sz w:val="22"/>
          <w:lang w:val="en-GB"/>
        </w:rPr>
        <w:t>Sarman</w:t>
      </w:r>
      <w:proofErr w:type="spellEnd"/>
      <w:r w:rsidRPr="006B0412">
        <w:rPr>
          <w:sz w:val="22"/>
          <w:lang w:val="en-GB"/>
        </w:rPr>
        <w:t xml:space="preserve"> S (2007). </w:t>
      </w:r>
      <w:proofErr w:type="gramStart"/>
      <w:r w:rsidRPr="006B0412">
        <w:rPr>
          <w:sz w:val="22"/>
          <w:lang w:val="en-GB"/>
        </w:rPr>
        <w:t>Re-emergence of visceral leishmaniasis in Gujarat, India.</w:t>
      </w:r>
      <w:proofErr w:type="gramEnd"/>
      <w:r w:rsidRPr="006B0412">
        <w:rPr>
          <w:sz w:val="22"/>
          <w:lang w:val="en-GB"/>
        </w:rPr>
        <w:t xml:space="preserve"> </w:t>
      </w:r>
      <w:proofErr w:type="gramStart"/>
      <w:r w:rsidRPr="006B0412">
        <w:rPr>
          <w:sz w:val="22"/>
          <w:lang w:val="en-GB"/>
        </w:rPr>
        <w:t xml:space="preserve">J </w:t>
      </w:r>
      <w:proofErr w:type="spellStart"/>
      <w:r w:rsidRPr="006B0412">
        <w:rPr>
          <w:sz w:val="22"/>
          <w:lang w:val="en-GB"/>
        </w:rPr>
        <w:t>Vect</w:t>
      </w:r>
      <w:proofErr w:type="spellEnd"/>
      <w:r w:rsidRPr="006B0412">
        <w:rPr>
          <w:sz w:val="22"/>
          <w:lang w:val="en-GB"/>
        </w:rPr>
        <w:t xml:space="preserve"> Born </w:t>
      </w:r>
      <w:proofErr w:type="spellStart"/>
      <w:r w:rsidRPr="006B0412">
        <w:rPr>
          <w:sz w:val="22"/>
          <w:lang w:val="en-GB"/>
        </w:rPr>
        <w:t>Dis</w:t>
      </w:r>
      <w:proofErr w:type="spellEnd"/>
      <w:r w:rsidRPr="006B0412">
        <w:rPr>
          <w:sz w:val="22"/>
          <w:lang w:val="en-GB"/>
        </w:rPr>
        <w:t xml:space="preserve"> 44, 230–232.</w:t>
      </w:r>
      <w:proofErr w:type="gramEnd"/>
    </w:p>
    <w:p w:rsidR="006B0412" w:rsidRPr="006B0412" w:rsidRDefault="006B0412" w:rsidP="006B0412">
      <w:pPr>
        <w:ind w:left="0" w:firstLine="0"/>
        <w:rPr>
          <w:sz w:val="22"/>
          <w:lang w:val="en-GB"/>
        </w:rPr>
      </w:pPr>
    </w:p>
    <w:p w:rsidR="006B0412" w:rsidRPr="006B0412" w:rsidRDefault="006B0412" w:rsidP="006B0412">
      <w:pPr>
        <w:ind w:left="0" w:firstLine="0"/>
        <w:rPr>
          <w:sz w:val="22"/>
          <w:lang w:val="pt-BR"/>
        </w:rPr>
      </w:pPr>
      <w:r w:rsidRPr="006B0412">
        <w:rPr>
          <w:sz w:val="22"/>
          <w:lang w:val="en-GB"/>
        </w:rPr>
        <w:t xml:space="preserve">15. Sharma MID, Sure JOCK, Karla NL, Mohan K, Swami PN (1973). </w:t>
      </w:r>
      <w:proofErr w:type="gramStart"/>
      <w:r w:rsidRPr="006B0412">
        <w:rPr>
          <w:sz w:val="22"/>
          <w:lang w:val="en-GB"/>
        </w:rPr>
        <w:t>Epidemiological and entomological features of an outbreak of cutaneous leishmaniasis in Bikaner (Rajasthan) during 1971.</w:t>
      </w:r>
      <w:proofErr w:type="gramEnd"/>
      <w:r w:rsidRPr="006B0412">
        <w:rPr>
          <w:sz w:val="22"/>
          <w:lang w:val="en-GB"/>
        </w:rPr>
        <w:t xml:space="preserve"> </w:t>
      </w:r>
      <w:r w:rsidRPr="006B0412">
        <w:rPr>
          <w:sz w:val="22"/>
          <w:lang w:val="pt-BR"/>
        </w:rPr>
        <w:t>J Com Dis 5: 54-71.</w:t>
      </w:r>
    </w:p>
    <w:p w:rsidR="006B0412" w:rsidRPr="006B0412" w:rsidRDefault="006B0412" w:rsidP="006B0412">
      <w:pPr>
        <w:ind w:left="0" w:firstLine="0"/>
        <w:rPr>
          <w:sz w:val="22"/>
          <w:lang w:val="pt-BR"/>
        </w:rPr>
      </w:pPr>
    </w:p>
    <w:p w:rsidR="006B0412" w:rsidRPr="006B0412" w:rsidRDefault="006B0412" w:rsidP="006B0412">
      <w:pPr>
        <w:ind w:left="0" w:firstLine="0"/>
        <w:rPr>
          <w:sz w:val="22"/>
          <w:lang w:val="en-GB"/>
        </w:rPr>
      </w:pPr>
      <w:r w:rsidRPr="006B0412">
        <w:rPr>
          <w:sz w:val="22"/>
          <w:lang w:val="pt-BR"/>
        </w:rPr>
        <w:t xml:space="preserve">16. Bumb RA, Mehta R D, Ghiya BC. Jakhar R, Prasad N et al (2010). </w:t>
      </w:r>
      <w:proofErr w:type="gramStart"/>
      <w:r w:rsidRPr="006B0412">
        <w:rPr>
          <w:sz w:val="22"/>
          <w:lang w:val="en-GB"/>
        </w:rPr>
        <w:t>Efficacy of short-duration (twice weekly) intralesional sodium stibogluconate in treatment of cutaneous leishmaniasis in India.</w:t>
      </w:r>
      <w:proofErr w:type="gramEnd"/>
      <w:r w:rsidRPr="006B0412">
        <w:rPr>
          <w:sz w:val="22"/>
          <w:lang w:val="en-GB"/>
        </w:rPr>
        <w:t xml:space="preserve"> Br J </w:t>
      </w:r>
      <w:proofErr w:type="spellStart"/>
      <w:r w:rsidRPr="006B0412">
        <w:rPr>
          <w:sz w:val="22"/>
          <w:lang w:val="en-GB"/>
        </w:rPr>
        <w:t>Dermatol</w:t>
      </w:r>
      <w:proofErr w:type="spellEnd"/>
      <w:r w:rsidRPr="006B0412">
        <w:rPr>
          <w:sz w:val="22"/>
          <w:lang w:val="en-GB"/>
        </w:rPr>
        <w:t xml:space="preserve"> 163 (4): 854-8. </w:t>
      </w:r>
    </w:p>
    <w:p w:rsidR="006B0412" w:rsidRPr="006B0412" w:rsidRDefault="006B0412" w:rsidP="006B0412">
      <w:pPr>
        <w:ind w:left="0" w:firstLine="0"/>
        <w:rPr>
          <w:sz w:val="22"/>
          <w:lang w:val="en-GB"/>
        </w:rPr>
      </w:pPr>
    </w:p>
    <w:p w:rsidR="006B0412" w:rsidRPr="006B0412" w:rsidRDefault="006B0412" w:rsidP="006B0412">
      <w:pPr>
        <w:ind w:left="0" w:firstLine="0"/>
        <w:rPr>
          <w:sz w:val="22"/>
          <w:lang w:val="en-GB"/>
        </w:rPr>
      </w:pPr>
      <w:r w:rsidRPr="006B0412">
        <w:rPr>
          <w:sz w:val="22"/>
          <w:lang w:val="en-GB"/>
        </w:rPr>
        <w:t xml:space="preserve">17. Hasker E, Singh SP, </w:t>
      </w:r>
      <w:proofErr w:type="spellStart"/>
      <w:r w:rsidRPr="006B0412">
        <w:rPr>
          <w:sz w:val="22"/>
          <w:lang w:val="en-GB"/>
        </w:rPr>
        <w:t>Malaviya</w:t>
      </w:r>
      <w:proofErr w:type="spellEnd"/>
      <w:r w:rsidRPr="006B0412">
        <w:rPr>
          <w:sz w:val="22"/>
          <w:lang w:val="en-GB"/>
        </w:rPr>
        <w:t xml:space="preserve"> P, Singh RP, Shankar R et al (2010). </w:t>
      </w:r>
      <w:proofErr w:type="gramStart"/>
      <w:r w:rsidRPr="006B0412">
        <w:rPr>
          <w:sz w:val="22"/>
          <w:lang w:val="en-GB"/>
        </w:rPr>
        <w:t>Management of visceral leishmaniasis in rural primary health care services in Bihar, India.</w:t>
      </w:r>
      <w:proofErr w:type="gramEnd"/>
      <w:r w:rsidRPr="006B0412">
        <w:rPr>
          <w:sz w:val="22"/>
          <w:lang w:val="en-GB"/>
        </w:rPr>
        <w:t xml:space="preserve"> </w:t>
      </w:r>
      <w:proofErr w:type="spellStart"/>
      <w:r w:rsidRPr="006B0412">
        <w:rPr>
          <w:sz w:val="22"/>
          <w:lang w:val="en-GB"/>
        </w:rPr>
        <w:t>Trop</w:t>
      </w:r>
      <w:proofErr w:type="spellEnd"/>
      <w:r w:rsidRPr="006B0412">
        <w:rPr>
          <w:sz w:val="22"/>
          <w:lang w:val="en-GB"/>
        </w:rPr>
        <w:t xml:space="preserve"> Med </w:t>
      </w:r>
      <w:proofErr w:type="spellStart"/>
      <w:r w:rsidRPr="006B0412">
        <w:rPr>
          <w:sz w:val="22"/>
          <w:lang w:val="en-GB"/>
        </w:rPr>
        <w:t>Int</w:t>
      </w:r>
      <w:proofErr w:type="spellEnd"/>
      <w:r w:rsidRPr="006B0412">
        <w:rPr>
          <w:sz w:val="22"/>
          <w:lang w:val="en-GB"/>
        </w:rPr>
        <w:t xml:space="preserve"> Health 15 </w:t>
      </w:r>
      <w:proofErr w:type="spellStart"/>
      <w:r w:rsidRPr="006B0412">
        <w:rPr>
          <w:sz w:val="22"/>
          <w:lang w:val="en-GB"/>
        </w:rPr>
        <w:t>Suppl</w:t>
      </w:r>
      <w:proofErr w:type="spellEnd"/>
      <w:r w:rsidRPr="006B0412">
        <w:rPr>
          <w:sz w:val="22"/>
          <w:lang w:val="en-GB"/>
        </w:rPr>
        <w:t xml:space="preserve"> 2:55-62.</w:t>
      </w:r>
    </w:p>
    <w:p w:rsidR="006B0412" w:rsidRPr="006B0412" w:rsidRDefault="006B0412" w:rsidP="006B0412">
      <w:pPr>
        <w:ind w:left="0" w:firstLine="0"/>
        <w:rPr>
          <w:sz w:val="22"/>
          <w:lang w:val="en-GB"/>
        </w:rPr>
      </w:pPr>
    </w:p>
    <w:p w:rsidR="006B0412" w:rsidRPr="006B0412" w:rsidRDefault="006B0412" w:rsidP="006B0412">
      <w:pPr>
        <w:ind w:left="0" w:firstLine="0"/>
        <w:rPr>
          <w:sz w:val="22"/>
          <w:lang w:val="en-GB"/>
        </w:rPr>
      </w:pPr>
      <w:r w:rsidRPr="006B0412">
        <w:rPr>
          <w:sz w:val="22"/>
          <w:lang w:val="en-GB"/>
        </w:rPr>
        <w:t xml:space="preserve">18. Sundar S, </w:t>
      </w:r>
      <w:proofErr w:type="spellStart"/>
      <w:r w:rsidRPr="006B0412">
        <w:rPr>
          <w:sz w:val="22"/>
          <w:lang w:val="en-GB"/>
        </w:rPr>
        <w:t>Arora</w:t>
      </w:r>
      <w:proofErr w:type="spellEnd"/>
      <w:r w:rsidRPr="006B0412">
        <w:rPr>
          <w:sz w:val="22"/>
          <w:lang w:val="en-GB"/>
        </w:rPr>
        <w:t xml:space="preserve"> R, Singh SP, Boelaert M, Varghese B (2010). </w:t>
      </w:r>
      <w:proofErr w:type="gramStart"/>
      <w:r w:rsidRPr="006B0412">
        <w:rPr>
          <w:sz w:val="22"/>
          <w:lang w:val="en-GB"/>
        </w:rPr>
        <w:t>Household cost-of-illness of visceral leishmaniasis in Bihar, India.</w:t>
      </w:r>
      <w:proofErr w:type="gramEnd"/>
      <w:r w:rsidRPr="006B0412">
        <w:rPr>
          <w:sz w:val="22"/>
          <w:lang w:val="en-GB"/>
        </w:rPr>
        <w:t xml:space="preserve"> </w:t>
      </w:r>
      <w:proofErr w:type="spellStart"/>
      <w:r w:rsidRPr="006B0412">
        <w:rPr>
          <w:sz w:val="22"/>
          <w:lang w:val="en-GB"/>
        </w:rPr>
        <w:t>Trop</w:t>
      </w:r>
      <w:proofErr w:type="spellEnd"/>
      <w:r w:rsidRPr="006B0412">
        <w:rPr>
          <w:sz w:val="22"/>
          <w:lang w:val="en-GB"/>
        </w:rPr>
        <w:t xml:space="preserve"> Med </w:t>
      </w:r>
      <w:proofErr w:type="spellStart"/>
      <w:r w:rsidRPr="006B0412">
        <w:rPr>
          <w:sz w:val="22"/>
          <w:lang w:val="en-GB"/>
        </w:rPr>
        <w:t>Int</w:t>
      </w:r>
      <w:proofErr w:type="spellEnd"/>
      <w:r w:rsidRPr="006B0412">
        <w:rPr>
          <w:sz w:val="22"/>
          <w:lang w:val="en-GB"/>
        </w:rPr>
        <w:t xml:space="preserve"> Health 15 </w:t>
      </w:r>
      <w:proofErr w:type="spellStart"/>
      <w:r w:rsidRPr="006B0412">
        <w:rPr>
          <w:sz w:val="22"/>
          <w:lang w:val="en-GB"/>
        </w:rPr>
        <w:t>Suppl</w:t>
      </w:r>
      <w:proofErr w:type="spellEnd"/>
      <w:r w:rsidRPr="006B0412">
        <w:rPr>
          <w:sz w:val="22"/>
          <w:lang w:val="en-GB"/>
        </w:rPr>
        <w:t xml:space="preserve"> 2:50-4.</w:t>
      </w:r>
    </w:p>
    <w:p w:rsidR="006B0412" w:rsidRPr="006B0412" w:rsidRDefault="006B0412" w:rsidP="006B0412">
      <w:pPr>
        <w:ind w:left="0" w:firstLine="0"/>
        <w:rPr>
          <w:sz w:val="22"/>
          <w:lang w:val="en-GB"/>
        </w:rPr>
      </w:pPr>
    </w:p>
    <w:p w:rsidR="006B0412" w:rsidRPr="006B0412" w:rsidRDefault="006B0412" w:rsidP="006B0412">
      <w:pPr>
        <w:ind w:left="0" w:firstLine="0"/>
        <w:rPr>
          <w:sz w:val="22"/>
          <w:lang w:val="en-GB"/>
        </w:rPr>
      </w:pPr>
    </w:p>
    <w:p w:rsidR="006B0412" w:rsidRPr="006B0412" w:rsidRDefault="006B0412" w:rsidP="006B0412">
      <w:pPr>
        <w:ind w:left="0" w:firstLine="0"/>
        <w:rPr>
          <w:sz w:val="22"/>
          <w:lang w:val="en-GB"/>
        </w:rPr>
      </w:pPr>
    </w:p>
    <w:p w:rsidR="006B0412" w:rsidRPr="006B0412" w:rsidRDefault="006B0412" w:rsidP="006B0412">
      <w:pPr>
        <w:ind w:left="0" w:firstLine="0"/>
        <w:rPr>
          <w:sz w:val="22"/>
          <w:lang w:val="en-GB"/>
        </w:rPr>
      </w:pPr>
    </w:p>
    <w:p w:rsidR="006B0412" w:rsidRPr="006B0412" w:rsidRDefault="006B0412" w:rsidP="006B0412">
      <w:pPr>
        <w:ind w:left="0" w:firstLine="0"/>
        <w:rPr>
          <w:sz w:val="22"/>
          <w:lang w:val="en-GB"/>
        </w:rPr>
      </w:pPr>
    </w:p>
    <w:p w:rsidR="006B0412" w:rsidRPr="001F03A9" w:rsidRDefault="006B0412" w:rsidP="006B0412">
      <w:pPr>
        <w:ind w:left="0" w:firstLine="0"/>
        <w:rPr>
          <w:sz w:val="22"/>
          <w:lang w:val="en-GB"/>
        </w:rPr>
      </w:pPr>
    </w:p>
    <w:p w:rsidR="006B0412" w:rsidRPr="001F03A9" w:rsidRDefault="006B0412" w:rsidP="006B0412">
      <w:pPr>
        <w:ind w:left="0" w:firstLine="0"/>
        <w:rPr>
          <w:sz w:val="22"/>
          <w:lang w:val="en-GB"/>
        </w:rPr>
      </w:pPr>
    </w:p>
    <w:p w:rsidR="006B0412" w:rsidRPr="001F03A9" w:rsidRDefault="006B0412" w:rsidP="006B0412">
      <w:pPr>
        <w:ind w:left="0" w:firstLine="0"/>
        <w:rPr>
          <w:sz w:val="22"/>
          <w:lang w:val="en-GB"/>
        </w:rPr>
      </w:pPr>
    </w:p>
    <w:p w:rsidR="006B0412" w:rsidRPr="001F03A9" w:rsidRDefault="006B0412" w:rsidP="006B0412">
      <w:pPr>
        <w:ind w:left="0" w:firstLine="0"/>
        <w:rPr>
          <w:sz w:val="22"/>
          <w:lang w:val="en-GB"/>
        </w:rPr>
      </w:pPr>
    </w:p>
    <w:p w:rsidR="006B0412" w:rsidRPr="001F03A9" w:rsidRDefault="006B0412" w:rsidP="006B0412">
      <w:pPr>
        <w:ind w:left="0" w:firstLine="0"/>
        <w:rPr>
          <w:sz w:val="22"/>
          <w:lang w:val="en-GB"/>
        </w:rPr>
      </w:pPr>
    </w:p>
    <w:p w:rsidR="006B0412" w:rsidRPr="001F03A9" w:rsidRDefault="006B0412" w:rsidP="006B0412">
      <w:pPr>
        <w:ind w:left="0" w:firstLine="0"/>
        <w:rPr>
          <w:sz w:val="22"/>
          <w:lang w:val="en-GB"/>
        </w:rPr>
      </w:pPr>
    </w:p>
    <w:p w:rsidR="002F7C1A" w:rsidRDefault="002F7C1A" w:rsidP="006B0412"/>
    <w:sectPr w:rsidR="002F7C1A" w:rsidSect="002F7C1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31912"/>
    <w:multiLevelType w:val="multilevel"/>
    <w:tmpl w:val="9F3EB04A"/>
    <w:lvl w:ilvl="0">
      <w:start w:val="1"/>
      <w:numFmt w:val="decimal"/>
      <w:pStyle w:val="Heading1"/>
      <w:isLgl/>
      <w:lvlText w:val="%1."/>
      <w:lvlJc w:val="left"/>
      <w:pPr>
        <w:tabs>
          <w:tab w:val="num" w:pos="1134"/>
        </w:tabs>
        <w:ind w:left="1134" w:hanging="1134"/>
      </w:pPr>
      <w:rPr>
        <w:rFonts w:ascii="Arial" w:hAnsi="Arial" w:hint="default"/>
        <w:b/>
        <w:i w:val="0"/>
        <w:color w:val="000000"/>
        <w:sz w:val="32"/>
        <w:szCs w:val="32"/>
        <w:u w:color="000000"/>
      </w:rPr>
    </w:lvl>
    <w:lvl w:ilvl="1">
      <w:start w:val="1"/>
      <w:numFmt w:val="decimal"/>
      <w:pStyle w:val="Heading2"/>
      <w:isLgl/>
      <w:lvlText w:val="%1.%2."/>
      <w:lvlJc w:val="left"/>
      <w:pPr>
        <w:tabs>
          <w:tab w:val="num" w:pos="1134"/>
        </w:tabs>
        <w:ind w:left="1134" w:hanging="1134"/>
      </w:pPr>
      <w:rPr>
        <w:rFonts w:ascii="Arial" w:hAnsi="Arial" w:hint="default"/>
        <w:b/>
        <w:i w:val="0"/>
        <w:color w:val="000000"/>
        <w:sz w:val="28"/>
        <w:szCs w:val="28"/>
      </w:rPr>
    </w:lvl>
    <w:lvl w:ilvl="2">
      <w:start w:val="1"/>
      <w:numFmt w:val="decimal"/>
      <w:pStyle w:val="Heading3"/>
      <w:isLgl/>
      <w:lvlText w:val="%1.%2.%3."/>
      <w:lvlJc w:val="left"/>
      <w:pPr>
        <w:tabs>
          <w:tab w:val="num" w:pos="0"/>
        </w:tabs>
        <w:ind w:left="1134" w:hanging="1134"/>
      </w:pPr>
      <w:rPr>
        <w:rFonts w:ascii="Arial" w:hAnsi="Arial" w:hint="default"/>
        <w:b w:val="0"/>
        <w:i/>
        <w:color w:val="000000"/>
        <w:sz w:val="27"/>
        <w:szCs w:val="27"/>
      </w:rPr>
    </w:lvl>
    <w:lvl w:ilvl="3">
      <w:start w:val="1"/>
      <w:numFmt w:val="decimal"/>
      <w:pStyle w:val="Heading4"/>
      <w:lvlText w:val="%1.%2.%3.%4."/>
      <w:lvlJc w:val="left"/>
      <w:pPr>
        <w:tabs>
          <w:tab w:val="num" w:pos="1134"/>
        </w:tabs>
        <w:ind w:left="1134" w:hanging="1134"/>
      </w:pPr>
      <w:rPr>
        <w:rFonts w:ascii="Arial" w:hAnsi="Arial" w:hint="default"/>
        <w:b w:val="0"/>
        <w:i w:val="0"/>
        <w:color w:val="000000"/>
        <w:sz w:val="26"/>
        <w:szCs w:val="26"/>
      </w:rPr>
    </w:lvl>
    <w:lvl w:ilvl="4">
      <w:start w:val="1"/>
      <w:numFmt w:val="decimal"/>
      <w:lvlText w:val="%1.%2.%3.%4.%5."/>
      <w:lvlJc w:val="left"/>
      <w:pPr>
        <w:tabs>
          <w:tab w:val="num" w:pos="1402"/>
        </w:tabs>
        <w:ind w:left="1402" w:hanging="1402"/>
      </w:pPr>
      <w:rPr>
        <w:rFonts w:ascii="Arial" w:hAnsi="Arial" w:hint="default"/>
        <w:b/>
        <w:i w:val="0"/>
        <w:color w:val="000000"/>
        <w:sz w:val="24"/>
        <w:szCs w:val="24"/>
      </w:rPr>
    </w:lvl>
    <w:lvl w:ilvl="5">
      <w:start w:val="1"/>
      <w:numFmt w:val="decimal"/>
      <w:lvlText w:val="%1.%2.%3.%4.%5.%6."/>
      <w:lvlJc w:val="left"/>
      <w:pPr>
        <w:tabs>
          <w:tab w:val="num" w:pos="1701"/>
        </w:tabs>
        <w:ind w:left="1701" w:hanging="1701"/>
      </w:pPr>
      <w:rPr>
        <w:rFonts w:ascii="Arial" w:hAnsi="Arial" w:hint="default"/>
        <w:b w:val="0"/>
        <w:i w:val="0"/>
        <w:color w:val="000000"/>
        <w:sz w:val="24"/>
        <w:szCs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5AEA1738"/>
    <w:multiLevelType w:val="hybridMultilevel"/>
    <w:tmpl w:val="783C2E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B0412"/>
    <w:rsid w:val="000028F1"/>
    <w:rsid w:val="00010242"/>
    <w:rsid w:val="00044543"/>
    <w:rsid w:val="00046B72"/>
    <w:rsid w:val="00052A25"/>
    <w:rsid w:val="0005677D"/>
    <w:rsid w:val="000578BC"/>
    <w:rsid w:val="000848FF"/>
    <w:rsid w:val="000B48D7"/>
    <w:rsid w:val="000E5115"/>
    <w:rsid w:val="000F0175"/>
    <w:rsid w:val="000F1E62"/>
    <w:rsid w:val="001168B6"/>
    <w:rsid w:val="00134E9F"/>
    <w:rsid w:val="00141FD2"/>
    <w:rsid w:val="0016660D"/>
    <w:rsid w:val="00194CED"/>
    <w:rsid w:val="001B2C47"/>
    <w:rsid w:val="001E4D96"/>
    <w:rsid w:val="002000DA"/>
    <w:rsid w:val="00215613"/>
    <w:rsid w:val="00220DFD"/>
    <w:rsid w:val="0024005B"/>
    <w:rsid w:val="00245DB8"/>
    <w:rsid w:val="00252F0C"/>
    <w:rsid w:val="00270F6A"/>
    <w:rsid w:val="00272C75"/>
    <w:rsid w:val="00272E09"/>
    <w:rsid w:val="0027629F"/>
    <w:rsid w:val="00280D78"/>
    <w:rsid w:val="002C258B"/>
    <w:rsid w:val="002F4248"/>
    <w:rsid w:val="002F6463"/>
    <w:rsid w:val="002F7C1A"/>
    <w:rsid w:val="00315ECC"/>
    <w:rsid w:val="003229A6"/>
    <w:rsid w:val="003310F3"/>
    <w:rsid w:val="00333A3A"/>
    <w:rsid w:val="0034701D"/>
    <w:rsid w:val="0036003C"/>
    <w:rsid w:val="00363320"/>
    <w:rsid w:val="00374366"/>
    <w:rsid w:val="003A44B4"/>
    <w:rsid w:val="003B3568"/>
    <w:rsid w:val="003B73ED"/>
    <w:rsid w:val="003D1FFD"/>
    <w:rsid w:val="003E1DA2"/>
    <w:rsid w:val="003F1346"/>
    <w:rsid w:val="00412019"/>
    <w:rsid w:val="00412575"/>
    <w:rsid w:val="00420168"/>
    <w:rsid w:val="004264FD"/>
    <w:rsid w:val="00491E29"/>
    <w:rsid w:val="004A37D9"/>
    <w:rsid w:val="004A5A5B"/>
    <w:rsid w:val="004C53F0"/>
    <w:rsid w:val="004D15B3"/>
    <w:rsid w:val="005100AA"/>
    <w:rsid w:val="00570157"/>
    <w:rsid w:val="0057148C"/>
    <w:rsid w:val="005724D3"/>
    <w:rsid w:val="00581469"/>
    <w:rsid w:val="00593992"/>
    <w:rsid w:val="005C6498"/>
    <w:rsid w:val="005F2E6A"/>
    <w:rsid w:val="005F4AD0"/>
    <w:rsid w:val="0062498A"/>
    <w:rsid w:val="00626A99"/>
    <w:rsid w:val="006272A7"/>
    <w:rsid w:val="00641A14"/>
    <w:rsid w:val="00653580"/>
    <w:rsid w:val="00661504"/>
    <w:rsid w:val="00690048"/>
    <w:rsid w:val="006B0412"/>
    <w:rsid w:val="006C198E"/>
    <w:rsid w:val="006E008C"/>
    <w:rsid w:val="006E2CDF"/>
    <w:rsid w:val="006E718B"/>
    <w:rsid w:val="0071174C"/>
    <w:rsid w:val="00740C76"/>
    <w:rsid w:val="0075377D"/>
    <w:rsid w:val="007A78DF"/>
    <w:rsid w:val="007C7FD3"/>
    <w:rsid w:val="007D3253"/>
    <w:rsid w:val="007E18CB"/>
    <w:rsid w:val="007E4A87"/>
    <w:rsid w:val="008006B5"/>
    <w:rsid w:val="008016D2"/>
    <w:rsid w:val="00832051"/>
    <w:rsid w:val="00837717"/>
    <w:rsid w:val="008403F6"/>
    <w:rsid w:val="00847BE4"/>
    <w:rsid w:val="00851DE1"/>
    <w:rsid w:val="0086504E"/>
    <w:rsid w:val="00895527"/>
    <w:rsid w:val="00896966"/>
    <w:rsid w:val="008B250E"/>
    <w:rsid w:val="008D3496"/>
    <w:rsid w:val="008F2D26"/>
    <w:rsid w:val="009511C6"/>
    <w:rsid w:val="009B22FB"/>
    <w:rsid w:val="009C14CB"/>
    <w:rsid w:val="009C200B"/>
    <w:rsid w:val="009C319F"/>
    <w:rsid w:val="009C624C"/>
    <w:rsid w:val="009D1B5E"/>
    <w:rsid w:val="009F64EB"/>
    <w:rsid w:val="009F775A"/>
    <w:rsid w:val="00A45DA3"/>
    <w:rsid w:val="00A5035E"/>
    <w:rsid w:val="00A5411A"/>
    <w:rsid w:val="00A541A7"/>
    <w:rsid w:val="00A629D5"/>
    <w:rsid w:val="00A85111"/>
    <w:rsid w:val="00AD2F5D"/>
    <w:rsid w:val="00B15964"/>
    <w:rsid w:val="00B16204"/>
    <w:rsid w:val="00B433DC"/>
    <w:rsid w:val="00B476C3"/>
    <w:rsid w:val="00B96E52"/>
    <w:rsid w:val="00BA6E8F"/>
    <w:rsid w:val="00BB2383"/>
    <w:rsid w:val="00BE00C5"/>
    <w:rsid w:val="00C12906"/>
    <w:rsid w:val="00C1518C"/>
    <w:rsid w:val="00C236BD"/>
    <w:rsid w:val="00C244F5"/>
    <w:rsid w:val="00C264F2"/>
    <w:rsid w:val="00C47B72"/>
    <w:rsid w:val="00C7126E"/>
    <w:rsid w:val="00C75CF6"/>
    <w:rsid w:val="00C87D01"/>
    <w:rsid w:val="00C91A71"/>
    <w:rsid w:val="00CA637B"/>
    <w:rsid w:val="00CA71FE"/>
    <w:rsid w:val="00CF5DD0"/>
    <w:rsid w:val="00D05103"/>
    <w:rsid w:val="00D17D57"/>
    <w:rsid w:val="00D36E3A"/>
    <w:rsid w:val="00D5084A"/>
    <w:rsid w:val="00D513BD"/>
    <w:rsid w:val="00D541EC"/>
    <w:rsid w:val="00D6288C"/>
    <w:rsid w:val="00D83F8A"/>
    <w:rsid w:val="00D92869"/>
    <w:rsid w:val="00D95254"/>
    <w:rsid w:val="00DA0AB5"/>
    <w:rsid w:val="00DA14E3"/>
    <w:rsid w:val="00DB6D7C"/>
    <w:rsid w:val="00DD1ADE"/>
    <w:rsid w:val="00DF5A78"/>
    <w:rsid w:val="00DF6C46"/>
    <w:rsid w:val="00E147C3"/>
    <w:rsid w:val="00E17729"/>
    <w:rsid w:val="00E21063"/>
    <w:rsid w:val="00E370A8"/>
    <w:rsid w:val="00E474BF"/>
    <w:rsid w:val="00E47A87"/>
    <w:rsid w:val="00E65F1E"/>
    <w:rsid w:val="00E7082F"/>
    <w:rsid w:val="00E828CE"/>
    <w:rsid w:val="00E87373"/>
    <w:rsid w:val="00EB1F13"/>
    <w:rsid w:val="00EF27B3"/>
    <w:rsid w:val="00F03A91"/>
    <w:rsid w:val="00F14B40"/>
    <w:rsid w:val="00F16575"/>
    <w:rsid w:val="00F25542"/>
    <w:rsid w:val="00F87752"/>
    <w:rsid w:val="00F94E78"/>
    <w:rsid w:val="00FB0CFB"/>
    <w:rsid w:val="00FB6AA1"/>
    <w:rsid w:val="00FC58EE"/>
    <w:rsid w:val="00FD22F3"/>
    <w:rsid w:val="00FD59CB"/>
    <w:rsid w:val="00FE1BC6"/>
    <w:rsid w:val="00FE26F4"/>
    <w:rsid w:val="00FE575B"/>
    <w:rsid w:val="00FE79B4"/>
    <w:rsid w:val="00FF18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412"/>
    <w:pPr>
      <w:spacing w:after="0" w:line="240" w:lineRule="auto"/>
      <w:ind w:left="720" w:hanging="720"/>
      <w:jc w:val="both"/>
    </w:pPr>
    <w:rPr>
      <w:rFonts w:ascii="Arial" w:eastAsia="Calibri" w:hAnsi="Arial" w:cs="Arial"/>
      <w:sz w:val="24"/>
      <w:lang w:val="es-CO"/>
    </w:rPr>
  </w:style>
  <w:style w:type="paragraph" w:styleId="Heading1">
    <w:name w:val="heading 1"/>
    <w:next w:val="Normal"/>
    <w:link w:val="Heading1Char"/>
    <w:qFormat/>
    <w:rsid w:val="00F14B40"/>
    <w:pPr>
      <w:keepNext/>
      <w:numPr>
        <w:numId w:val="4"/>
      </w:numPr>
      <w:spacing w:before="480" w:after="240" w:line="240" w:lineRule="auto"/>
      <w:outlineLvl w:val="0"/>
    </w:pPr>
    <w:rPr>
      <w:rFonts w:ascii="Arial" w:eastAsia="Times New Roman" w:hAnsi="Arial" w:cs="Arial"/>
      <w:b/>
      <w:bCs/>
      <w:kern w:val="32"/>
      <w:sz w:val="32"/>
      <w:szCs w:val="32"/>
      <w:lang w:val="de-AT" w:eastAsia="de-AT"/>
    </w:rPr>
  </w:style>
  <w:style w:type="paragraph" w:styleId="Heading2">
    <w:name w:val="heading 2"/>
    <w:next w:val="Normal"/>
    <w:link w:val="Heading2Char"/>
    <w:qFormat/>
    <w:rsid w:val="00F14B40"/>
    <w:pPr>
      <w:keepNext/>
      <w:numPr>
        <w:ilvl w:val="1"/>
        <w:numId w:val="4"/>
      </w:numPr>
      <w:spacing w:before="240" w:after="60" w:line="240" w:lineRule="auto"/>
      <w:outlineLvl w:val="1"/>
    </w:pPr>
    <w:rPr>
      <w:rFonts w:ascii="Arial" w:eastAsia="Times New Roman" w:hAnsi="Arial" w:cs="Arial"/>
      <w:b/>
      <w:bCs/>
      <w:iCs/>
      <w:sz w:val="28"/>
      <w:szCs w:val="28"/>
      <w:lang w:val="de-AT" w:eastAsia="de-AT"/>
    </w:rPr>
  </w:style>
  <w:style w:type="paragraph" w:styleId="Heading3">
    <w:name w:val="heading 3"/>
    <w:next w:val="Normal"/>
    <w:link w:val="Heading3Char"/>
    <w:qFormat/>
    <w:rsid w:val="00F14B40"/>
    <w:pPr>
      <w:keepNext/>
      <w:numPr>
        <w:ilvl w:val="2"/>
        <w:numId w:val="4"/>
      </w:numPr>
      <w:spacing w:before="240" w:after="60" w:line="240" w:lineRule="auto"/>
      <w:outlineLvl w:val="2"/>
    </w:pPr>
    <w:rPr>
      <w:rFonts w:ascii="Arial" w:eastAsia="Times New Roman" w:hAnsi="Arial" w:cs="Arial"/>
      <w:bCs/>
      <w:i/>
      <w:sz w:val="27"/>
      <w:szCs w:val="26"/>
      <w:lang w:val="de-AT" w:eastAsia="de-AT"/>
    </w:rPr>
  </w:style>
  <w:style w:type="paragraph" w:styleId="Heading4">
    <w:name w:val="heading 4"/>
    <w:next w:val="Normal"/>
    <w:link w:val="Heading4Char"/>
    <w:qFormat/>
    <w:rsid w:val="00F14B40"/>
    <w:pPr>
      <w:keepNext/>
      <w:numPr>
        <w:ilvl w:val="3"/>
        <w:numId w:val="4"/>
      </w:numPr>
      <w:spacing w:before="240" w:after="120" w:line="240" w:lineRule="auto"/>
      <w:outlineLvl w:val="3"/>
    </w:pPr>
    <w:rPr>
      <w:rFonts w:ascii="Arial" w:eastAsia="Times New Roman" w:hAnsi="Arial" w:cs="Times New Roman"/>
      <w:bCs/>
      <w:sz w:val="26"/>
      <w:szCs w:val="28"/>
      <w:lang w:val="de-AT" w:eastAsia="de-AT"/>
    </w:rPr>
  </w:style>
  <w:style w:type="paragraph" w:styleId="Heading5">
    <w:name w:val="heading 5"/>
    <w:basedOn w:val="Normal"/>
    <w:next w:val="Normal"/>
    <w:link w:val="Heading5Char"/>
    <w:qFormat/>
    <w:rsid w:val="00F14B40"/>
    <w:pPr>
      <w:spacing w:before="200"/>
      <w:ind w:left="1008" w:hanging="1008"/>
      <w:outlineLvl w:val="4"/>
    </w:pPr>
    <w:rPr>
      <w:rFonts w:ascii="Cambria" w:eastAsia="Times New Roman" w:hAnsi="Cambria" w:cs="Times New Roman"/>
      <w:b/>
      <w:bCs/>
      <w:color w:val="7F7F7F"/>
      <w:lang w:bidi="en-US"/>
    </w:rPr>
  </w:style>
  <w:style w:type="paragraph" w:styleId="Heading6">
    <w:name w:val="heading 6"/>
    <w:basedOn w:val="Normal"/>
    <w:next w:val="Normal"/>
    <w:link w:val="Heading6Char"/>
    <w:qFormat/>
    <w:rsid w:val="00F14B40"/>
    <w:pPr>
      <w:spacing w:line="271" w:lineRule="auto"/>
      <w:ind w:left="1152" w:hanging="1152"/>
      <w:outlineLvl w:val="5"/>
    </w:pPr>
    <w:rPr>
      <w:rFonts w:ascii="Cambria" w:eastAsia="Times New Roman" w:hAnsi="Cambria" w:cs="Times New Roman"/>
      <w:b/>
      <w:bCs/>
      <w:i/>
      <w:iCs/>
      <w:color w:val="7F7F7F"/>
      <w:lang w:bidi="en-US"/>
    </w:rPr>
  </w:style>
  <w:style w:type="paragraph" w:styleId="Heading7">
    <w:name w:val="heading 7"/>
    <w:basedOn w:val="Normal"/>
    <w:next w:val="Normal"/>
    <w:link w:val="Heading7Char"/>
    <w:qFormat/>
    <w:rsid w:val="00F14B40"/>
    <w:pPr>
      <w:ind w:left="1296" w:hanging="1296"/>
      <w:outlineLvl w:val="6"/>
    </w:pPr>
    <w:rPr>
      <w:rFonts w:ascii="Cambria" w:eastAsia="Times New Roman" w:hAnsi="Cambria" w:cs="Times New Roman"/>
      <w:i/>
      <w:iCs/>
      <w:lang w:bidi="en-US"/>
    </w:rPr>
  </w:style>
  <w:style w:type="paragraph" w:styleId="Heading8">
    <w:name w:val="heading 8"/>
    <w:basedOn w:val="Normal"/>
    <w:next w:val="Normal"/>
    <w:link w:val="Heading8Char"/>
    <w:qFormat/>
    <w:rsid w:val="00F14B40"/>
    <w:pPr>
      <w:ind w:left="1440" w:hanging="1440"/>
      <w:outlineLvl w:val="7"/>
    </w:pPr>
    <w:rPr>
      <w:rFonts w:ascii="Cambria" w:eastAsia="Times New Roman" w:hAnsi="Cambria" w:cs="Times New Roman"/>
      <w:sz w:val="20"/>
      <w:szCs w:val="20"/>
      <w:lang w:bidi="en-US"/>
    </w:rPr>
  </w:style>
  <w:style w:type="paragraph" w:styleId="Heading9">
    <w:name w:val="heading 9"/>
    <w:basedOn w:val="Normal"/>
    <w:next w:val="Normal"/>
    <w:link w:val="Heading9Char"/>
    <w:qFormat/>
    <w:rsid w:val="00F14B40"/>
    <w:pPr>
      <w:ind w:left="1584" w:hanging="1584"/>
      <w:outlineLvl w:val="8"/>
    </w:pPr>
    <w:rPr>
      <w:rFonts w:ascii="Cambria" w:eastAsia="Times New Roman"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B40"/>
    <w:rPr>
      <w:rFonts w:ascii="Arial" w:eastAsia="Times New Roman" w:hAnsi="Arial" w:cs="Arial"/>
      <w:b/>
      <w:bCs/>
      <w:kern w:val="32"/>
      <w:sz w:val="32"/>
      <w:szCs w:val="32"/>
      <w:lang w:val="de-AT" w:eastAsia="de-AT"/>
    </w:rPr>
  </w:style>
  <w:style w:type="character" w:customStyle="1" w:styleId="Heading2Char">
    <w:name w:val="Heading 2 Char"/>
    <w:basedOn w:val="DefaultParagraphFont"/>
    <w:link w:val="Heading2"/>
    <w:rsid w:val="00F14B40"/>
    <w:rPr>
      <w:rFonts w:ascii="Arial" w:eastAsia="Times New Roman" w:hAnsi="Arial" w:cs="Arial"/>
      <w:b/>
      <w:bCs/>
      <w:iCs/>
      <w:sz w:val="28"/>
      <w:szCs w:val="28"/>
      <w:lang w:val="de-AT" w:eastAsia="de-AT"/>
    </w:rPr>
  </w:style>
  <w:style w:type="character" w:customStyle="1" w:styleId="Heading3Char">
    <w:name w:val="Heading 3 Char"/>
    <w:basedOn w:val="DefaultParagraphFont"/>
    <w:link w:val="Heading3"/>
    <w:rsid w:val="00F14B40"/>
    <w:rPr>
      <w:rFonts w:ascii="Arial" w:eastAsia="Times New Roman" w:hAnsi="Arial" w:cs="Arial"/>
      <w:bCs/>
      <w:i/>
      <w:sz w:val="27"/>
      <w:szCs w:val="26"/>
      <w:lang w:val="de-AT" w:eastAsia="de-AT"/>
    </w:rPr>
  </w:style>
  <w:style w:type="character" w:customStyle="1" w:styleId="Heading4Char">
    <w:name w:val="Heading 4 Char"/>
    <w:basedOn w:val="DefaultParagraphFont"/>
    <w:link w:val="Heading4"/>
    <w:rsid w:val="00F14B40"/>
    <w:rPr>
      <w:rFonts w:ascii="Arial" w:eastAsia="Times New Roman" w:hAnsi="Arial" w:cs="Times New Roman"/>
      <w:bCs/>
      <w:sz w:val="26"/>
      <w:szCs w:val="28"/>
      <w:lang w:val="de-AT" w:eastAsia="de-AT"/>
    </w:rPr>
  </w:style>
  <w:style w:type="character" w:customStyle="1" w:styleId="Heading5Char">
    <w:name w:val="Heading 5 Char"/>
    <w:basedOn w:val="DefaultParagraphFont"/>
    <w:link w:val="Heading5"/>
    <w:rsid w:val="00F14B40"/>
    <w:rPr>
      <w:rFonts w:ascii="Cambria" w:eastAsia="Times New Roman" w:hAnsi="Cambria" w:cs="Times New Roman"/>
      <w:b/>
      <w:bCs/>
      <w:color w:val="7F7F7F"/>
      <w:lang w:bidi="en-US"/>
    </w:rPr>
  </w:style>
  <w:style w:type="character" w:customStyle="1" w:styleId="Heading6Char">
    <w:name w:val="Heading 6 Char"/>
    <w:basedOn w:val="DefaultParagraphFont"/>
    <w:link w:val="Heading6"/>
    <w:rsid w:val="00F14B40"/>
    <w:rPr>
      <w:rFonts w:ascii="Cambria" w:eastAsia="Times New Roman" w:hAnsi="Cambria" w:cs="Times New Roman"/>
      <w:b/>
      <w:bCs/>
      <w:i/>
      <w:iCs/>
      <w:color w:val="7F7F7F"/>
      <w:lang w:bidi="en-US"/>
    </w:rPr>
  </w:style>
  <w:style w:type="character" w:customStyle="1" w:styleId="Heading7Char">
    <w:name w:val="Heading 7 Char"/>
    <w:basedOn w:val="DefaultParagraphFont"/>
    <w:link w:val="Heading7"/>
    <w:rsid w:val="00F14B40"/>
    <w:rPr>
      <w:rFonts w:ascii="Cambria" w:eastAsia="Times New Roman" w:hAnsi="Cambria" w:cs="Times New Roman"/>
      <w:i/>
      <w:iCs/>
      <w:lang w:bidi="en-US"/>
    </w:rPr>
  </w:style>
  <w:style w:type="character" w:customStyle="1" w:styleId="Heading8Char">
    <w:name w:val="Heading 8 Char"/>
    <w:basedOn w:val="DefaultParagraphFont"/>
    <w:link w:val="Heading8"/>
    <w:rsid w:val="00F14B40"/>
    <w:rPr>
      <w:rFonts w:ascii="Cambria" w:eastAsia="Times New Roman" w:hAnsi="Cambria" w:cs="Times New Roman"/>
      <w:sz w:val="20"/>
      <w:szCs w:val="20"/>
      <w:lang w:bidi="en-US"/>
    </w:rPr>
  </w:style>
  <w:style w:type="character" w:customStyle="1" w:styleId="Heading9Char">
    <w:name w:val="Heading 9 Char"/>
    <w:basedOn w:val="DefaultParagraphFont"/>
    <w:link w:val="Heading9"/>
    <w:rsid w:val="00F14B40"/>
    <w:rPr>
      <w:rFonts w:ascii="Cambria" w:eastAsia="Times New Roman" w:hAnsi="Cambria" w:cs="Times New Roman"/>
      <w:i/>
      <w:iCs/>
      <w:spacing w:val="5"/>
      <w:sz w:val="20"/>
      <w:szCs w:val="20"/>
      <w:lang w:bidi="en-US"/>
    </w:rPr>
  </w:style>
  <w:style w:type="paragraph" w:styleId="ListParagraph">
    <w:name w:val="List Paragraph"/>
    <w:basedOn w:val="Normal"/>
    <w:uiPriority w:val="34"/>
    <w:qFormat/>
    <w:rsid w:val="00F14B40"/>
    <w:pPr>
      <w:contextualSpacing/>
    </w:pPr>
  </w:style>
  <w:style w:type="paragraph" w:styleId="TOCHeading">
    <w:name w:val="TOC Heading"/>
    <w:basedOn w:val="Heading1"/>
    <w:next w:val="Normal"/>
    <w:uiPriority w:val="39"/>
    <w:semiHidden/>
    <w:unhideWhenUsed/>
    <w:qFormat/>
    <w:rsid w:val="00F14B40"/>
    <w:pPr>
      <w:keepLines/>
      <w:numPr>
        <w:numId w:val="0"/>
      </w:numPr>
      <w:spacing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NormalWeb">
    <w:name w:val="Normal (Web)"/>
    <w:basedOn w:val="Normal"/>
    <w:unhideWhenUsed/>
    <w:rsid w:val="006B0412"/>
    <w:pPr>
      <w:spacing w:before="100" w:beforeAutospacing="1" w:after="100" w:afterAutospacing="1"/>
      <w:ind w:left="0" w:firstLine="0"/>
      <w:jc w:val="left"/>
    </w:pPr>
    <w:rPr>
      <w:rFonts w:ascii="Times New Roman" w:eastAsia="Times New Roman" w:hAnsi="Times New Roman" w:cs="Times New Roman"/>
      <w:szCs w:val="24"/>
      <w:lang w:val="en-US"/>
    </w:rPr>
  </w:style>
  <w:style w:type="character" w:styleId="Hyperlink">
    <w:name w:val="Hyperlink"/>
    <w:basedOn w:val="DefaultParagraphFont"/>
    <w:unhideWhenUsed/>
    <w:rsid w:val="006B0412"/>
    <w:rPr>
      <w:color w:val="0000FF"/>
      <w:u w:val="single"/>
    </w:rPr>
  </w:style>
  <w:style w:type="paragraph" w:customStyle="1" w:styleId="desc1">
    <w:name w:val="desc1"/>
    <w:basedOn w:val="Normal"/>
    <w:rsid w:val="006B0412"/>
    <w:pPr>
      <w:spacing w:before="100" w:beforeAutospacing="1" w:after="100" w:afterAutospacing="1"/>
      <w:ind w:left="0" w:firstLine="0"/>
      <w:jc w:val="left"/>
    </w:pPr>
    <w:rPr>
      <w:rFonts w:ascii="Times New Roman" w:eastAsia="SimSun" w:hAnsi="Times New Roman" w:cs="Times New Roman"/>
      <w:sz w:val="28"/>
      <w:szCs w:val="28"/>
      <w:lang w:val="en-GB" w:eastAsia="zh-CN"/>
    </w:rPr>
  </w:style>
  <w:style w:type="paragraph" w:styleId="BalloonText">
    <w:name w:val="Balloon Text"/>
    <w:basedOn w:val="Normal"/>
    <w:link w:val="BalloonTextChar"/>
    <w:uiPriority w:val="99"/>
    <w:semiHidden/>
    <w:unhideWhenUsed/>
    <w:rsid w:val="006B0412"/>
    <w:rPr>
      <w:rFonts w:ascii="Tahoma" w:hAnsi="Tahoma" w:cs="Tahoma"/>
      <w:sz w:val="16"/>
      <w:szCs w:val="16"/>
    </w:rPr>
  </w:style>
  <w:style w:type="character" w:customStyle="1" w:styleId="BalloonTextChar">
    <w:name w:val="Balloon Text Char"/>
    <w:basedOn w:val="DefaultParagraphFont"/>
    <w:link w:val="BalloonText"/>
    <w:uiPriority w:val="99"/>
    <w:semiHidden/>
    <w:rsid w:val="006B0412"/>
    <w:rPr>
      <w:rFonts w:ascii="Tahoma" w:eastAsia="Calibri" w:hAnsi="Tahoma" w:cs="Tahoma"/>
      <w:sz w:val="16"/>
      <w:szCs w:val="16"/>
      <w:lang w:val="es-CO"/>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javascript:AL_get(this,%20'jour',%20'J%20Glob%20Infect%20D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javascript:AL_get(this,%20'jour',%20'Trans%20R%20Soc%20Trop%20Med%20Hyg.');" TargetMode="External"/><Relationship Id="rId5" Type="http://schemas.openxmlformats.org/officeDocument/2006/relationships/image" Target="media/image1.jpeg"/><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25"/>
      <c:hPercent val="31"/>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6.8259385665528985E-2"/>
          <c:y val="4.4827586206896579E-2"/>
          <c:w val="0.92036405005688282"/>
          <c:h val="0.77931034482758621"/>
        </c:manualLayout>
      </c:layout>
      <c:bar3DChart>
        <c:barDir val="col"/>
        <c:grouping val="clustered"/>
        <c:ser>
          <c:idx val="0"/>
          <c:order val="0"/>
          <c:tx>
            <c:strRef>
              <c:f>Sheet1!$A$2</c:f>
              <c:strCache>
                <c:ptCount val="1"/>
                <c:pt idx="0">
                  <c:v>cases</c:v>
                </c:pt>
              </c:strCache>
            </c:strRef>
          </c:tx>
          <c:spPr>
            <a:solidFill>
              <a:srgbClr val="4F81BD"/>
            </a:solidFill>
            <a:ln w="11189">
              <a:solidFill>
                <a:srgbClr val="000000"/>
              </a:solidFill>
              <a:prstDash val="solid"/>
            </a:ln>
          </c:spPr>
          <c:cat>
            <c:numRef>
              <c:f>Sheet1!$B$1:$V$1</c:f>
              <c:numCache>
                <c:formatCode>General</c:formatCode>
                <c:ptCount val="2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numCache>
            </c:numRef>
          </c:cat>
          <c:val>
            <c:numRef>
              <c:f>Sheet1!$B$2:$V$2</c:f>
              <c:numCache>
                <c:formatCode>General</c:formatCode>
                <c:ptCount val="21"/>
                <c:pt idx="0">
                  <c:v>57742</c:v>
                </c:pt>
                <c:pt idx="1">
                  <c:v>61670</c:v>
                </c:pt>
                <c:pt idx="2">
                  <c:v>77102</c:v>
                </c:pt>
                <c:pt idx="3">
                  <c:v>45459</c:v>
                </c:pt>
                <c:pt idx="4">
                  <c:v>25652</c:v>
                </c:pt>
                <c:pt idx="5">
                  <c:v>22625</c:v>
                </c:pt>
                <c:pt idx="6">
                  <c:v>27049</c:v>
                </c:pt>
                <c:pt idx="7">
                  <c:v>17429</c:v>
                </c:pt>
                <c:pt idx="8">
                  <c:v>13627</c:v>
                </c:pt>
                <c:pt idx="9">
                  <c:v>12886</c:v>
                </c:pt>
                <c:pt idx="10">
                  <c:v>14753</c:v>
                </c:pt>
                <c:pt idx="11">
                  <c:v>12239</c:v>
                </c:pt>
                <c:pt idx="12">
                  <c:v>12140</c:v>
                </c:pt>
                <c:pt idx="13">
                  <c:v>18214</c:v>
                </c:pt>
                <c:pt idx="14">
                  <c:v>24479</c:v>
                </c:pt>
                <c:pt idx="15">
                  <c:v>32803</c:v>
                </c:pt>
                <c:pt idx="16">
                  <c:v>39173</c:v>
                </c:pt>
                <c:pt idx="17">
                  <c:v>44533</c:v>
                </c:pt>
                <c:pt idx="18">
                  <c:v>33598</c:v>
                </c:pt>
                <c:pt idx="19">
                  <c:v>24213</c:v>
                </c:pt>
                <c:pt idx="20">
                  <c:v>28382</c:v>
                </c:pt>
              </c:numCache>
            </c:numRef>
          </c:val>
        </c:ser>
        <c:gapDepth val="0"/>
        <c:shape val="box"/>
        <c:axId val="573045760"/>
        <c:axId val="573453056"/>
        <c:axId val="0"/>
      </c:bar3DChart>
      <c:catAx>
        <c:axId val="573045760"/>
        <c:scaling>
          <c:orientation val="minMax"/>
        </c:scaling>
        <c:axPos val="b"/>
        <c:numFmt formatCode="General" sourceLinked="1"/>
        <c:tickLblPos val="low"/>
        <c:spPr>
          <a:ln w="2797">
            <a:solidFill>
              <a:srgbClr val="000000"/>
            </a:solidFill>
            <a:prstDash val="solid"/>
          </a:ln>
        </c:spPr>
        <c:txPr>
          <a:bodyPr rot="0" vert="horz"/>
          <a:lstStyle/>
          <a:p>
            <a:pPr>
              <a:defRPr sz="705" b="1" i="0" u="none" strike="noStrike" baseline="0">
                <a:solidFill>
                  <a:srgbClr val="000000"/>
                </a:solidFill>
                <a:latin typeface="Arial"/>
                <a:ea typeface="Arial"/>
                <a:cs typeface="Arial"/>
              </a:defRPr>
            </a:pPr>
            <a:endParaRPr lang="en-US"/>
          </a:p>
        </c:txPr>
        <c:crossAx val="573453056"/>
        <c:crosses val="autoZero"/>
        <c:auto val="1"/>
        <c:lblAlgn val="ctr"/>
        <c:lblOffset val="100"/>
        <c:tickLblSkip val="1"/>
        <c:tickMarkSkip val="1"/>
      </c:catAx>
      <c:valAx>
        <c:axId val="573453056"/>
        <c:scaling>
          <c:orientation val="minMax"/>
        </c:scaling>
        <c:axPos val="l"/>
        <c:numFmt formatCode="General" sourceLinked="1"/>
        <c:tickLblPos val="nextTo"/>
        <c:spPr>
          <a:ln w="2797">
            <a:solidFill>
              <a:srgbClr val="000000"/>
            </a:solidFill>
            <a:prstDash val="solid"/>
          </a:ln>
        </c:spPr>
        <c:txPr>
          <a:bodyPr rot="0" vert="horz"/>
          <a:lstStyle/>
          <a:p>
            <a:pPr>
              <a:defRPr sz="705" b="1" i="0" u="none" strike="noStrike" baseline="0">
                <a:solidFill>
                  <a:srgbClr val="000000"/>
                </a:solidFill>
                <a:latin typeface="Arial"/>
                <a:ea typeface="Arial"/>
                <a:cs typeface="Arial"/>
              </a:defRPr>
            </a:pPr>
            <a:endParaRPr lang="en-US"/>
          </a:p>
        </c:txPr>
        <c:crossAx val="573045760"/>
        <c:crosses val="autoZero"/>
        <c:crossBetween val="between"/>
      </c:valAx>
      <c:dTable>
        <c:showHorzBorder val="1"/>
        <c:showVertBorder val="1"/>
        <c:showOutline val="1"/>
        <c:showKeys val="1"/>
        <c:spPr>
          <a:ln w="2797">
            <a:solidFill>
              <a:srgbClr val="000000"/>
            </a:solidFill>
            <a:prstDash val="solid"/>
          </a:ln>
        </c:spPr>
        <c:txPr>
          <a:bodyPr/>
          <a:lstStyle/>
          <a:p>
            <a:pPr rtl="0">
              <a:defRPr sz="705" b="1" i="0" u="none" strike="noStrike" baseline="0">
                <a:solidFill>
                  <a:srgbClr val="000000"/>
                </a:solidFill>
                <a:latin typeface="Arial"/>
                <a:ea typeface="Arial"/>
                <a:cs typeface="Arial"/>
              </a:defRPr>
            </a:pPr>
            <a:endParaRPr lang="en-US"/>
          </a:p>
        </c:txPr>
      </c:dTable>
      <c:spPr>
        <a:noFill/>
        <a:ln w="22378">
          <a:noFill/>
        </a:ln>
      </c:spPr>
    </c:plotArea>
    <c:plotVisOnly val="1"/>
    <c:dispBlanksAs val="gap"/>
  </c:chart>
  <c:spPr>
    <a:noFill/>
    <a:ln>
      <a:noFill/>
    </a:ln>
  </c:spPr>
  <c:txPr>
    <a:bodyPr/>
    <a:lstStyle/>
    <a:p>
      <a:pPr>
        <a:defRPr sz="705" b="1"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59"/>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0.23174603174603187"/>
          <c:y val="7.6923076923076927E-2"/>
          <c:w val="0.73650793650793667"/>
          <c:h val="0.66153846153846163"/>
        </c:manualLayout>
      </c:layout>
      <c:bar3DChart>
        <c:barDir val="col"/>
        <c:grouping val="clustered"/>
        <c:ser>
          <c:idx val="0"/>
          <c:order val="0"/>
          <c:tx>
            <c:strRef>
              <c:f>Sheet1!$A$2</c:f>
              <c:strCache>
                <c:ptCount val="1"/>
                <c:pt idx="0">
                  <c:v>CL cases</c:v>
                </c:pt>
              </c:strCache>
            </c:strRef>
          </c:tx>
          <c:spPr>
            <a:solidFill>
              <a:srgbClr val="0066CC"/>
            </a:solidFill>
            <a:ln w="12712">
              <a:solidFill>
                <a:srgbClr val="000000"/>
              </a:solidFill>
              <a:prstDash val="solid"/>
            </a:ln>
          </c:spPr>
          <c:cat>
            <c:numRef>
              <c:f>Sheet1!$B$1:$F$1</c:f>
              <c:numCache>
                <c:formatCode>General</c:formatCode>
                <c:ptCount val="5"/>
                <c:pt idx="0">
                  <c:v>2005</c:v>
                </c:pt>
                <c:pt idx="1">
                  <c:v>2006</c:v>
                </c:pt>
                <c:pt idx="2">
                  <c:v>2007</c:v>
                </c:pt>
                <c:pt idx="3">
                  <c:v>2008</c:v>
                </c:pt>
                <c:pt idx="4">
                  <c:v>2009</c:v>
                </c:pt>
              </c:numCache>
            </c:numRef>
          </c:cat>
          <c:val>
            <c:numRef>
              <c:f>Sheet1!$B$2:$F$2</c:f>
              <c:numCache>
                <c:formatCode>General</c:formatCode>
                <c:ptCount val="5"/>
                <c:pt idx="0">
                  <c:v>152</c:v>
                </c:pt>
                <c:pt idx="1">
                  <c:v>114</c:v>
                </c:pt>
                <c:pt idx="2">
                  <c:v>156</c:v>
                </c:pt>
                <c:pt idx="3">
                  <c:v>172</c:v>
                </c:pt>
                <c:pt idx="4">
                  <c:v>187</c:v>
                </c:pt>
              </c:numCache>
            </c:numRef>
          </c:val>
        </c:ser>
        <c:gapDepth val="0"/>
        <c:shape val="box"/>
        <c:axId val="573601280"/>
        <c:axId val="573632896"/>
        <c:axId val="0"/>
      </c:bar3DChart>
      <c:catAx>
        <c:axId val="573601280"/>
        <c:scaling>
          <c:orientation val="minMax"/>
        </c:scaling>
        <c:axPos val="b"/>
        <c:numFmt formatCode="General" sourceLinked="1"/>
        <c:tickLblPos val="low"/>
        <c:spPr>
          <a:ln w="3178">
            <a:solidFill>
              <a:srgbClr val="000000"/>
            </a:solidFill>
            <a:prstDash val="solid"/>
          </a:ln>
        </c:spPr>
        <c:txPr>
          <a:bodyPr rot="0" vert="horz"/>
          <a:lstStyle/>
          <a:p>
            <a:pPr>
              <a:defRPr sz="851" b="1" i="0" u="none" strike="noStrike" baseline="0">
                <a:solidFill>
                  <a:srgbClr val="000000"/>
                </a:solidFill>
                <a:latin typeface="Arial"/>
                <a:ea typeface="Arial"/>
                <a:cs typeface="Arial"/>
              </a:defRPr>
            </a:pPr>
            <a:endParaRPr lang="en-US"/>
          </a:p>
        </c:txPr>
        <c:crossAx val="573632896"/>
        <c:crosses val="autoZero"/>
        <c:auto val="1"/>
        <c:lblAlgn val="ctr"/>
        <c:lblOffset val="100"/>
        <c:tickLblSkip val="1"/>
        <c:tickMarkSkip val="1"/>
      </c:catAx>
      <c:valAx>
        <c:axId val="573632896"/>
        <c:scaling>
          <c:orientation val="minMax"/>
        </c:scaling>
        <c:axPos val="l"/>
        <c:numFmt formatCode="General" sourceLinked="1"/>
        <c:tickLblPos val="nextTo"/>
        <c:spPr>
          <a:ln w="3178">
            <a:solidFill>
              <a:srgbClr val="000000"/>
            </a:solidFill>
            <a:prstDash val="solid"/>
          </a:ln>
        </c:spPr>
        <c:txPr>
          <a:bodyPr rot="0" vert="horz"/>
          <a:lstStyle/>
          <a:p>
            <a:pPr>
              <a:defRPr sz="801" b="0" i="0" u="none" strike="noStrike" baseline="0">
                <a:solidFill>
                  <a:srgbClr val="000000"/>
                </a:solidFill>
                <a:latin typeface="Arial"/>
                <a:ea typeface="Arial"/>
                <a:cs typeface="Arial"/>
              </a:defRPr>
            </a:pPr>
            <a:endParaRPr lang="en-US"/>
          </a:p>
        </c:txPr>
        <c:crossAx val="573601280"/>
        <c:crosses val="autoZero"/>
        <c:crossBetween val="between"/>
      </c:valAx>
      <c:dTable>
        <c:showHorzBorder val="1"/>
        <c:showVertBorder val="1"/>
        <c:showOutline val="1"/>
        <c:showKeys val="1"/>
        <c:spPr>
          <a:ln w="3178">
            <a:solidFill>
              <a:srgbClr val="000000"/>
            </a:solidFill>
            <a:prstDash val="solid"/>
          </a:ln>
        </c:spPr>
        <c:txPr>
          <a:bodyPr/>
          <a:lstStyle/>
          <a:p>
            <a:pPr rtl="0">
              <a:defRPr sz="801" b="0" i="0" u="none" strike="noStrike" baseline="0">
                <a:solidFill>
                  <a:srgbClr val="000000"/>
                </a:solidFill>
                <a:latin typeface="Arial"/>
                <a:ea typeface="Arial"/>
                <a:cs typeface="Arial"/>
              </a:defRPr>
            </a:pPr>
            <a:endParaRPr lang="en-US"/>
          </a:p>
        </c:txPr>
      </c:dTable>
      <c:spPr>
        <a:noFill/>
        <a:ln w="25425">
          <a:noFill/>
        </a:ln>
      </c:spPr>
    </c:plotArea>
    <c:plotVisOnly val="1"/>
    <c:dispBlanksAs val="gap"/>
  </c:chart>
  <c:spPr>
    <a:noFill/>
    <a:ln>
      <a:noFill/>
    </a:ln>
  </c:spPr>
  <c:txPr>
    <a:bodyPr/>
    <a:lstStyle/>
    <a:p>
      <a:pPr>
        <a:defRPr sz="851" b="1"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1743</Words>
  <Characters>9940</Characters>
  <Application>Microsoft Office Word</Application>
  <DocSecurity>0</DocSecurity>
  <Lines>82</Lines>
  <Paragraphs>23</Paragraphs>
  <ScaleCrop>false</ScaleCrop>
  <Company/>
  <LinksUpToDate>false</LinksUpToDate>
  <CharactersWithSpaces>11660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2012-04-01T21:18:00Z</dcterms:created>
  <dcterms:modified xsi:type="dcterms:W3CDTF">2012-04-01T21:20:00Z</dcterms:modified>
</cp:coreProperties>
</file>