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33" w:rsidRPr="00CC5633" w:rsidRDefault="00593C33" w:rsidP="00593C33">
      <w:pPr>
        <w:ind w:left="0" w:firstLine="0"/>
        <w:rPr>
          <w:b/>
          <w:sz w:val="22"/>
          <w:u w:val="single"/>
          <w:lang w:val="en-GB"/>
        </w:rPr>
      </w:pPr>
      <w:smartTag w:uri="urn:schemas-microsoft-com:office:smarttags" w:element="place">
        <w:smartTag w:uri="urn:schemas-microsoft-com:office:smarttags" w:element="country-region">
          <w:r w:rsidRPr="00CC5633">
            <w:rPr>
              <w:b/>
              <w:sz w:val="22"/>
              <w:u w:val="single"/>
              <w:lang w:val="en-GB"/>
            </w:rPr>
            <w:t>GUINEA</w:t>
          </w:r>
        </w:smartTag>
      </w:smartTag>
    </w:p>
    <w:p w:rsidR="00593C33" w:rsidRPr="00DD4590" w:rsidRDefault="00593C33" w:rsidP="00593C33">
      <w:pPr>
        <w:ind w:left="0" w:firstLine="0"/>
        <w:rPr>
          <w:b/>
          <w:sz w:val="22"/>
          <w:lang w:val="en-GB"/>
        </w:rPr>
      </w:pPr>
    </w:p>
    <w:p w:rsidR="00593C33" w:rsidRDefault="00593C33" w:rsidP="00593C33">
      <w:pPr>
        <w:ind w:left="0" w:firstLine="0"/>
        <w:rPr>
          <w:sz w:val="22"/>
          <w:lang w:val="en-GB"/>
        </w:rPr>
      </w:pPr>
      <w:r>
        <w:rPr>
          <w:noProof/>
          <w:sz w:val="22"/>
          <w:lang w:val="en-US"/>
        </w:rPr>
        <w:drawing>
          <wp:inline distT="0" distB="0" distL="0" distR="0">
            <wp:extent cx="2834640" cy="1897380"/>
            <wp:effectExtent l="19050" t="0" r="3810" b="0"/>
            <wp:docPr id="1" name="Picture 1" descr="GN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N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33" w:rsidRDefault="00593C33" w:rsidP="00593C33">
      <w:pPr>
        <w:ind w:left="0" w:firstLine="0"/>
        <w:rPr>
          <w:sz w:val="22"/>
          <w:lang w:val="en-GB"/>
        </w:rPr>
      </w:pPr>
    </w:p>
    <w:p w:rsidR="00593C33" w:rsidRDefault="00593C33" w:rsidP="00593C33">
      <w:pPr>
        <w:ind w:left="0" w:firstLine="0"/>
        <w:rPr>
          <w:sz w:val="22"/>
          <w:lang w:val="en-GB"/>
        </w:rPr>
      </w:pPr>
    </w:p>
    <w:p w:rsidR="00593C33" w:rsidRPr="002C75B8" w:rsidRDefault="00593C33" w:rsidP="00593C33">
      <w:pPr>
        <w:ind w:left="0" w:firstLine="0"/>
        <w:rPr>
          <w:color w:val="FF0000"/>
          <w:sz w:val="22"/>
          <w:lang w:val="en-US"/>
        </w:rPr>
      </w:pPr>
      <w:r w:rsidRPr="00463FE2">
        <w:rPr>
          <w:b/>
          <w:sz w:val="22"/>
          <w:lang w:val="en-GB"/>
        </w:rPr>
        <w:t xml:space="preserve">BASIC COUNTRY DATA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>Total Population: 9</w:t>
      </w:r>
      <w:r>
        <w:rPr>
          <w:sz w:val="22"/>
          <w:lang w:val="en-GB"/>
        </w:rPr>
        <w:t>,981,590</w:t>
      </w:r>
      <w:r w:rsidRPr="00DD4590">
        <w:rPr>
          <w:sz w:val="22"/>
          <w:lang w:val="en-GB"/>
        </w:rPr>
        <w:t xml:space="preserve">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>Population 0-14 years:</w:t>
      </w:r>
      <w:r>
        <w:rPr>
          <w:sz w:val="22"/>
          <w:lang w:val="en-GB"/>
        </w:rPr>
        <w:t xml:space="preserve"> </w:t>
      </w:r>
      <w:r w:rsidRPr="00DD4590">
        <w:rPr>
          <w:sz w:val="22"/>
          <w:lang w:val="en-GB"/>
        </w:rPr>
        <w:t xml:space="preserve">43%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>Rural population: 6</w:t>
      </w:r>
      <w:r>
        <w:rPr>
          <w:sz w:val="22"/>
          <w:lang w:val="en-GB"/>
        </w:rPr>
        <w:t>5</w:t>
      </w:r>
      <w:r w:rsidRPr="00DD4590">
        <w:rPr>
          <w:sz w:val="22"/>
          <w:lang w:val="en-GB"/>
        </w:rPr>
        <w:t xml:space="preserve">%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>Population living under USD 1</w:t>
      </w:r>
      <w:r>
        <w:rPr>
          <w:sz w:val="22"/>
          <w:lang w:val="en-GB"/>
        </w:rPr>
        <w:t>.</w:t>
      </w:r>
      <w:r w:rsidRPr="00DD4590">
        <w:rPr>
          <w:sz w:val="22"/>
          <w:lang w:val="en-GB"/>
        </w:rPr>
        <w:t xml:space="preserve">25 a day: </w:t>
      </w:r>
      <w:r>
        <w:rPr>
          <w:sz w:val="22"/>
          <w:lang w:val="en-GB"/>
        </w:rPr>
        <w:t>43.3</w:t>
      </w:r>
      <w:r w:rsidRPr="00DD4590">
        <w:rPr>
          <w:sz w:val="22"/>
          <w:lang w:val="en-GB"/>
        </w:rPr>
        <w:t>%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 xml:space="preserve">Population living under the national poverty line: </w:t>
      </w:r>
      <w:r>
        <w:rPr>
          <w:sz w:val="22"/>
          <w:lang w:val="en-GB"/>
        </w:rPr>
        <w:t>53</w:t>
      </w:r>
      <w:r w:rsidRPr="00DD4590">
        <w:rPr>
          <w:sz w:val="22"/>
          <w:lang w:val="en-GB"/>
        </w:rPr>
        <w:t xml:space="preserve">%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 xml:space="preserve">Income status: Low income economy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 xml:space="preserve">Ranking: Low </w:t>
      </w:r>
      <w:r>
        <w:rPr>
          <w:sz w:val="22"/>
          <w:lang w:val="en-GB"/>
        </w:rPr>
        <w:t>h</w:t>
      </w:r>
      <w:r w:rsidRPr="00DD4590">
        <w:rPr>
          <w:sz w:val="22"/>
          <w:lang w:val="en-GB"/>
        </w:rPr>
        <w:t xml:space="preserve">uman </w:t>
      </w:r>
      <w:r>
        <w:rPr>
          <w:sz w:val="22"/>
          <w:lang w:val="en-GB"/>
        </w:rPr>
        <w:t>d</w:t>
      </w:r>
      <w:r w:rsidRPr="00DD4590">
        <w:rPr>
          <w:sz w:val="22"/>
          <w:lang w:val="en-GB"/>
        </w:rPr>
        <w:t>evelopment (ranking 17</w:t>
      </w:r>
      <w:r>
        <w:rPr>
          <w:sz w:val="22"/>
          <w:lang w:val="en-GB"/>
        </w:rPr>
        <w:t>8</w:t>
      </w:r>
      <w:r w:rsidRPr="00DD4590">
        <w:rPr>
          <w:sz w:val="22"/>
          <w:lang w:val="en-GB"/>
        </w:rPr>
        <w:t xml:space="preserve">)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>Per capita total expenditure on health at average exchange rate (US dollar</w:t>
      </w:r>
      <w:r>
        <w:rPr>
          <w:sz w:val="22"/>
          <w:lang w:val="en-GB"/>
        </w:rPr>
        <w:t>)</w:t>
      </w:r>
      <w:r w:rsidRPr="00DD4590">
        <w:rPr>
          <w:sz w:val="22"/>
          <w:lang w:val="en-GB"/>
        </w:rPr>
        <w:t xml:space="preserve">: </w:t>
      </w:r>
      <w:r>
        <w:rPr>
          <w:sz w:val="22"/>
          <w:lang w:val="en-GB"/>
        </w:rPr>
        <w:t>19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 xml:space="preserve">Life expectancy at birth (years): 53 </w:t>
      </w:r>
    </w:p>
    <w:p w:rsidR="00593C33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>Health</w:t>
      </w:r>
      <w:r>
        <w:rPr>
          <w:sz w:val="22"/>
          <w:lang w:val="en-GB"/>
        </w:rPr>
        <w:t>y</w:t>
      </w:r>
      <w:r w:rsidRPr="00DD4590">
        <w:rPr>
          <w:sz w:val="22"/>
          <w:lang w:val="en-GB"/>
        </w:rPr>
        <w:t xml:space="preserve"> life expectancy at birth (years): 45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b/>
          <w:sz w:val="22"/>
          <w:lang w:val="en-GB"/>
        </w:rPr>
      </w:pPr>
      <w:r w:rsidRPr="00DD4590">
        <w:rPr>
          <w:b/>
          <w:sz w:val="22"/>
          <w:lang w:val="en-GB"/>
        </w:rPr>
        <w:t>BACKGROUND INFORMATION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 xml:space="preserve">Very few data on prevalence or incidence are available. A case of CL has been reported in </w:t>
      </w:r>
      <w:smartTag w:uri="urn:schemas-microsoft-com:office:smarttags" w:element="City">
        <w:smartTag w:uri="urn:schemas-microsoft-com:office:smarttags" w:element="place">
          <w:r w:rsidRPr="00DD4590">
            <w:rPr>
              <w:sz w:val="22"/>
              <w:lang w:val="en-GB"/>
            </w:rPr>
            <w:t>Conakry</w:t>
          </w:r>
        </w:smartTag>
      </w:smartTag>
      <w:r>
        <w:rPr>
          <w:sz w:val="22"/>
          <w:lang w:val="en-GB"/>
        </w:rPr>
        <w:t xml:space="preserve"> in 1977</w:t>
      </w:r>
      <w:r w:rsidRPr="00DD4590">
        <w:rPr>
          <w:sz w:val="22"/>
          <w:lang w:val="en-GB"/>
        </w:rPr>
        <w:t>, and an earlier survey found 14</w:t>
      </w:r>
      <w:r>
        <w:rPr>
          <w:sz w:val="22"/>
          <w:lang w:val="en-GB"/>
        </w:rPr>
        <w:t>.</w:t>
      </w:r>
      <w:r w:rsidRPr="00DD4590">
        <w:rPr>
          <w:sz w:val="22"/>
          <w:lang w:val="en-GB"/>
        </w:rPr>
        <w:t xml:space="preserve">7% of positive response to LST in a population without any symptoms or history of CL </w:t>
      </w:r>
      <w:r>
        <w:rPr>
          <w:sz w:val="22"/>
          <w:lang w:val="en-GB"/>
        </w:rPr>
        <w:t>[1]</w:t>
      </w:r>
      <w:r w:rsidRPr="00DD4590">
        <w:rPr>
          <w:sz w:val="22"/>
          <w:lang w:val="en-GB"/>
        </w:rPr>
        <w:t xml:space="preserve">. No more recent cases have been documented, but as </w:t>
      </w:r>
      <w:smartTag w:uri="urn:schemas-microsoft-com:office:smarttags" w:element="country-region">
        <w:r w:rsidRPr="00DD4590">
          <w:rPr>
            <w:sz w:val="22"/>
            <w:lang w:val="en-GB"/>
          </w:rPr>
          <w:t>Guinea</w:t>
        </w:r>
      </w:smartTag>
      <w:r w:rsidRPr="00DD4590">
        <w:rPr>
          <w:sz w:val="22"/>
          <w:lang w:val="en-GB"/>
        </w:rPr>
        <w:t xml:space="preserve"> is part of a proposed CL </w:t>
      </w:r>
      <w:proofErr w:type="spellStart"/>
      <w:r w:rsidRPr="00DD4590">
        <w:rPr>
          <w:sz w:val="22"/>
          <w:lang w:val="en-GB"/>
        </w:rPr>
        <w:t>endemicity</w:t>
      </w:r>
      <w:proofErr w:type="spellEnd"/>
      <w:r w:rsidRPr="00DD4590">
        <w:rPr>
          <w:sz w:val="22"/>
          <w:lang w:val="en-GB"/>
        </w:rPr>
        <w:t xml:space="preserve"> belt</w:t>
      </w:r>
      <w:r>
        <w:rPr>
          <w:sz w:val="22"/>
          <w:lang w:val="en-GB"/>
        </w:rPr>
        <w:t>,</w:t>
      </w:r>
      <w:r w:rsidRPr="00DD4590">
        <w:rPr>
          <w:sz w:val="22"/>
          <w:lang w:val="en-GB"/>
        </w:rPr>
        <w:t xml:space="preserve"> running across </w:t>
      </w:r>
      <w:smartTag w:uri="urn:schemas-microsoft-com:office:smarttags" w:element="place">
        <w:r w:rsidRPr="00DD4590">
          <w:rPr>
            <w:sz w:val="22"/>
            <w:lang w:val="en-GB"/>
          </w:rPr>
          <w:t>West Africa</w:t>
        </w:r>
      </w:smartTag>
      <w:r w:rsidRPr="00DD4590">
        <w:rPr>
          <w:sz w:val="22"/>
          <w:lang w:val="en-GB"/>
        </w:rPr>
        <w:t xml:space="preserve">, cases may occur regularly </w:t>
      </w:r>
      <w:r>
        <w:rPr>
          <w:sz w:val="22"/>
          <w:lang w:val="en-GB"/>
        </w:rPr>
        <w:t>but</w:t>
      </w:r>
      <w:r w:rsidRPr="00DD4590">
        <w:rPr>
          <w:sz w:val="22"/>
          <w:lang w:val="en-GB"/>
        </w:rPr>
        <w:t xml:space="preserve"> remain unreported </w:t>
      </w:r>
      <w:r>
        <w:rPr>
          <w:sz w:val="22"/>
          <w:lang w:val="en-GB"/>
        </w:rPr>
        <w:t>[2]</w:t>
      </w:r>
      <w:r w:rsidRPr="00DD4590">
        <w:rPr>
          <w:sz w:val="22"/>
          <w:lang w:val="en-GB"/>
        </w:rPr>
        <w:t>.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b/>
          <w:sz w:val="22"/>
          <w:lang w:val="en-GB"/>
        </w:rPr>
      </w:pPr>
      <w:r w:rsidRPr="00DD4590">
        <w:rPr>
          <w:b/>
          <w:sz w:val="22"/>
          <w:lang w:val="en-GB"/>
        </w:rPr>
        <w:t>PARASITOLOGICAL INFORMATION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1978"/>
        <w:gridCol w:w="2700"/>
        <w:gridCol w:w="2340"/>
      </w:tblGrid>
      <w:tr w:rsidR="00593C33" w:rsidRPr="002C75B8" w:rsidTr="00A7768B">
        <w:tc>
          <w:tcPr>
            <w:tcW w:w="2270" w:type="dxa"/>
            <w:vAlign w:val="center"/>
          </w:tcPr>
          <w:p w:rsidR="00593C33" w:rsidRDefault="00593C33" w:rsidP="00A7768B">
            <w:pPr>
              <w:rPr>
                <w:b/>
                <w:bCs/>
                <w:i/>
                <w:iCs/>
                <w:sz w:val="22"/>
              </w:rPr>
            </w:pPr>
            <w:r w:rsidRPr="002C75B8">
              <w:rPr>
                <w:b/>
                <w:bCs/>
                <w:i/>
                <w:iCs/>
                <w:sz w:val="22"/>
              </w:rPr>
              <w:t>Leishmania</w:t>
            </w:r>
          </w:p>
          <w:p w:rsidR="00593C33" w:rsidRPr="002C75B8" w:rsidRDefault="00593C33" w:rsidP="00A7768B">
            <w:pPr>
              <w:rPr>
                <w:b/>
                <w:bCs/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1978" w:type="dxa"/>
            <w:vAlign w:val="center"/>
          </w:tcPr>
          <w:p w:rsidR="00593C33" w:rsidRPr="002C75B8" w:rsidRDefault="00593C33" w:rsidP="00A7768B">
            <w:pPr>
              <w:rPr>
                <w:b/>
                <w:bCs/>
                <w:sz w:val="22"/>
              </w:rPr>
            </w:pPr>
          </w:p>
          <w:p w:rsidR="00593C33" w:rsidRPr="002C75B8" w:rsidRDefault="00593C33" w:rsidP="00A7768B">
            <w:pPr>
              <w:rPr>
                <w:b/>
                <w:bCs/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Clinical</w:t>
            </w:r>
            <w:proofErr w:type="spellEnd"/>
            <w:r w:rsidRPr="002C75B8">
              <w:rPr>
                <w:b/>
                <w:bCs/>
                <w:sz w:val="22"/>
              </w:rPr>
              <w:t xml:space="preserve"> </w:t>
            </w:r>
            <w:proofErr w:type="spellStart"/>
            <w:r w:rsidRPr="002C75B8">
              <w:rPr>
                <w:b/>
                <w:bCs/>
                <w:sz w:val="22"/>
              </w:rPr>
              <w:t>form</w:t>
            </w:r>
            <w:proofErr w:type="spellEnd"/>
          </w:p>
        </w:tc>
        <w:tc>
          <w:tcPr>
            <w:tcW w:w="2700" w:type="dxa"/>
            <w:vAlign w:val="center"/>
          </w:tcPr>
          <w:p w:rsidR="00593C33" w:rsidRPr="002C75B8" w:rsidRDefault="00593C33" w:rsidP="00A7768B">
            <w:pPr>
              <w:rPr>
                <w:b/>
                <w:bCs/>
                <w:sz w:val="22"/>
              </w:rPr>
            </w:pPr>
          </w:p>
          <w:p w:rsidR="00593C33" w:rsidRPr="002C75B8" w:rsidRDefault="00593C33" w:rsidP="00A7768B">
            <w:pPr>
              <w:rPr>
                <w:b/>
                <w:bCs/>
                <w:sz w:val="22"/>
              </w:rPr>
            </w:pPr>
            <w:r w:rsidRPr="002C75B8">
              <w:rPr>
                <w:b/>
                <w:bCs/>
                <w:sz w:val="22"/>
              </w:rPr>
              <w:t xml:space="preserve">Vector </w:t>
            </w:r>
            <w:proofErr w:type="spellStart"/>
            <w:r w:rsidRPr="002C75B8">
              <w:rPr>
                <w:b/>
                <w:bCs/>
                <w:sz w:val="22"/>
              </w:rPr>
              <w:t>species</w:t>
            </w:r>
            <w:proofErr w:type="spellEnd"/>
          </w:p>
        </w:tc>
        <w:tc>
          <w:tcPr>
            <w:tcW w:w="2340" w:type="dxa"/>
            <w:vAlign w:val="center"/>
          </w:tcPr>
          <w:p w:rsidR="00593C33" w:rsidRPr="002C75B8" w:rsidRDefault="00593C33" w:rsidP="00A7768B">
            <w:pPr>
              <w:rPr>
                <w:b/>
                <w:bCs/>
                <w:sz w:val="22"/>
              </w:rPr>
            </w:pPr>
          </w:p>
          <w:p w:rsidR="00593C33" w:rsidRPr="002C75B8" w:rsidRDefault="00593C33" w:rsidP="00A7768B">
            <w:pPr>
              <w:rPr>
                <w:b/>
                <w:bCs/>
                <w:sz w:val="22"/>
              </w:rPr>
            </w:pPr>
            <w:proofErr w:type="spellStart"/>
            <w:r w:rsidRPr="002C75B8">
              <w:rPr>
                <w:b/>
                <w:bCs/>
                <w:sz w:val="22"/>
              </w:rPr>
              <w:t>Reservoirs</w:t>
            </w:r>
            <w:proofErr w:type="spellEnd"/>
          </w:p>
        </w:tc>
      </w:tr>
      <w:tr w:rsidR="00593C33" w:rsidRPr="00DD4590" w:rsidTr="00A7768B">
        <w:tc>
          <w:tcPr>
            <w:tcW w:w="2270" w:type="dxa"/>
            <w:vAlign w:val="center"/>
          </w:tcPr>
          <w:p w:rsidR="00593C33" w:rsidRPr="009F72CB" w:rsidRDefault="00593C33" w:rsidP="00A7768B">
            <w:pPr>
              <w:ind w:left="0" w:firstLine="0"/>
              <w:rPr>
                <w:sz w:val="22"/>
              </w:rPr>
            </w:pPr>
            <w:r w:rsidRPr="009F72CB">
              <w:rPr>
                <w:i/>
                <w:iCs/>
                <w:sz w:val="22"/>
                <w:lang w:val="en-US"/>
              </w:rPr>
              <w:t xml:space="preserve">L. </w:t>
            </w:r>
            <w:r>
              <w:rPr>
                <w:i/>
                <w:iCs/>
                <w:sz w:val="22"/>
                <w:lang w:val="en-US"/>
              </w:rPr>
              <w:t>major</w:t>
            </w:r>
          </w:p>
        </w:tc>
        <w:tc>
          <w:tcPr>
            <w:tcW w:w="1978" w:type="dxa"/>
            <w:vAlign w:val="center"/>
          </w:tcPr>
          <w:p w:rsidR="00593C33" w:rsidRPr="009F72CB" w:rsidRDefault="00593C33" w:rsidP="00A7768B">
            <w:pPr>
              <w:rPr>
                <w:sz w:val="22"/>
                <w:lang w:val="en-US"/>
              </w:rPr>
            </w:pPr>
            <w:r w:rsidRPr="009F72CB">
              <w:rPr>
                <w:sz w:val="22"/>
                <w:lang w:val="en-US"/>
              </w:rPr>
              <w:t>CL</w:t>
            </w:r>
          </w:p>
        </w:tc>
        <w:tc>
          <w:tcPr>
            <w:tcW w:w="2700" w:type="dxa"/>
            <w:vAlign w:val="center"/>
          </w:tcPr>
          <w:p w:rsidR="00593C33" w:rsidRPr="00F324FE" w:rsidRDefault="00593C33" w:rsidP="00A7768B">
            <w:pPr>
              <w:rPr>
                <w:sz w:val="22"/>
                <w:lang w:val="fi-FI"/>
              </w:rPr>
            </w:pPr>
            <w:r>
              <w:rPr>
                <w:i/>
                <w:iCs/>
                <w:sz w:val="22"/>
                <w:lang w:val="fi-FI"/>
              </w:rPr>
              <w:t>P. duboscqi</w:t>
            </w:r>
          </w:p>
        </w:tc>
        <w:tc>
          <w:tcPr>
            <w:tcW w:w="2340" w:type="dxa"/>
            <w:vAlign w:val="center"/>
          </w:tcPr>
          <w:p w:rsidR="00593C33" w:rsidRPr="00DD4590" w:rsidRDefault="00593C33" w:rsidP="00A7768B">
            <w:pPr>
              <w:rPr>
                <w:iCs/>
                <w:sz w:val="22"/>
                <w:lang w:val="en-US"/>
              </w:rPr>
            </w:pPr>
            <w:r w:rsidRPr="00DD4590">
              <w:rPr>
                <w:iCs/>
                <w:sz w:val="22"/>
                <w:lang w:val="en-US"/>
              </w:rPr>
              <w:t>Unknown</w:t>
            </w:r>
          </w:p>
        </w:tc>
      </w:tr>
    </w:tbl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b/>
          <w:sz w:val="22"/>
          <w:lang w:val="en-GB"/>
        </w:rPr>
      </w:pPr>
      <w:r>
        <w:rPr>
          <w:b/>
          <w:sz w:val="22"/>
          <w:lang w:val="en-GB"/>
        </w:rPr>
        <w:t xml:space="preserve">MAPS AND TRENDS, </w:t>
      </w:r>
      <w:r w:rsidRPr="00DD4590">
        <w:rPr>
          <w:b/>
          <w:sz w:val="22"/>
          <w:lang w:val="en-GB"/>
        </w:rPr>
        <w:t xml:space="preserve">CONTROL, DIAGNOSIS &amp; TREATMENT, ACCESS TO CARE, ACCESS TO DRUGS 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>No data available</w:t>
      </w:r>
      <w:r>
        <w:rPr>
          <w:sz w:val="22"/>
          <w:lang w:val="en-GB"/>
        </w:rPr>
        <w:t>.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b/>
          <w:sz w:val="22"/>
          <w:lang w:val="en-GB"/>
        </w:rPr>
      </w:pPr>
      <w:r w:rsidRPr="00DD4590">
        <w:rPr>
          <w:b/>
          <w:sz w:val="22"/>
          <w:lang w:val="en-GB"/>
        </w:rPr>
        <w:t>SOURCES OF INFORMATION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 xml:space="preserve">1. </w:t>
      </w:r>
      <w:proofErr w:type="spellStart"/>
      <w:r w:rsidRPr="00DD4590">
        <w:rPr>
          <w:sz w:val="22"/>
          <w:lang w:val="en-GB"/>
        </w:rPr>
        <w:t>Pampiglione</w:t>
      </w:r>
      <w:proofErr w:type="spellEnd"/>
      <w:r w:rsidRPr="00DD4590">
        <w:rPr>
          <w:sz w:val="22"/>
          <w:lang w:val="en-GB"/>
        </w:rPr>
        <w:t xml:space="preserve"> S, </w:t>
      </w:r>
      <w:proofErr w:type="spellStart"/>
      <w:r w:rsidRPr="00DD4590">
        <w:rPr>
          <w:sz w:val="22"/>
          <w:lang w:val="en-GB"/>
        </w:rPr>
        <w:t>Marton</w:t>
      </w:r>
      <w:proofErr w:type="spellEnd"/>
      <w:r w:rsidRPr="00DD4590">
        <w:rPr>
          <w:sz w:val="22"/>
          <w:lang w:val="en-GB"/>
        </w:rPr>
        <w:t xml:space="preserve"> K</w:t>
      </w:r>
      <w:r>
        <w:rPr>
          <w:sz w:val="22"/>
          <w:lang w:val="en-GB"/>
        </w:rPr>
        <w:t xml:space="preserve"> (1977)</w:t>
      </w:r>
      <w:r w:rsidRPr="00DD4590">
        <w:rPr>
          <w:sz w:val="22"/>
          <w:lang w:val="en-GB"/>
        </w:rPr>
        <w:t xml:space="preserve">. </w:t>
      </w:r>
      <w:proofErr w:type="gramStart"/>
      <w:r w:rsidRPr="00DD4590">
        <w:rPr>
          <w:sz w:val="22"/>
          <w:lang w:val="en-GB"/>
        </w:rPr>
        <w:t xml:space="preserve">Cutaneous leishmaniasis in the </w:t>
      </w:r>
      <w:smartTag w:uri="urn:schemas-microsoft-com:office:smarttags" w:element="place">
        <w:smartTag w:uri="urn:schemas-microsoft-com:office:smarttags" w:element="PlaceType">
          <w:r w:rsidRPr="00DD4590">
            <w:rPr>
              <w:sz w:val="22"/>
              <w:lang w:val="en-GB"/>
            </w:rPr>
            <w:t>Republic</w:t>
          </w:r>
        </w:smartTag>
        <w:r w:rsidRPr="00DD4590">
          <w:rPr>
            <w:sz w:val="22"/>
            <w:lang w:val="en-GB"/>
          </w:rPr>
          <w:t xml:space="preserve"> of </w:t>
        </w:r>
        <w:smartTag w:uri="urn:schemas-microsoft-com:office:smarttags" w:element="PlaceName">
          <w:r w:rsidRPr="00DD4590">
            <w:rPr>
              <w:sz w:val="22"/>
              <w:lang w:val="en-GB"/>
            </w:rPr>
            <w:t>Guinea</w:t>
          </w:r>
        </w:smartTag>
      </w:smartTag>
      <w:r w:rsidRPr="00DD4590">
        <w:rPr>
          <w:sz w:val="22"/>
          <w:lang w:val="en-GB"/>
        </w:rPr>
        <w:t>.</w:t>
      </w:r>
      <w:proofErr w:type="gramEnd"/>
      <w:r w:rsidRPr="00DD4590">
        <w:rPr>
          <w:sz w:val="22"/>
          <w:lang w:val="en-GB"/>
        </w:rPr>
        <w:t xml:space="preserve"> Bull Soc </w:t>
      </w:r>
      <w:proofErr w:type="spellStart"/>
      <w:r w:rsidRPr="00DD4590">
        <w:rPr>
          <w:sz w:val="22"/>
          <w:lang w:val="en-GB"/>
        </w:rPr>
        <w:t>Pathol</w:t>
      </w:r>
      <w:proofErr w:type="spellEnd"/>
      <w:r w:rsidRPr="00DD4590">
        <w:rPr>
          <w:sz w:val="22"/>
          <w:lang w:val="en-GB"/>
        </w:rPr>
        <w:t xml:space="preserve"> </w:t>
      </w:r>
      <w:proofErr w:type="spellStart"/>
      <w:r w:rsidRPr="00DD4590">
        <w:rPr>
          <w:sz w:val="22"/>
          <w:lang w:val="en-GB"/>
        </w:rPr>
        <w:t>Exot</w:t>
      </w:r>
      <w:proofErr w:type="spellEnd"/>
      <w:r w:rsidRPr="00DD4590">
        <w:rPr>
          <w:sz w:val="22"/>
          <w:lang w:val="en-GB"/>
        </w:rPr>
        <w:t xml:space="preserve"> </w:t>
      </w:r>
      <w:proofErr w:type="spellStart"/>
      <w:r w:rsidRPr="00DD4590">
        <w:rPr>
          <w:sz w:val="22"/>
          <w:lang w:val="en-GB"/>
        </w:rPr>
        <w:t>Filiales</w:t>
      </w:r>
      <w:proofErr w:type="spellEnd"/>
      <w:r>
        <w:rPr>
          <w:sz w:val="22"/>
          <w:lang w:val="en-GB"/>
        </w:rPr>
        <w:t xml:space="preserve"> </w:t>
      </w:r>
      <w:r w:rsidRPr="00DD4590">
        <w:rPr>
          <w:sz w:val="22"/>
          <w:lang w:val="en-GB"/>
        </w:rPr>
        <w:t>70(5):479-84.</w:t>
      </w:r>
    </w:p>
    <w:p w:rsidR="00593C33" w:rsidRPr="00DD4590" w:rsidRDefault="00593C33" w:rsidP="00593C33">
      <w:pPr>
        <w:ind w:left="0" w:firstLine="0"/>
        <w:rPr>
          <w:sz w:val="22"/>
          <w:lang w:val="en-GB"/>
        </w:rPr>
      </w:pPr>
    </w:p>
    <w:p w:rsidR="00593C33" w:rsidRPr="00D177CE" w:rsidRDefault="00593C33" w:rsidP="00593C33">
      <w:pPr>
        <w:ind w:left="0" w:firstLine="0"/>
        <w:rPr>
          <w:sz w:val="22"/>
          <w:lang w:val="en-GB"/>
        </w:rPr>
      </w:pPr>
      <w:r w:rsidRPr="00DD4590">
        <w:rPr>
          <w:sz w:val="22"/>
          <w:lang w:val="en-GB"/>
        </w:rPr>
        <w:t xml:space="preserve">2. </w:t>
      </w:r>
      <w:proofErr w:type="spellStart"/>
      <w:r w:rsidRPr="00DD4590">
        <w:rPr>
          <w:sz w:val="22"/>
          <w:lang w:val="en-GB"/>
        </w:rPr>
        <w:t>Boakye</w:t>
      </w:r>
      <w:proofErr w:type="spellEnd"/>
      <w:r w:rsidRPr="00DD4590">
        <w:rPr>
          <w:sz w:val="22"/>
          <w:lang w:val="en-GB"/>
        </w:rPr>
        <w:t xml:space="preserve"> DA, Wilson MD</w:t>
      </w:r>
      <w:r>
        <w:rPr>
          <w:sz w:val="22"/>
          <w:lang w:val="en-GB"/>
        </w:rPr>
        <w:t xml:space="preserve">, </w:t>
      </w:r>
      <w:proofErr w:type="spellStart"/>
      <w:r w:rsidRPr="00DD4590">
        <w:rPr>
          <w:sz w:val="22"/>
          <w:lang w:val="en-GB"/>
        </w:rPr>
        <w:t>Kweku</w:t>
      </w:r>
      <w:proofErr w:type="spellEnd"/>
      <w:r w:rsidRPr="00DD4590">
        <w:rPr>
          <w:sz w:val="22"/>
          <w:lang w:val="en-GB"/>
        </w:rPr>
        <w:t xml:space="preserve"> M</w:t>
      </w:r>
      <w:r>
        <w:rPr>
          <w:sz w:val="22"/>
          <w:lang w:val="en-GB"/>
        </w:rPr>
        <w:t xml:space="preserve"> (2005).</w:t>
      </w:r>
      <w:r w:rsidRPr="00DD4590">
        <w:rPr>
          <w:sz w:val="22"/>
          <w:lang w:val="en-GB"/>
        </w:rPr>
        <w:t xml:space="preserve"> </w:t>
      </w:r>
      <w:proofErr w:type="gramStart"/>
      <w:r w:rsidRPr="00DD4590">
        <w:rPr>
          <w:sz w:val="22"/>
          <w:lang w:val="en-GB"/>
        </w:rPr>
        <w:t>A review of leishmaniasis in West Africa.</w:t>
      </w:r>
      <w:proofErr w:type="gramEnd"/>
      <w:r w:rsidRPr="00DD4590">
        <w:rPr>
          <w:sz w:val="22"/>
          <w:lang w:val="en-GB"/>
        </w:rPr>
        <w:t xml:space="preserve"> Ghana Medical J</w:t>
      </w:r>
      <w:r>
        <w:rPr>
          <w:sz w:val="22"/>
          <w:lang w:val="en-GB"/>
        </w:rPr>
        <w:t xml:space="preserve"> </w:t>
      </w:r>
      <w:r w:rsidRPr="00DD4590">
        <w:rPr>
          <w:sz w:val="22"/>
          <w:lang w:val="en-GB"/>
        </w:rPr>
        <w:t>39</w:t>
      </w:r>
      <w:r>
        <w:rPr>
          <w:sz w:val="22"/>
          <w:lang w:val="en-GB"/>
        </w:rPr>
        <w:t xml:space="preserve"> (3):94-7. </w:t>
      </w:r>
    </w:p>
    <w:p w:rsidR="00593C33" w:rsidRDefault="00593C33" w:rsidP="00593C33">
      <w:pPr>
        <w:ind w:left="0" w:firstLine="0"/>
        <w:rPr>
          <w:sz w:val="22"/>
          <w:lang w:val="en-US"/>
        </w:rPr>
      </w:pPr>
    </w:p>
    <w:p w:rsidR="00593C33" w:rsidRPr="00D177CE" w:rsidRDefault="00593C33" w:rsidP="00593C33">
      <w:pPr>
        <w:ind w:left="0" w:firstLine="0"/>
        <w:rPr>
          <w:sz w:val="22"/>
          <w:lang w:val="en-US"/>
        </w:rPr>
      </w:pPr>
    </w:p>
    <w:p w:rsidR="002F7C1A" w:rsidRDefault="002F7C1A" w:rsidP="00593C33"/>
    <w:sectPr w:rsidR="002F7C1A" w:rsidSect="002F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912"/>
    <w:multiLevelType w:val="multilevel"/>
    <w:tmpl w:val="9F3EB04A"/>
    <w:lvl w:ilvl="0">
      <w:start w:val="1"/>
      <w:numFmt w:val="decimal"/>
      <w:pStyle w:val="Heading1"/>
      <w:isLgl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32"/>
        <w:szCs w:val="32"/>
        <w:u w:color="000000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0"/>
        </w:tabs>
        <w:ind w:left="1134" w:hanging="1134"/>
      </w:pPr>
      <w:rPr>
        <w:rFonts w:ascii="Arial" w:hAnsi="Arial" w:hint="default"/>
        <w:b w:val="0"/>
        <w:i/>
        <w:color w:val="000000"/>
        <w:sz w:val="27"/>
        <w:szCs w:val="27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02"/>
        </w:tabs>
        <w:ind w:left="1402" w:hanging="1402"/>
      </w:pPr>
      <w:rPr>
        <w:rFonts w:ascii="Arial" w:hAnsi="Arial" w:hint="default"/>
        <w:b/>
        <w:i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3C33"/>
    <w:rsid w:val="000028F1"/>
    <w:rsid w:val="00010242"/>
    <w:rsid w:val="00046B72"/>
    <w:rsid w:val="00052A25"/>
    <w:rsid w:val="0005677D"/>
    <w:rsid w:val="000578BC"/>
    <w:rsid w:val="000848FF"/>
    <w:rsid w:val="000B48D7"/>
    <w:rsid w:val="000E5115"/>
    <w:rsid w:val="000F0175"/>
    <w:rsid w:val="000F1E62"/>
    <w:rsid w:val="001168B6"/>
    <w:rsid w:val="00134E9F"/>
    <w:rsid w:val="00141FD2"/>
    <w:rsid w:val="0016660D"/>
    <w:rsid w:val="00194CED"/>
    <w:rsid w:val="001B2C47"/>
    <w:rsid w:val="001E4D96"/>
    <w:rsid w:val="002000DA"/>
    <w:rsid w:val="00215613"/>
    <w:rsid w:val="00220DFD"/>
    <w:rsid w:val="0024005B"/>
    <w:rsid w:val="00245DB8"/>
    <w:rsid w:val="00252F0C"/>
    <w:rsid w:val="00270F6A"/>
    <w:rsid w:val="00272C75"/>
    <w:rsid w:val="00272E09"/>
    <w:rsid w:val="0027629F"/>
    <w:rsid w:val="00280D78"/>
    <w:rsid w:val="002C258B"/>
    <w:rsid w:val="002F4248"/>
    <w:rsid w:val="002F6463"/>
    <w:rsid w:val="002F7C1A"/>
    <w:rsid w:val="00315ECC"/>
    <w:rsid w:val="003229A6"/>
    <w:rsid w:val="003310F3"/>
    <w:rsid w:val="00333A3A"/>
    <w:rsid w:val="0034701D"/>
    <w:rsid w:val="0036003C"/>
    <w:rsid w:val="00363320"/>
    <w:rsid w:val="00374366"/>
    <w:rsid w:val="003A44B4"/>
    <w:rsid w:val="003B3568"/>
    <w:rsid w:val="003B73ED"/>
    <w:rsid w:val="003D1FFD"/>
    <w:rsid w:val="003E1DA2"/>
    <w:rsid w:val="003F1346"/>
    <w:rsid w:val="00412019"/>
    <w:rsid w:val="00412575"/>
    <w:rsid w:val="00420168"/>
    <w:rsid w:val="004264FD"/>
    <w:rsid w:val="00491E29"/>
    <w:rsid w:val="004A37D9"/>
    <w:rsid w:val="004A5A5B"/>
    <w:rsid w:val="004C53F0"/>
    <w:rsid w:val="004D15B3"/>
    <w:rsid w:val="005100AA"/>
    <w:rsid w:val="00570157"/>
    <w:rsid w:val="0057148C"/>
    <w:rsid w:val="005724D3"/>
    <w:rsid w:val="00581469"/>
    <w:rsid w:val="00593992"/>
    <w:rsid w:val="00593C33"/>
    <w:rsid w:val="005C6498"/>
    <w:rsid w:val="005F2E6A"/>
    <w:rsid w:val="005F4AD0"/>
    <w:rsid w:val="0062498A"/>
    <w:rsid w:val="00626A99"/>
    <w:rsid w:val="006272A7"/>
    <w:rsid w:val="00641A14"/>
    <w:rsid w:val="00653580"/>
    <w:rsid w:val="00661504"/>
    <w:rsid w:val="00690048"/>
    <w:rsid w:val="006C198E"/>
    <w:rsid w:val="006E008C"/>
    <w:rsid w:val="006E2CDF"/>
    <w:rsid w:val="006E718B"/>
    <w:rsid w:val="0071174C"/>
    <w:rsid w:val="00740C76"/>
    <w:rsid w:val="0075377D"/>
    <w:rsid w:val="007A78DF"/>
    <w:rsid w:val="007C7FD3"/>
    <w:rsid w:val="007D3253"/>
    <w:rsid w:val="007E18CB"/>
    <w:rsid w:val="007E4A87"/>
    <w:rsid w:val="008006B5"/>
    <w:rsid w:val="008016D2"/>
    <w:rsid w:val="00832051"/>
    <w:rsid w:val="00837717"/>
    <w:rsid w:val="008403F6"/>
    <w:rsid w:val="00847BE4"/>
    <w:rsid w:val="00851DE1"/>
    <w:rsid w:val="0086504E"/>
    <w:rsid w:val="00895527"/>
    <w:rsid w:val="00896966"/>
    <w:rsid w:val="008B250E"/>
    <w:rsid w:val="008D3496"/>
    <w:rsid w:val="008F2D26"/>
    <w:rsid w:val="009511C6"/>
    <w:rsid w:val="009B22FB"/>
    <w:rsid w:val="009C14CB"/>
    <w:rsid w:val="009C200B"/>
    <w:rsid w:val="009C319F"/>
    <w:rsid w:val="009C624C"/>
    <w:rsid w:val="009D1B5E"/>
    <w:rsid w:val="009F64EB"/>
    <w:rsid w:val="009F775A"/>
    <w:rsid w:val="00A45DA3"/>
    <w:rsid w:val="00A5035E"/>
    <w:rsid w:val="00A5411A"/>
    <w:rsid w:val="00A541A7"/>
    <w:rsid w:val="00A629D5"/>
    <w:rsid w:val="00A85111"/>
    <w:rsid w:val="00AD2F5D"/>
    <w:rsid w:val="00B15964"/>
    <w:rsid w:val="00B16204"/>
    <w:rsid w:val="00B433DC"/>
    <w:rsid w:val="00B476C3"/>
    <w:rsid w:val="00B96E52"/>
    <w:rsid w:val="00BA6E8F"/>
    <w:rsid w:val="00BB2383"/>
    <w:rsid w:val="00BE00C5"/>
    <w:rsid w:val="00C12906"/>
    <w:rsid w:val="00C1518C"/>
    <w:rsid w:val="00C236BD"/>
    <w:rsid w:val="00C244F5"/>
    <w:rsid w:val="00C264F2"/>
    <w:rsid w:val="00C47B72"/>
    <w:rsid w:val="00C7126E"/>
    <w:rsid w:val="00C75CF6"/>
    <w:rsid w:val="00C87D01"/>
    <w:rsid w:val="00C91A71"/>
    <w:rsid w:val="00CA637B"/>
    <w:rsid w:val="00CA71FE"/>
    <w:rsid w:val="00CF5DD0"/>
    <w:rsid w:val="00D05103"/>
    <w:rsid w:val="00D17D57"/>
    <w:rsid w:val="00D36E3A"/>
    <w:rsid w:val="00D5084A"/>
    <w:rsid w:val="00D513BD"/>
    <w:rsid w:val="00D541EC"/>
    <w:rsid w:val="00D6288C"/>
    <w:rsid w:val="00D83F8A"/>
    <w:rsid w:val="00D92869"/>
    <w:rsid w:val="00D95254"/>
    <w:rsid w:val="00DA0AB5"/>
    <w:rsid w:val="00DA14E3"/>
    <w:rsid w:val="00DB6D7C"/>
    <w:rsid w:val="00DD1ADE"/>
    <w:rsid w:val="00DF5A78"/>
    <w:rsid w:val="00DF6C46"/>
    <w:rsid w:val="00E147C3"/>
    <w:rsid w:val="00E17729"/>
    <w:rsid w:val="00E21063"/>
    <w:rsid w:val="00E370A8"/>
    <w:rsid w:val="00E474BF"/>
    <w:rsid w:val="00E47A87"/>
    <w:rsid w:val="00E65F1E"/>
    <w:rsid w:val="00E7082F"/>
    <w:rsid w:val="00E828CE"/>
    <w:rsid w:val="00E87373"/>
    <w:rsid w:val="00EB1F13"/>
    <w:rsid w:val="00EF27B3"/>
    <w:rsid w:val="00F03A91"/>
    <w:rsid w:val="00F14B40"/>
    <w:rsid w:val="00F16575"/>
    <w:rsid w:val="00F25542"/>
    <w:rsid w:val="00F87752"/>
    <w:rsid w:val="00F94E78"/>
    <w:rsid w:val="00FB0CFB"/>
    <w:rsid w:val="00FB6AA1"/>
    <w:rsid w:val="00FC58EE"/>
    <w:rsid w:val="00FD22F3"/>
    <w:rsid w:val="00FD59CB"/>
    <w:rsid w:val="00FE1BC6"/>
    <w:rsid w:val="00FE26F4"/>
    <w:rsid w:val="00FE575B"/>
    <w:rsid w:val="00FE79B4"/>
    <w:rsid w:val="00FF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33"/>
    <w:pPr>
      <w:spacing w:after="0" w:line="240" w:lineRule="auto"/>
      <w:ind w:left="720" w:hanging="720"/>
      <w:jc w:val="both"/>
    </w:pPr>
    <w:rPr>
      <w:rFonts w:ascii="Arial" w:eastAsia="Calibri" w:hAnsi="Arial" w:cs="Arial"/>
      <w:sz w:val="24"/>
      <w:lang w:val="es-CO"/>
    </w:rPr>
  </w:style>
  <w:style w:type="paragraph" w:styleId="Heading1">
    <w:name w:val="heading 1"/>
    <w:next w:val="Normal"/>
    <w:link w:val="Heading1Char"/>
    <w:qFormat/>
    <w:rsid w:val="00F14B40"/>
    <w:pPr>
      <w:keepNext/>
      <w:numPr>
        <w:numId w:val="4"/>
      </w:numPr>
      <w:spacing w:before="48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paragraph" w:styleId="Heading2">
    <w:name w:val="heading 2"/>
    <w:next w:val="Normal"/>
    <w:link w:val="Heading2Char"/>
    <w:qFormat/>
    <w:rsid w:val="00F14B40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paragraph" w:styleId="Heading3">
    <w:name w:val="heading 3"/>
    <w:next w:val="Normal"/>
    <w:link w:val="Heading3Char"/>
    <w:qFormat/>
    <w:rsid w:val="00F14B40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paragraph" w:styleId="Heading4">
    <w:name w:val="heading 4"/>
    <w:next w:val="Normal"/>
    <w:link w:val="Heading4Char"/>
    <w:qFormat/>
    <w:rsid w:val="00F14B40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Times New Roman"/>
      <w:bCs/>
      <w:sz w:val="26"/>
      <w:szCs w:val="28"/>
      <w:lang w:val="de-AT" w:eastAsia="de-AT"/>
    </w:rPr>
  </w:style>
  <w:style w:type="paragraph" w:styleId="Heading5">
    <w:name w:val="heading 5"/>
    <w:basedOn w:val="Normal"/>
    <w:next w:val="Normal"/>
    <w:link w:val="Heading5Char"/>
    <w:qFormat/>
    <w:rsid w:val="00F14B40"/>
    <w:pPr>
      <w:spacing w:before="200" w:line="276" w:lineRule="auto"/>
      <w:ind w:left="1008" w:hanging="1008"/>
      <w:outlineLvl w:val="4"/>
    </w:pPr>
    <w:rPr>
      <w:rFonts w:ascii="Cambria" w:eastAsia="Times New Roman" w:hAnsi="Cambria" w:cs="Times New Roman"/>
      <w:b/>
      <w:bCs/>
      <w:color w:val="7F7F7F"/>
      <w:sz w:val="22"/>
      <w:lang w:val="en-US" w:bidi="en-US"/>
    </w:rPr>
  </w:style>
  <w:style w:type="paragraph" w:styleId="Heading6">
    <w:name w:val="heading 6"/>
    <w:basedOn w:val="Normal"/>
    <w:next w:val="Normal"/>
    <w:link w:val="Heading6Char"/>
    <w:qFormat/>
    <w:rsid w:val="00F14B40"/>
    <w:pPr>
      <w:spacing w:line="271" w:lineRule="auto"/>
      <w:ind w:left="1152" w:hanging="1152"/>
      <w:outlineLvl w:val="5"/>
    </w:pPr>
    <w:rPr>
      <w:rFonts w:ascii="Cambria" w:eastAsia="Times New Roman" w:hAnsi="Cambria" w:cs="Times New Roman"/>
      <w:b/>
      <w:bCs/>
      <w:i/>
      <w:iCs/>
      <w:color w:val="7F7F7F"/>
      <w:sz w:val="22"/>
      <w:lang w:val="en-US" w:bidi="en-US"/>
    </w:rPr>
  </w:style>
  <w:style w:type="paragraph" w:styleId="Heading7">
    <w:name w:val="heading 7"/>
    <w:basedOn w:val="Normal"/>
    <w:next w:val="Normal"/>
    <w:link w:val="Heading7Char"/>
    <w:qFormat/>
    <w:rsid w:val="00F14B40"/>
    <w:pPr>
      <w:spacing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sz w:val="22"/>
      <w:lang w:val="en-US" w:bidi="en-US"/>
    </w:rPr>
  </w:style>
  <w:style w:type="paragraph" w:styleId="Heading8">
    <w:name w:val="heading 8"/>
    <w:basedOn w:val="Normal"/>
    <w:next w:val="Normal"/>
    <w:link w:val="Heading8Char"/>
    <w:qFormat/>
    <w:rsid w:val="00F14B40"/>
    <w:pPr>
      <w:spacing w:line="276" w:lineRule="auto"/>
      <w:ind w:left="1440" w:hanging="1440"/>
      <w:outlineLvl w:val="7"/>
    </w:pPr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qFormat/>
    <w:rsid w:val="00F14B40"/>
    <w:pPr>
      <w:spacing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B40"/>
    <w:rPr>
      <w:rFonts w:ascii="Arial" w:eastAsia="Times New Roman" w:hAnsi="Arial" w:cs="Arial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rsid w:val="00F14B40"/>
    <w:rPr>
      <w:rFonts w:ascii="Arial" w:eastAsia="Times New Roman" w:hAnsi="Arial" w:cs="Arial"/>
      <w:b/>
      <w:bCs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rsid w:val="00F14B40"/>
    <w:rPr>
      <w:rFonts w:ascii="Arial" w:eastAsia="Times New Roman" w:hAnsi="Arial" w:cs="Arial"/>
      <w:bCs/>
      <w:i/>
      <w:sz w:val="27"/>
      <w:szCs w:val="26"/>
      <w:lang w:val="de-AT" w:eastAsia="de-AT"/>
    </w:rPr>
  </w:style>
  <w:style w:type="character" w:customStyle="1" w:styleId="Heading4Char">
    <w:name w:val="Heading 4 Char"/>
    <w:basedOn w:val="DefaultParagraphFont"/>
    <w:link w:val="Heading4"/>
    <w:rsid w:val="00F14B40"/>
    <w:rPr>
      <w:rFonts w:ascii="Arial" w:eastAsia="Times New Roman" w:hAnsi="Arial" w:cs="Times New Roman"/>
      <w:bCs/>
      <w:sz w:val="26"/>
      <w:szCs w:val="28"/>
      <w:lang w:val="de-AT" w:eastAsia="de-AT"/>
    </w:rPr>
  </w:style>
  <w:style w:type="character" w:customStyle="1" w:styleId="Heading5Char">
    <w:name w:val="Heading 5 Char"/>
    <w:basedOn w:val="DefaultParagraphFont"/>
    <w:link w:val="Heading5"/>
    <w:rsid w:val="00F14B40"/>
    <w:rPr>
      <w:rFonts w:ascii="Cambria" w:eastAsia="Times New Roman" w:hAnsi="Cambria" w:cs="Times New Roman"/>
      <w:b/>
      <w:bCs/>
      <w:color w:val="7F7F7F"/>
      <w:lang w:bidi="en-US"/>
    </w:rPr>
  </w:style>
  <w:style w:type="character" w:customStyle="1" w:styleId="Heading6Char">
    <w:name w:val="Heading 6 Char"/>
    <w:basedOn w:val="DefaultParagraphFont"/>
    <w:link w:val="Heading6"/>
    <w:rsid w:val="00F14B40"/>
    <w:rPr>
      <w:rFonts w:ascii="Cambria" w:eastAsia="Times New Roman" w:hAnsi="Cambria" w:cs="Times New Roman"/>
      <w:b/>
      <w:bCs/>
      <w:i/>
      <w:iCs/>
      <w:color w:val="7F7F7F"/>
      <w:lang w:bidi="en-US"/>
    </w:rPr>
  </w:style>
  <w:style w:type="character" w:customStyle="1" w:styleId="Heading7Char">
    <w:name w:val="Heading 7 Char"/>
    <w:basedOn w:val="DefaultParagraphFont"/>
    <w:link w:val="Heading7"/>
    <w:rsid w:val="00F14B40"/>
    <w:rPr>
      <w:rFonts w:ascii="Cambria" w:eastAsia="Times New Roman" w:hAnsi="Cambria" w:cs="Times New Roman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rsid w:val="00F14B4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F14B40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F14B40"/>
    <w:pPr>
      <w:spacing w:after="200" w:line="276" w:lineRule="auto"/>
      <w:ind w:firstLine="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B40"/>
    <w:pPr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33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2012-04-01T21:09:00Z</dcterms:created>
  <dcterms:modified xsi:type="dcterms:W3CDTF">2012-04-01T21:10:00Z</dcterms:modified>
</cp:coreProperties>
</file>