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929" w:rsidRPr="00D177CE" w:rsidRDefault="00810929" w:rsidP="00810929">
      <w:pPr>
        <w:spacing w:line="480" w:lineRule="auto"/>
        <w:rPr>
          <w:bCs/>
          <w:sz w:val="22"/>
          <w:u w:val="single"/>
          <w:lang w:val="en-US"/>
        </w:rPr>
      </w:pPr>
      <w:smartTag w:uri="urn:schemas-microsoft-com:office:smarttags" w:element="place">
        <w:smartTag w:uri="urn:schemas-microsoft-com:office:smarttags" w:element="country-region">
          <w:r w:rsidRPr="00D177CE">
            <w:rPr>
              <w:b/>
              <w:sz w:val="22"/>
              <w:u w:val="single"/>
              <w:lang w:val="en-US"/>
            </w:rPr>
            <w:t>GUATEMALA</w:t>
          </w:r>
        </w:smartTag>
      </w:smartTag>
    </w:p>
    <w:p w:rsidR="00810929" w:rsidRPr="00D177CE" w:rsidRDefault="00810929" w:rsidP="00810929">
      <w:pPr>
        <w:spacing w:line="480" w:lineRule="auto"/>
        <w:rPr>
          <w:bCs/>
          <w:sz w:val="22"/>
          <w:lang w:val="en-US"/>
        </w:rPr>
      </w:pPr>
      <w:r>
        <w:rPr>
          <w:bCs/>
          <w:noProof/>
          <w:sz w:val="22"/>
          <w:lang w:val="en-US"/>
        </w:rPr>
        <w:drawing>
          <wp:inline distT="0" distB="0" distL="0" distR="0">
            <wp:extent cx="2590800" cy="1736090"/>
            <wp:effectExtent l="19050" t="0" r="0" b="0"/>
            <wp:docPr id="2" name="Picture 2" descr="GT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TWORLD"/>
                    <pic:cNvPicPr>
                      <a:picLocks noChangeAspect="1" noChangeArrowheads="1"/>
                    </pic:cNvPicPr>
                  </pic:nvPicPr>
                  <pic:blipFill>
                    <a:blip r:embed="rId5" cstate="print"/>
                    <a:srcRect/>
                    <a:stretch>
                      <a:fillRect/>
                    </a:stretch>
                  </pic:blipFill>
                  <pic:spPr bwMode="auto">
                    <a:xfrm>
                      <a:off x="0" y="0"/>
                      <a:ext cx="2590800" cy="1736090"/>
                    </a:xfrm>
                    <a:prstGeom prst="rect">
                      <a:avLst/>
                    </a:prstGeom>
                    <a:noFill/>
                  </pic:spPr>
                </pic:pic>
              </a:graphicData>
            </a:graphic>
          </wp:inline>
        </w:drawing>
      </w:r>
    </w:p>
    <w:p w:rsidR="00810929" w:rsidRPr="00D177CE" w:rsidRDefault="00810929" w:rsidP="00810929">
      <w:pPr>
        <w:spacing w:line="480" w:lineRule="auto"/>
        <w:rPr>
          <w:bCs/>
          <w:sz w:val="22"/>
          <w:lang w:val="en-US"/>
        </w:rPr>
      </w:pPr>
      <w:r w:rsidRPr="00D177CE">
        <w:rPr>
          <w:b/>
          <w:sz w:val="22"/>
          <w:lang w:val="en-US"/>
        </w:rPr>
        <w:t>BASIC COUNTRY DATA</w:t>
      </w:r>
    </w:p>
    <w:p w:rsidR="00810929" w:rsidRPr="00D177CE" w:rsidRDefault="00810929" w:rsidP="00810929">
      <w:pPr>
        <w:rPr>
          <w:bCs/>
          <w:sz w:val="22"/>
          <w:lang w:val="en-US"/>
        </w:rPr>
      </w:pPr>
      <w:r w:rsidRPr="00D177CE">
        <w:rPr>
          <w:bCs/>
          <w:sz w:val="22"/>
          <w:lang w:val="en-US"/>
        </w:rPr>
        <w:t>Total Population: 1</w:t>
      </w:r>
      <w:r>
        <w:rPr>
          <w:bCs/>
          <w:sz w:val="22"/>
          <w:lang w:val="en-US"/>
        </w:rPr>
        <w:t>4,388,929</w:t>
      </w:r>
      <w:r w:rsidRPr="00D177CE">
        <w:rPr>
          <w:bCs/>
          <w:sz w:val="22"/>
          <w:lang w:val="en-US"/>
        </w:rPr>
        <w:t xml:space="preserve"> </w:t>
      </w:r>
    </w:p>
    <w:p w:rsidR="00810929" w:rsidRPr="00D177CE" w:rsidRDefault="00810929" w:rsidP="00810929">
      <w:pPr>
        <w:rPr>
          <w:bCs/>
          <w:sz w:val="22"/>
          <w:lang w:val="en-US"/>
        </w:rPr>
      </w:pPr>
      <w:r w:rsidRPr="00D177CE">
        <w:rPr>
          <w:bCs/>
          <w:sz w:val="22"/>
          <w:lang w:val="en-US"/>
        </w:rPr>
        <w:t>Population 0-14 years: 4</w:t>
      </w:r>
      <w:r>
        <w:rPr>
          <w:bCs/>
          <w:sz w:val="22"/>
          <w:lang w:val="en-US"/>
        </w:rPr>
        <w:t>1%</w:t>
      </w:r>
      <w:r w:rsidRPr="00D177CE">
        <w:rPr>
          <w:bCs/>
          <w:sz w:val="22"/>
          <w:lang w:val="en-US"/>
        </w:rPr>
        <w:t xml:space="preserve"> </w:t>
      </w:r>
    </w:p>
    <w:p w:rsidR="00810929" w:rsidRPr="00D177CE" w:rsidRDefault="00810929" w:rsidP="00810929">
      <w:pPr>
        <w:rPr>
          <w:bCs/>
          <w:sz w:val="22"/>
          <w:lang w:val="en-US"/>
        </w:rPr>
      </w:pPr>
      <w:r w:rsidRPr="00D177CE">
        <w:rPr>
          <w:bCs/>
          <w:sz w:val="22"/>
          <w:lang w:val="en-US"/>
        </w:rPr>
        <w:t>Rural population: 5</w:t>
      </w:r>
      <w:r>
        <w:rPr>
          <w:bCs/>
          <w:sz w:val="22"/>
          <w:lang w:val="en-US"/>
        </w:rPr>
        <w:t>1</w:t>
      </w:r>
      <w:r w:rsidRPr="00D177CE">
        <w:rPr>
          <w:bCs/>
          <w:sz w:val="22"/>
          <w:lang w:val="en-US"/>
        </w:rPr>
        <w:t xml:space="preserve">% </w:t>
      </w:r>
    </w:p>
    <w:p w:rsidR="00810929" w:rsidRDefault="00810929" w:rsidP="00810929">
      <w:pPr>
        <w:rPr>
          <w:bCs/>
          <w:sz w:val="22"/>
          <w:lang w:val="en-US"/>
        </w:rPr>
      </w:pPr>
      <w:r>
        <w:rPr>
          <w:sz w:val="22"/>
          <w:lang w:val="en-US"/>
        </w:rPr>
        <w:t xml:space="preserve">Population living under </w:t>
      </w:r>
      <w:r w:rsidRPr="004F0938">
        <w:rPr>
          <w:sz w:val="22"/>
          <w:lang w:val="en-US"/>
        </w:rPr>
        <w:t xml:space="preserve">USD </w:t>
      </w:r>
      <w:smartTag w:uri="urn:schemas-microsoft-com:office:smarttags" w:element="metricconverter">
        <w:smartTagPr>
          <w:attr w:name="ProductID" w:val="1.25 a"/>
        </w:smartTagPr>
        <w:r w:rsidRPr="004F0938">
          <w:rPr>
            <w:sz w:val="22"/>
            <w:lang w:val="en-US"/>
          </w:rPr>
          <w:t>1</w:t>
        </w:r>
        <w:r>
          <w:rPr>
            <w:sz w:val="22"/>
            <w:lang w:val="en-US"/>
          </w:rPr>
          <w:t>.25</w:t>
        </w:r>
        <w:r w:rsidRPr="004F0938">
          <w:rPr>
            <w:sz w:val="22"/>
            <w:lang w:val="en-US"/>
          </w:rPr>
          <w:t xml:space="preserve"> </w:t>
        </w:r>
        <w:r>
          <w:rPr>
            <w:sz w:val="22"/>
            <w:lang w:val="en-US"/>
          </w:rPr>
          <w:t>a</w:t>
        </w:r>
      </w:smartTag>
      <w:r w:rsidRPr="004F0938">
        <w:rPr>
          <w:sz w:val="22"/>
          <w:lang w:val="en-US"/>
        </w:rPr>
        <w:t xml:space="preserve"> day</w:t>
      </w:r>
      <w:r w:rsidRPr="00D177CE">
        <w:rPr>
          <w:bCs/>
          <w:sz w:val="22"/>
          <w:lang w:val="en-US"/>
        </w:rPr>
        <w:t>: 13.</w:t>
      </w:r>
      <w:r>
        <w:rPr>
          <w:bCs/>
          <w:sz w:val="22"/>
          <w:lang w:val="en-US"/>
        </w:rPr>
        <w:t>1%</w:t>
      </w:r>
      <w:r w:rsidRPr="00D177CE">
        <w:rPr>
          <w:bCs/>
          <w:sz w:val="22"/>
          <w:lang w:val="en-US"/>
        </w:rPr>
        <w:t xml:space="preserve"> </w:t>
      </w:r>
    </w:p>
    <w:p w:rsidR="00810929" w:rsidRPr="00D177CE" w:rsidRDefault="00810929" w:rsidP="00810929">
      <w:pPr>
        <w:rPr>
          <w:bCs/>
          <w:sz w:val="22"/>
          <w:lang w:val="en-US"/>
        </w:rPr>
      </w:pPr>
      <w:r w:rsidRPr="00677241">
        <w:rPr>
          <w:sz w:val="22"/>
          <w:lang w:val="en-US"/>
        </w:rPr>
        <w:t xml:space="preserve">Population </w:t>
      </w:r>
      <w:r>
        <w:rPr>
          <w:sz w:val="22"/>
          <w:lang w:val="en-US"/>
        </w:rPr>
        <w:t>living under the national poverty line: 51%</w:t>
      </w:r>
    </w:p>
    <w:p w:rsidR="00810929" w:rsidRPr="00D177CE" w:rsidRDefault="00810929" w:rsidP="00810929">
      <w:pPr>
        <w:rPr>
          <w:bCs/>
          <w:sz w:val="22"/>
          <w:lang w:val="en-US"/>
        </w:rPr>
      </w:pPr>
      <w:r w:rsidRPr="00D177CE">
        <w:rPr>
          <w:bCs/>
          <w:sz w:val="22"/>
          <w:lang w:val="en-US"/>
        </w:rPr>
        <w:t xml:space="preserve">Income status: Lower middle income economy </w:t>
      </w:r>
    </w:p>
    <w:p w:rsidR="00810929" w:rsidRPr="00D177CE" w:rsidRDefault="00810929" w:rsidP="00810929">
      <w:pPr>
        <w:rPr>
          <w:bCs/>
          <w:sz w:val="22"/>
          <w:lang w:val="en-US"/>
        </w:rPr>
      </w:pPr>
      <w:r w:rsidRPr="00D177CE">
        <w:rPr>
          <w:bCs/>
          <w:sz w:val="22"/>
          <w:lang w:val="en-US"/>
        </w:rPr>
        <w:t xml:space="preserve">Ranking: Medium </w:t>
      </w:r>
      <w:r>
        <w:rPr>
          <w:bCs/>
          <w:sz w:val="22"/>
          <w:lang w:val="en-US"/>
        </w:rPr>
        <w:t>h</w:t>
      </w:r>
      <w:r w:rsidRPr="00D177CE">
        <w:rPr>
          <w:bCs/>
          <w:sz w:val="22"/>
          <w:lang w:val="en-US"/>
        </w:rPr>
        <w:t xml:space="preserve">uman </w:t>
      </w:r>
      <w:r>
        <w:rPr>
          <w:bCs/>
          <w:sz w:val="22"/>
          <w:lang w:val="en-US"/>
        </w:rPr>
        <w:t>d</w:t>
      </w:r>
      <w:r w:rsidRPr="00D177CE">
        <w:rPr>
          <w:bCs/>
          <w:sz w:val="22"/>
          <w:lang w:val="en-US"/>
        </w:rPr>
        <w:t xml:space="preserve">evelopment </w:t>
      </w:r>
      <w:r>
        <w:rPr>
          <w:bCs/>
          <w:sz w:val="22"/>
          <w:lang w:val="en-US"/>
        </w:rPr>
        <w:t>(ranking 131)</w:t>
      </w:r>
    </w:p>
    <w:p w:rsidR="00810929" w:rsidRPr="00D177CE" w:rsidRDefault="00810929" w:rsidP="00810929">
      <w:pPr>
        <w:rPr>
          <w:bCs/>
          <w:sz w:val="22"/>
          <w:lang w:val="en-US"/>
        </w:rPr>
      </w:pPr>
      <w:r w:rsidRPr="00D177CE">
        <w:rPr>
          <w:bCs/>
          <w:sz w:val="22"/>
          <w:lang w:val="en-US"/>
        </w:rPr>
        <w:t>Per capita total expenditure on health at average exchange rate (US dollar):</w:t>
      </w:r>
      <w:r>
        <w:rPr>
          <w:bCs/>
          <w:sz w:val="22"/>
          <w:lang w:val="en-US"/>
        </w:rPr>
        <w:t xml:space="preserve"> 186</w:t>
      </w:r>
    </w:p>
    <w:p w:rsidR="00810929" w:rsidRPr="00D177CE" w:rsidRDefault="00810929" w:rsidP="00810929">
      <w:pPr>
        <w:rPr>
          <w:bCs/>
          <w:sz w:val="22"/>
          <w:lang w:val="en-US"/>
        </w:rPr>
      </w:pPr>
      <w:r w:rsidRPr="00D177CE">
        <w:rPr>
          <w:bCs/>
          <w:sz w:val="22"/>
          <w:lang w:val="en-US"/>
        </w:rPr>
        <w:t xml:space="preserve">Life expectancy at birth (years): </w:t>
      </w:r>
      <w:r>
        <w:rPr>
          <w:bCs/>
          <w:sz w:val="22"/>
          <w:lang w:val="en-US"/>
        </w:rPr>
        <w:t>71</w:t>
      </w:r>
    </w:p>
    <w:p w:rsidR="00810929" w:rsidRPr="00D177CE" w:rsidRDefault="00810929" w:rsidP="00810929">
      <w:pPr>
        <w:rPr>
          <w:bCs/>
          <w:sz w:val="22"/>
          <w:lang w:val="en-US"/>
        </w:rPr>
      </w:pPr>
      <w:r w:rsidRPr="00D177CE">
        <w:rPr>
          <w:bCs/>
          <w:sz w:val="22"/>
          <w:lang w:val="en-US"/>
        </w:rPr>
        <w:t>Health</w:t>
      </w:r>
      <w:r>
        <w:rPr>
          <w:bCs/>
          <w:sz w:val="22"/>
          <w:lang w:val="en-US"/>
        </w:rPr>
        <w:t>y</w:t>
      </w:r>
      <w:r w:rsidRPr="00D177CE">
        <w:rPr>
          <w:bCs/>
          <w:sz w:val="22"/>
          <w:lang w:val="en-US"/>
        </w:rPr>
        <w:t xml:space="preserve"> life expectancy at birth (years): 57 </w:t>
      </w:r>
    </w:p>
    <w:p w:rsidR="00810929" w:rsidRPr="00D177CE" w:rsidRDefault="00810929" w:rsidP="00810929">
      <w:pPr>
        <w:rPr>
          <w:bCs/>
          <w:sz w:val="22"/>
          <w:lang w:val="en-US"/>
        </w:rPr>
      </w:pPr>
    </w:p>
    <w:p w:rsidR="00810929" w:rsidRPr="00D177CE" w:rsidRDefault="00810929" w:rsidP="00810929">
      <w:pPr>
        <w:rPr>
          <w:bCs/>
          <w:sz w:val="22"/>
          <w:lang w:val="en-US"/>
        </w:rPr>
      </w:pPr>
    </w:p>
    <w:p w:rsidR="00810929" w:rsidRPr="00D177CE" w:rsidRDefault="00810929" w:rsidP="00810929">
      <w:pPr>
        <w:spacing w:line="480" w:lineRule="auto"/>
        <w:rPr>
          <w:sz w:val="22"/>
          <w:lang w:val="en-GB"/>
        </w:rPr>
      </w:pPr>
      <w:r w:rsidRPr="00D177CE">
        <w:rPr>
          <w:b/>
          <w:sz w:val="22"/>
          <w:lang w:val="en-US"/>
        </w:rPr>
        <w:t xml:space="preserve">BACKGROUND INFORMATION </w:t>
      </w:r>
    </w:p>
    <w:p w:rsidR="00810929" w:rsidRPr="00D177CE" w:rsidRDefault="00810929" w:rsidP="00810929">
      <w:pPr>
        <w:ind w:left="0" w:firstLine="0"/>
        <w:rPr>
          <w:sz w:val="22"/>
          <w:lang w:val="en-GB"/>
        </w:rPr>
      </w:pPr>
      <w:r w:rsidRPr="00D177CE">
        <w:rPr>
          <w:sz w:val="22"/>
          <w:lang w:val="en-US"/>
        </w:rPr>
        <w:t xml:space="preserve">Cutaneous leishmaniasis was first described in </w:t>
      </w:r>
      <w:smartTag w:uri="urn:schemas-microsoft-com:office:smarttags" w:element="place">
        <w:smartTag w:uri="urn:schemas-microsoft-com:office:smarttags" w:element="country-region">
          <w:r w:rsidRPr="00D177CE">
            <w:rPr>
              <w:sz w:val="22"/>
              <w:lang w:val="en-US"/>
            </w:rPr>
            <w:t>Guatemala</w:t>
          </w:r>
        </w:smartTag>
      </w:smartTag>
      <w:r w:rsidRPr="00D177CE">
        <w:rPr>
          <w:sz w:val="22"/>
          <w:lang w:val="en-US"/>
        </w:rPr>
        <w:t xml:space="preserve"> in 1928. Both clinical presentations are common forms of leishmaniasis in the country </w:t>
      </w:r>
      <w:r>
        <w:rPr>
          <w:sz w:val="22"/>
          <w:lang w:val="en-US"/>
        </w:rPr>
        <w:t>[1]</w:t>
      </w:r>
      <w:r w:rsidRPr="00D177CE">
        <w:rPr>
          <w:sz w:val="22"/>
          <w:lang w:val="en-US"/>
        </w:rPr>
        <w:t xml:space="preserve">. In </w:t>
      </w:r>
      <w:smartTag w:uri="urn:schemas-microsoft-com:office:smarttags" w:element="metricconverter">
        <w:smartTagPr>
          <w:attr w:name="ProductID" w:val="1986, a"/>
        </w:smartTagPr>
        <w:r w:rsidRPr="00D177CE">
          <w:rPr>
            <w:sz w:val="22"/>
            <w:lang w:val="en-US"/>
          </w:rPr>
          <w:t>1986, a</w:t>
        </w:r>
      </w:smartTag>
      <w:r w:rsidRPr="00D177CE">
        <w:rPr>
          <w:sz w:val="22"/>
          <w:lang w:val="en-US"/>
        </w:rPr>
        <w:t xml:space="preserve"> National Commission for the study of Leishmaniasis in </w:t>
      </w:r>
      <w:smartTag w:uri="urn:schemas-microsoft-com:office:smarttags" w:element="place">
        <w:smartTag w:uri="urn:schemas-microsoft-com:office:smarttags" w:element="country-region">
          <w:r w:rsidRPr="00D177CE">
            <w:rPr>
              <w:sz w:val="22"/>
              <w:lang w:val="en-US"/>
            </w:rPr>
            <w:t>Guatemala</w:t>
          </w:r>
        </w:smartTag>
      </w:smartTag>
      <w:r w:rsidRPr="00D177CE">
        <w:rPr>
          <w:sz w:val="22"/>
          <w:lang w:val="en-US"/>
        </w:rPr>
        <w:t xml:space="preserve"> was established and since the</w:t>
      </w:r>
      <w:r>
        <w:rPr>
          <w:sz w:val="22"/>
          <w:lang w:val="en-US"/>
        </w:rPr>
        <w:t>n,</w:t>
      </w:r>
      <w:r w:rsidRPr="00D177CE">
        <w:rPr>
          <w:sz w:val="22"/>
          <w:lang w:val="en-US"/>
        </w:rPr>
        <w:t xml:space="preserve"> several clinical and epidemiological studies have been conducted to determine the epidemiology of the CL </w:t>
      </w:r>
      <w:r>
        <w:rPr>
          <w:sz w:val="22"/>
          <w:lang w:val="en-US"/>
        </w:rPr>
        <w:t>[2</w:t>
      </w:r>
      <w:proofErr w:type="gramStart"/>
      <w:r>
        <w:rPr>
          <w:sz w:val="22"/>
          <w:lang w:val="en-US"/>
        </w:rPr>
        <w:t>,3</w:t>
      </w:r>
      <w:proofErr w:type="gramEnd"/>
      <w:r>
        <w:rPr>
          <w:sz w:val="22"/>
          <w:lang w:val="en-US"/>
        </w:rPr>
        <w:t>]</w:t>
      </w:r>
      <w:r w:rsidRPr="00D177CE">
        <w:rPr>
          <w:sz w:val="22"/>
          <w:lang w:val="en-US"/>
        </w:rPr>
        <w:t xml:space="preserve">. </w:t>
      </w:r>
      <w:r w:rsidRPr="00D177CE">
        <w:rPr>
          <w:rFonts w:eastAsia="SimSun"/>
          <w:sz w:val="22"/>
          <w:lang w:val="en-US" w:eastAsia="zh-CN"/>
        </w:rPr>
        <w:t xml:space="preserve">The most common clinical form observed in </w:t>
      </w:r>
      <w:smartTag w:uri="urn:schemas-microsoft-com:office:smarttags" w:element="country-region">
        <w:smartTag w:uri="urn:schemas-microsoft-com:office:smarttags" w:element="place">
          <w:r w:rsidRPr="00D177CE">
            <w:rPr>
              <w:rFonts w:eastAsia="SimSun"/>
              <w:sz w:val="22"/>
              <w:lang w:val="en-US" w:eastAsia="zh-CN"/>
            </w:rPr>
            <w:t>Guatemala</w:t>
          </w:r>
        </w:smartTag>
      </w:smartTag>
      <w:r w:rsidRPr="00D177CE">
        <w:rPr>
          <w:rFonts w:eastAsia="SimSun"/>
          <w:sz w:val="22"/>
          <w:lang w:val="en-US" w:eastAsia="zh-CN"/>
        </w:rPr>
        <w:t xml:space="preserve"> is the single cutaneous ulcer, which can range from a single small ulcer to </w:t>
      </w:r>
      <w:r>
        <w:rPr>
          <w:rFonts w:eastAsia="SimSun"/>
          <w:sz w:val="22"/>
          <w:lang w:val="en-US" w:eastAsia="zh-CN"/>
        </w:rPr>
        <w:t xml:space="preserve">a </w:t>
      </w:r>
      <w:r w:rsidRPr="00D177CE">
        <w:rPr>
          <w:rFonts w:eastAsia="SimSun"/>
          <w:sz w:val="22"/>
          <w:lang w:val="en-US" w:eastAsia="zh-CN"/>
        </w:rPr>
        <w:t xml:space="preserve">large or multiple lesions. Other clinical forms, such as nodule, papule or </w:t>
      </w:r>
      <w:proofErr w:type="spellStart"/>
      <w:r w:rsidRPr="00D177CE">
        <w:rPr>
          <w:rFonts w:eastAsia="SimSun"/>
          <w:sz w:val="22"/>
          <w:lang w:val="en-US" w:eastAsia="zh-CN"/>
        </w:rPr>
        <w:t>verrucum</w:t>
      </w:r>
      <w:proofErr w:type="spellEnd"/>
      <w:r w:rsidRPr="00D177CE">
        <w:rPr>
          <w:rFonts w:eastAsia="SimSun"/>
          <w:sz w:val="22"/>
          <w:lang w:val="en-US" w:eastAsia="zh-CN"/>
        </w:rPr>
        <w:t xml:space="preserve"> lesions, are also observed</w:t>
      </w:r>
      <w:r>
        <w:rPr>
          <w:rFonts w:eastAsia="SimSun"/>
          <w:sz w:val="22"/>
          <w:lang w:val="en-US" w:eastAsia="zh-CN"/>
        </w:rPr>
        <w:t>,</w:t>
      </w:r>
      <w:r w:rsidRPr="00D177CE">
        <w:rPr>
          <w:rFonts w:eastAsia="SimSun"/>
          <w:sz w:val="22"/>
          <w:lang w:val="en-US" w:eastAsia="zh-CN"/>
        </w:rPr>
        <w:t xml:space="preserve"> but much less frequently. Most lesions are located in exposed areas of the body, such as the face, ears, and upper limbs. T</w:t>
      </w:r>
      <w:r w:rsidRPr="00D177CE">
        <w:rPr>
          <w:sz w:val="22"/>
          <w:lang w:val="en-US"/>
        </w:rPr>
        <w:t xml:space="preserve">he majority of cases affect men over 10 years of age </w:t>
      </w:r>
      <w:r>
        <w:rPr>
          <w:sz w:val="22"/>
          <w:lang w:val="en-US"/>
        </w:rPr>
        <w:t>[4]</w:t>
      </w:r>
      <w:r w:rsidRPr="00D177CE">
        <w:rPr>
          <w:sz w:val="22"/>
          <w:lang w:val="en-US"/>
        </w:rPr>
        <w:t xml:space="preserve">. </w:t>
      </w:r>
    </w:p>
    <w:p w:rsidR="00810929" w:rsidRPr="00D177CE" w:rsidRDefault="00810929" w:rsidP="00810929">
      <w:pPr>
        <w:ind w:left="0" w:firstLine="0"/>
        <w:rPr>
          <w:sz w:val="22"/>
          <w:lang w:val="en-US"/>
        </w:rPr>
      </w:pPr>
    </w:p>
    <w:p w:rsidR="00810929" w:rsidRPr="00D177CE" w:rsidRDefault="00810929" w:rsidP="00810929">
      <w:pPr>
        <w:ind w:left="0" w:firstLine="0"/>
        <w:rPr>
          <w:sz w:val="22"/>
          <w:lang w:val="en-US"/>
        </w:rPr>
      </w:pPr>
      <w:r w:rsidRPr="00D177CE">
        <w:rPr>
          <w:sz w:val="22"/>
          <w:lang w:val="en-US"/>
        </w:rPr>
        <w:t>During 2000</w:t>
      </w:r>
      <w:r>
        <w:rPr>
          <w:sz w:val="22"/>
          <w:lang w:val="en-US"/>
        </w:rPr>
        <w:t>-</w:t>
      </w:r>
      <w:r w:rsidRPr="00D177CE">
        <w:rPr>
          <w:sz w:val="22"/>
          <w:lang w:val="en-US"/>
        </w:rPr>
        <w:t>2007, 84.7% (4</w:t>
      </w:r>
      <w:r>
        <w:rPr>
          <w:sz w:val="22"/>
          <w:lang w:val="en-US"/>
        </w:rPr>
        <w:t>,</w:t>
      </w:r>
      <w:r w:rsidRPr="00D177CE">
        <w:rPr>
          <w:sz w:val="22"/>
          <w:lang w:val="en-US"/>
        </w:rPr>
        <w:t>837/5</w:t>
      </w:r>
      <w:r>
        <w:rPr>
          <w:sz w:val="22"/>
          <w:lang w:val="en-US"/>
        </w:rPr>
        <w:t>,</w:t>
      </w:r>
      <w:r w:rsidRPr="00D177CE">
        <w:rPr>
          <w:sz w:val="22"/>
          <w:lang w:val="en-US"/>
        </w:rPr>
        <w:t>709) of cases concerned people aged over 10. A total of 67% (3</w:t>
      </w:r>
      <w:r>
        <w:rPr>
          <w:sz w:val="22"/>
          <w:lang w:val="en-US"/>
        </w:rPr>
        <w:t>,</w:t>
      </w:r>
      <w:r w:rsidRPr="00D177CE">
        <w:rPr>
          <w:sz w:val="22"/>
          <w:lang w:val="en-US"/>
        </w:rPr>
        <w:t>805/5</w:t>
      </w:r>
      <w:r>
        <w:rPr>
          <w:sz w:val="22"/>
          <w:lang w:val="en-US"/>
        </w:rPr>
        <w:t>,</w:t>
      </w:r>
      <w:r w:rsidRPr="00D177CE">
        <w:rPr>
          <w:sz w:val="22"/>
          <w:lang w:val="en-US"/>
        </w:rPr>
        <w:t>709) of patients were male. The factors associated with the disease were</w:t>
      </w:r>
      <w:r>
        <w:rPr>
          <w:sz w:val="22"/>
          <w:lang w:val="en-US"/>
        </w:rPr>
        <w:t>:</w:t>
      </w:r>
      <w:r w:rsidRPr="00D177CE">
        <w:rPr>
          <w:sz w:val="22"/>
          <w:lang w:val="en-US"/>
        </w:rPr>
        <w:t xml:space="preserve"> transmission outside the home (wooded areas), and occurrence in males aged over 10 years (workers in rural and wooded areas) </w:t>
      </w:r>
      <w:r>
        <w:rPr>
          <w:sz w:val="22"/>
          <w:lang w:val="en-US"/>
        </w:rPr>
        <w:t>[5]</w:t>
      </w:r>
      <w:r w:rsidRPr="00D177CE">
        <w:rPr>
          <w:sz w:val="22"/>
          <w:lang w:val="en-US"/>
        </w:rPr>
        <w:t>. In 2008</w:t>
      </w:r>
      <w:r>
        <w:rPr>
          <w:sz w:val="22"/>
          <w:lang w:val="en-US"/>
        </w:rPr>
        <w:t>,</w:t>
      </w:r>
      <w:r w:rsidRPr="00D177CE">
        <w:rPr>
          <w:sz w:val="22"/>
          <w:lang w:val="en-US"/>
        </w:rPr>
        <w:t xml:space="preserve"> the reported incidence for this form of the disease was of 0</w:t>
      </w:r>
      <w:r>
        <w:rPr>
          <w:sz w:val="22"/>
          <w:lang w:val="en-US"/>
        </w:rPr>
        <w:t>.</w:t>
      </w:r>
      <w:r w:rsidRPr="00D177CE">
        <w:rPr>
          <w:sz w:val="22"/>
          <w:lang w:val="en-US"/>
        </w:rPr>
        <w:t>1 cases/100</w:t>
      </w:r>
      <w:r>
        <w:rPr>
          <w:sz w:val="22"/>
          <w:lang w:val="en-US"/>
        </w:rPr>
        <w:t>,</w:t>
      </w:r>
      <w:r w:rsidRPr="00D177CE">
        <w:rPr>
          <w:sz w:val="22"/>
          <w:lang w:val="en-US"/>
        </w:rPr>
        <w:t>000 inhabitants, with 4</w:t>
      </w:r>
      <w:r>
        <w:rPr>
          <w:sz w:val="22"/>
          <w:lang w:val="en-US"/>
        </w:rPr>
        <w:t>,</w:t>
      </w:r>
      <w:r w:rsidRPr="00D177CE">
        <w:rPr>
          <w:sz w:val="22"/>
          <w:lang w:val="en-US"/>
        </w:rPr>
        <w:t>262</w:t>
      </w:r>
      <w:r>
        <w:rPr>
          <w:sz w:val="22"/>
          <w:lang w:val="en-US"/>
        </w:rPr>
        <w:t>,</w:t>
      </w:r>
      <w:r w:rsidRPr="00D177CE">
        <w:rPr>
          <w:sz w:val="22"/>
          <w:lang w:val="en-US"/>
        </w:rPr>
        <w:t xml:space="preserve">387 people at risk in 6 departments. </w:t>
      </w:r>
    </w:p>
    <w:p w:rsidR="00810929" w:rsidRPr="00D177CE" w:rsidRDefault="00810929" w:rsidP="00810929">
      <w:pPr>
        <w:ind w:left="0" w:firstLine="0"/>
        <w:rPr>
          <w:sz w:val="22"/>
          <w:lang w:val="en-US"/>
        </w:rPr>
      </w:pPr>
    </w:p>
    <w:p w:rsidR="00810929" w:rsidRPr="00D177CE" w:rsidRDefault="00810929" w:rsidP="00810929">
      <w:pPr>
        <w:ind w:left="0" w:firstLine="0"/>
        <w:rPr>
          <w:rFonts w:eastAsia="SimSun"/>
          <w:sz w:val="22"/>
          <w:lang w:val="en-US" w:eastAsia="zh-CN"/>
        </w:rPr>
      </w:pPr>
      <w:r w:rsidRPr="00D177CE">
        <w:rPr>
          <w:rFonts w:eastAsia="SimSun"/>
          <w:sz w:val="22"/>
          <w:lang w:val="en-US" w:eastAsia="zh-CN"/>
        </w:rPr>
        <w:t xml:space="preserve">Most cases of human cutaneous leishmaniasis (CL) in </w:t>
      </w:r>
      <w:smartTag w:uri="urn:schemas-microsoft-com:office:smarttags" w:element="place">
        <w:smartTag w:uri="urn:schemas-microsoft-com:office:smarttags" w:element="country-region">
          <w:r w:rsidRPr="00D177CE">
            <w:rPr>
              <w:rFonts w:eastAsia="SimSun"/>
              <w:sz w:val="22"/>
              <w:lang w:val="en-US" w:eastAsia="zh-CN"/>
            </w:rPr>
            <w:t>Guatemala</w:t>
          </w:r>
        </w:smartTag>
      </w:smartTag>
      <w:r w:rsidRPr="00D177CE">
        <w:rPr>
          <w:rFonts w:eastAsia="SimSun"/>
          <w:sz w:val="22"/>
          <w:lang w:val="en-US" w:eastAsia="zh-CN"/>
        </w:rPr>
        <w:t xml:space="preserve"> are caused by one of two species of </w:t>
      </w:r>
      <w:r w:rsidRPr="00D177CE">
        <w:rPr>
          <w:rFonts w:eastAsia="SimSun"/>
          <w:i/>
          <w:iCs/>
          <w:sz w:val="22"/>
          <w:lang w:val="en-US" w:eastAsia="zh-CN"/>
        </w:rPr>
        <w:t>Leishmania</w:t>
      </w:r>
      <w:r w:rsidRPr="00D177CE">
        <w:rPr>
          <w:rFonts w:eastAsia="SimSun"/>
          <w:sz w:val="22"/>
          <w:lang w:val="en-US" w:eastAsia="zh-CN"/>
        </w:rPr>
        <w:t xml:space="preserve">: </w:t>
      </w:r>
      <w:r w:rsidRPr="00D177CE">
        <w:rPr>
          <w:rFonts w:eastAsia="SimSun"/>
          <w:i/>
          <w:iCs/>
          <w:sz w:val="22"/>
          <w:lang w:val="en-US" w:eastAsia="zh-CN"/>
        </w:rPr>
        <w:t>L. braziliensis</w:t>
      </w:r>
      <w:r w:rsidRPr="00D177CE">
        <w:rPr>
          <w:rFonts w:eastAsia="SimSun"/>
          <w:sz w:val="22"/>
          <w:lang w:val="en-US" w:eastAsia="zh-CN"/>
        </w:rPr>
        <w:t xml:space="preserve"> or </w:t>
      </w:r>
      <w:r w:rsidRPr="00D177CE">
        <w:rPr>
          <w:rFonts w:eastAsia="SimSun"/>
          <w:i/>
          <w:iCs/>
          <w:sz w:val="22"/>
          <w:lang w:val="en-US" w:eastAsia="zh-CN"/>
        </w:rPr>
        <w:t>L. mexicana</w:t>
      </w:r>
      <w:r w:rsidRPr="00D177CE">
        <w:rPr>
          <w:rFonts w:eastAsia="SimSun"/>
          <w:sz w:val="22"/>
          <w:lang w:val="en-US" w:eastAsia="zh-CN"/>
        </w:rPr>
        <w:t xml:space="preserve">, both forms having a very distinct natural history. Infections caused by </w:t>
      </w:r>
      <w:r w:rsidRPr="00D177CE">
        <w:rPr>
          <w:rFonts w:eastAsia="SimSun"/>
          <w:i/>
          <w:iCs/>
          <w:sz w:val="22"/>
          <w:lang w:val="en-US" w:eastAsia="zh-CN"/>
        </w:rPr>
        <w:t>L. braziliensis</w:t>
      </w:r>
      <w:r w:rsidRPr="00D177CE">
        <w:rPr>
          <w:rFonts w:eastAsia="SimSun"/>
          <w:sz w:val="22"/>
          <w:lang w:val="en-US" w:eastAsia="zh-CN"/>
        </w:rPr>
        <w:t xml:space="preserve"> grow rapidly, rarely resolve without specific therapy, and often respond rapidly to treatment with antimonials. Infections caused by </w:t>
      </w:r>
      <w:r w:rsidRPr="00D177CE">
        <w:rPr>
          <w:rFonts w:eastAsia="SimSun"/>
          <w:i/>
          <w:iCs/>
          <w:sz w:val="22"/>
          <w:lang w:val="en-US" w:eastAsia="zh-CN"/>
        </w:rPr>
        <w:t>L. mexicana</w:t>
      </w:r>
      <w:r w:rsidRPr="00D177CE">
        <w:rPr>
          <w:rFonts w:eastAsia="SimSun"/>
          <w:sz w:val="22"/>
          <w:lang w:val="en-US" w:eastAsia="zh-CN"/>
        </w:rPr>
        <w:t xml:space="preserve">, in </w:t>
      </w:r>
      <w:r w:rsidRPr="00D177CE">
        <w:rPr>
          <w:rFonts w:eastAsia="SimSun"/>
          <w:sz w:val="22"/>
          <w:lang w:val="en-US" w:eastAsia="zh-CN"/>
        </w:rPr>
        <w:lastRenderedPageBreak/>
        <w:t xml:space="preserve">contrast, grow more slowly, often resolve initially without therapy, but often recur despite treatment with antimonials </w:t>
      </w:r>
      <w:r>
        <w:rPr>
          <w:rFonts w:eastAsia="SimSun"/>
          <w:sz w:val="22"/>
          <w:lang w:val="en-US" w:eastAsia="zh-CN"/>
        </w:rPr>
        <w:t>[4]</w:t>
      </w:r>
      <w:r w:rsidRPr="00D177CE">
        <w:rPr>
          <w:rFonts w:eastAsia="SimSun"/>
          <w:sz w:val="22"/>
          <w:lang w:val="en-US" w:eastAsia="zh-CN"/>
        </w:rPr>
        <w:t>.</w:t>
      </w:r>
    </w:p>
    <w:p w:rsidR="00810929" w:rsidRPr="00D177CE" w:rsidRDefault="00810929" w:rsidP="00810929">
      <w:pPr>
        <w:ind w:left="0" w:firstLine="0"/>
        <w:rPr>
          <w:rFonts w:eastAsia="SimSun"/>
          <w:sz w:val="22"/>
          <w:lang w:val="en-US" w:eastAsia="zh-CN"/>
        </w:rPr>
      </w:pPr>
    </w:p>
    <w:p w:rsidR="00810929" w:rsidRPr="00D177CE" w:rsidRDefault="00810929" w:rsidP="00810929">
      <w:pPr>
        <w:ind w:left="0" w:firstLine="0"/>
        <w:rPr>
          <w:sz w:val="22"/>
          <w:lang w:val="en-US"/>
        </w:rPr>
      </w:pPr>
      <w:r w:rsidRPr="00D177CE">
        <w:rPr>
          <w:sz w:val="22"/>
          <w:lang w:val="en-US"/>
        </w:rPr>
        <w:t>Very few cases of MCL have been documented; 1</w:t>
      </w:r>
      <w:r>
        <w:rPr>
          <w:sz w:val="22"/>
          <w:lang w:val="en-US"/>
        </w:rPr>
        <w:t>,</w:t>
      </w:r>
      <w:r w:rsidRPr="00D177CE">
        <w:rPr>
          <w:sz w:val="22"/>
          <w:lang w:val="en-US"/>
        </w:rPr>
        <w:t>085</w:t>
      </w:r>
      <w:r>
        <w:rPr>
          <w:sz w:val="22"/>
          <w:lang w:val="en-US"/>
        </w:rPr>
        <w:t>,</w:t>
      </w:r>
      <w:r w:rsidRPr="00D177CE">
        <w:rPr>
          <w:sz w:val="22"/>
          <w:lang w:val="en-US"/>
        </w:rPr>
        <w:t>357 people are at risk for MCL, mostly in one department.</w:t>
      </w:r>
    </w:p>
    <w:p w:rsidR="00810929" w:rsidRPr="00D177CE" w:rsidRDefault="00810929" w:rsidP="00810929">
      <w:pPr>
        <w:ind w:left="0" w:firstLine="0"/>
        <w:rPr>
          <w:sz w:val="22"/>
          <w:lang w:val="en-US"/>
        </w:rPr>
      </w:pPr>
    </w:p>
    <w:p w:rsidR="00810929" w:rsidRPr="00D177CE" w:rsidRDefault="00810929" w:rsidP="00810929">
      <w:pPr>
        <w:tabs>
          <w:tab w:val="left" w:pos="-1440"/>
          <w:tab w:val="left" w:pos="-720"/>
          <w:tab w:val="left" w:pos="0"/>
          <w:tab w:val="left" w:pos="403"/>
          <w:tab w:val="left" w:pos="720"/>
        </w:tabs>
        <w:suppressAutoHyphens/>
        <w:spacing w:line="264" w:lineRule="atLeast"/>
        <w:ind w:left="0" w:firstLine="0"/>
        <w:rPr>
          <w:sz w:val="22"/>
          <w:lang w:val="en-US"/>
        </w:rPr>
      </w:pPr>
      <w:r w:rsidRPr="00D177CE">
        <w:rPr>
          <w:sz w:val="22"/>
          <w:lang w:val="en-US"/>
        </w:rPr>
        <w:t xml:space="preserve">In 1949, the first case of visceral leishmaniasis </w:t>
      </w:r>
      <w:r>
        <w:rPr>
          <w:sz w:val="22"/>
          <w:lang w:val="en-US"/>
        </w:rPr>
        <w:t xml:space="preserve">was reported </w:t>
      </w:r>
      <w:r w:rsidRPr="00D177CE">
        <w:rPr>
          <w:sz w:val="22"/>
          <w:lang w:val="en-US"/>
        </w:rPr>
        <w:t>in a two</w:t>
      </w:r>
      <w:r>
        <w:rPr>
          <w:sz w:val="22"/>
          <w:lang w:val="en-US"/>
        </w:rPr>
        <w:t>-</w:t>
      </w:r>
      <w:r w:rsidRPr="00D177CE">
        <w:rPr>
          <w:sz w:val="22"/>
          <w:lang w:val="en-US"/>
        </w:rPr>
        <w:t>year</w:t>
      </w:r>
      <w:r>
        <w:rPr>
          <w:sz w:val="22"/>
          <w:lang w:val="en-US"/>
        </w:rPr>
        <w:t>-</w:t>
      </w:r>
      <w:r w:rsidRPr="00D177CE">
        <w:rPr>
          <w:sz w:val="22"/>
          <w:lang w:val="en-US"/>
        </w:rPr>
        <w:t xml:space="preserve">old child. Incidence of human VL is low in </w:t>
      </w:r>
      <w:smartTag w:uri="urn:schemas-microsoft-com:office:smarttags" w:element="country-region">
        <w:smartTag w:uri="urn:schemas-microsoft-com:office:smarttags" w:element="place">
          <w:r w:rsidRPr="00D177CE">
            <w:rPr>
              <w:sz w:val="22"/>
              <w:lang w:val="en-US"/>
            </w:rPr>
            <w:t>Guatemala</w:t>
          </w:r>
        </w:smartTag>
      </w:smartTag>
      <w:r w:rsidRPr="00D177CE">
        <w:rPr>
          <w:sz w:val="22"/>
          <w:lang w:val="en-US"/>
        </w:rPr>
        <w:t xml:space="preserve"> </w:t>
      </w:r>
      <w:r>
        <w:rPr>
          <w:sz w:val="22"/>
          <w:lang w:val="en-US"/>
        </w:rPr>
        <w:t>[1]</w:t>
      </w:r>
      <w:r w:rsidRPr="00D177CE">
        <w:rPr>
          <w:sz w:val="22"/>
          <w:lang w:val="en-US"/>
        </w:rPr>
        <w:t xml:space="preserve">. From 2000-2007, 67 VL </w:t>
      </w:r>
      <w:r>
        <w:rPr>
          <w:sz w:val="22"/>
          <w:lang w:val="en-US"/>
        </w:rPr>
        <w:t>c</w:t>
      </w:r>
      <w:r w:rsidRPr="00D177CE">
        <w:rPr>
          <w:sz w:val="22"/>
          <w:lang w:val="en-US"/>
        </w:rPr>
        <w:t xml:space="preserve">ases </w:t>
      </w:r>
      <w:r>
        <w:rPr>
          <w:sz w:val="22"/>
          <w:lang w:val="en-US"/>
        </w:rPr>
        <w:t>were</w:t>
      </w:r>
      <w:r w:rsidRPr="00D177CE">
        <w:rPr>
          <w:sz w:val="22"/>
          <w:lang w:val="en-US"/>
        </w:rPr>
        <w:t xml:space="preserve"> diagnosed</w:t>
      </w:r>
      <w:r>
        <w:rPr>
          <w:sz w:val="22"/>
          <w:lang w:val="en-US"/>
        </w:rPr>
        <w:t>.</w:t>
      </w:r>
      <w:r w:rsidRPr="00D177CE">
        <w:rPr>
          <w:sz w:val="22"/>
          <w:lang w:val="en-US"/>
        </w:rPr>
        <w:t xml:space="preserve"> </w:t>
      </w:r>
      <w:r>
        <w:rPr>
          <w:sz w:val="22"/>
          <w:lang w:val="en-US"/>
        </w:rPr>
        <w:t>H</w:t>
      </w:r>
      <w:r w:rsidRPr="00D177CE">
        <w:rPr>
          <w:sz w:val="22"/>
          <w:lang w:val="en-US"/>
        </w:rPr>
        <w:t>owever, 4</w:t>
      </w:r>
      <w:r>
        <w:rPr>
          <w:sz w:val="22"/>
          <w:lang w:val="en-US"/>
        </w:rPr>
        <w:t>,</w:t>
      </w:r>
      <w:r w:rsidRPr="00D177CE">
        <w:rPr>
          <w:sz w:val="22"/>
          <w:lang w:val="en-US"/>
        </w:rPr>
        <w:t>359</w:t>
      </w:r>
      <w:r>
        <w:rPr>
          <w:sz w:val="22"/>
          <w:lang w:val="en-US"/>
        </w:rPr>
        <w:t>,</w:t>
      </w:r>
      <w:r w:rsidRPr="00D177CE">
        <w:rPr>
          <w:sz w:val="22"/>
          <w:lang w:val="en-US"/>
        </w:rPr>
        <w:t>734 people are considered to be at risk for VL in 6 departments of the country. The reported incidence for this form of the disease was 9</w:t>
      </w:r>
      <w:r>
        <w:rPr>
          <w:sz w:val="22"/>
          <w:lang w:val="en-US"/>
        </w:rPr>
        <w:t>.</w:t>
      </w:r>
      <w:r w:rsidRPr="00D177CE">
        <w:rPr>
          <w:sz w:val="22"/>
          <w:lang w:val="en-US"/>
        </w:rPr>
        <w:t>8 cases/100</w:t>
      </w:r>
      <w:r>
        <w:rPr>
          <w:sz w:val="22"/>
          <w:lang w:val="en-US"/>
        </w:rPr>
        <w:t>,</w:t>
      </w:r>
      <w:r w:rsidRPr="00D177CE">
        <w:rPr>
          <w:sz w:val="22"/>
          <w:lang w:val="en-US"/>
        </w:rPr>
        <w:t>000 inhabitants in 2008.</w:t>
      </w:r>
    </w:p>
    <w:p w:rsidR="00810929" w:rsidRPr="00D177CE" w:rsidRDefault="00810929" w:rsidP="00810929">
      <w:pPr>
        <w:ind w:left="0" w:firstLine="0"/>
        <w:rPr>
          <w:sz w:val="22"/>
          <w:lang w:val="en-US"/>
        </w:rPr>
      </w:pPr>
    </w:p>
    <w:p w:rsidR="00810929" w:rsidRPr="00D177CE" w:rsidRDefault="00810929" w:rsidP="00810929">
      <w:pPr>
        <w:rPr>
          <w:sz w:val="22"/>
          <w:lang w:val="en-US"/>
        </w:rPr>
      </w:pPr>
      <w:r w:rsidRPr="00D177CE">
        <w:rPr>
          <w:sz w:val="22"/>
          <w:lang w:val="en-US"/>
        </w:rPr>
        <w:t>There have been no reported cases of HIV-</w:t>
      </w:r>
      <w:r w:rsidRPr="00D177CE">
        <w:rPr>
          <w:i/>
          <w:iCs/>
          <w:sz w:val="22"/>
          <w:lang w:val="en-US"/>
        </w:rPr>
        <w:t>Leishmania</w:t>
      </w:r>
      <w:r w:rsidRPr="00D177CE">
        <w:rPr>
          <w:sz w:val="22"/>
          <w:lang w:val="en-US"/>
        </w:rPr>
        <w:t xml:space="preserve"> co</w:t>
      </w:r>
      <w:r>
        <w:rPr>
          <w:sz w:val="22"/>
          <w:lang w:val="en-US"/>
        </w:rPr>
        <w:t>-</w:t>
      </w:r>
      <w:r w:rsidRPr="00D177CE">
        <w:rPr>
          <w:sz w:val="22"/>
          <w:lang w:val="en-US"/>
        </w:rPr>
        <w:t>infection.</w:t>
      </w:r>
    </w:p>
    <w:p w:rsidR="00810929" w:rsidRPr="00D177CE" w:rsidRDefault="00810929" w:rsidP="00810929">
      <w:pPr>
        <w:rPr>
          <w:sz w:val="22"/>
          <w:lang w:val="en-US"/>
        </w:rPr>
      </w:pPr>
    </w:p>
    <w:p w:rsidR="00810929" w:rsidRPr="00D177CE" w:rsidRDefault="00810929" w:rsidP="00810929">
      <w:pPr>
        <w:rPr>
          <w:sz w:val="22"/>
          <w:lang w:val="en-US"/>
        </w:rPr>
      </w:pPr>
    </w:p>
    <w:p w:rsidR="00810929" w:rsidRPr="00D177CE" w:rsidRDefault="00810929" w:rsidP="00810929">
      <w:pPr>
        <w:rPr>
          <w:b/>
          <w:bCs/>
          <w:sz w:val="22"/>
        </w:rPr>
      </w:pPr>
      <w:r w:rsidRPr="00D177CE">
        <w:rPr>
          <w:b/>
          <w:bCs/>
          <w:sz w:val="22"/>
        </w:rPr>
        <w:t>PARASITOLOGICAL INFORMATION</w:t>
      </w:r>
    </w:p>
    <w:p w:rsidR="00810929" w:rsidRPr="00D177CE" w:rsidRDefault="00810929" w:rsidP="00810929">
      <w:pPr>
        <w:rPr>
          <w:sz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0"/>
        <w:gridCol w:w="1978"/>
        <w:gridCol w:w="2700"/>
        <w:gridCol w:w="2340"/>
      </w:tblGrid>
      <w:tr w:rsidR="00810929" w:rsidRPr="002C75B8" w:rsidTr="00A7768B">
        <w:tc>
          <w:tcPr>
            <w:tcW w:w="2270" w:type="dxa"/>
            <w:vAlign w:val="center"/>
          </w:tcPr>
          <w:p w:rsidR="00810929" w:rsidRDefault="00810929" w:rsidP="00A7768B">
            <w:pPr>
              <w:rPr>
                <w:b/>
                <w:bCs/>
                <w:i/>
                <w:iCs/>
                <w:sz w:val="22"/>
              </w:rPr>
            </w:pPr>
            <w:r w:rsidRPr="002C75B8">
              <w:rPr>
                <w:b/>
                <w:bCs/>
                <w:i/>
                <w:iCs/>
                <w:sz w:val="22"/>
              </w:rPr>
              <w:t>Leishmania</w:t>
            </w:r>
          </w:p>
          <w:p w:rsidR="00810929" w:rsidRPr="002C75B8" w:rsidRDefault="00810929" w:rsidP="00A7768B">
            <w:pPr>
              <w:rPr>
                <w:b/>
                <w:bCs/>
                <w:sz w:val="22"/>
              </w:rPr>
            </w:pPr>
            <w:proofErr w:type="spellStart"/>
            <w:r w:rsidRPr="002C75B8">
              <w:rPr>
                <w:b/>
                <w:bCs/>
                <w:sz w:val="22"/>
              </w:rPr>
              <w:t>species</w:t>
            </w:r>
            <w:proofErr w:type="spellEnd"/>
          </w:p>
        </w:tc>
        <w:tc>
          <w:tcPr>
            <w:tcW w:w="1978" w:type="dxa"/>
            <w:vAlign w:val="center"/>
          </w:tcPr>
          <w:p w:rsidR="00810929" w:rsidRPr="002C75B8" w:rsidRDefault="00810929" w:rsidP="00A7768B">
            <w:pPr>
              <w:rPr>
                <w:b/>
                <w:bCs/>
                <w:sz w:val="22"/>
              </w:rPr>
            </w:pPr>
          </w:p>
          <w:p w:rsidR="00810929" w:rsidRPr="002C75B8" w:rsidRDefault="00810929" w:rsidP="00A7768B">
            <w:pPr>
              <w:rPr>
                <w:b/>
                <w:bCs/>
                <w:sz w:val="22"/>
              </w:rPr>
            </w:pPr>
            <w:proofErr w:type="spellStart"/>
            <w:r w:rsidRPr="002C75B8">
              <w:rPr>
                <w:b/>
                <w:bCs/>
                <w:sz w:val="22"/>
              </w:rPr>
              <w:t>Clinical</w:t>
            </w:r>
            <w:proofErr w:type="spellEnd"/>
            <w:r w:rsidRPr="002C75B8">
              <w:rPr>
                <w:b/>
                <w:bCs/>
                <w:sz w:val="22"/>
              </w:rPr>
              <w:t xml:space="preserve"> </w:t>
            </w:r>
            <w:proofErr w:type="spellStart"/>
            <w:r w:rsidRPr="002C75B8">
              <w:rPr>
                <w:b/>
                <w:bCs/>
                <w:sz w:val="22"/>
              </w:rPr>
              <w:t>form</w:t>
            </w:r>
            <w:proofErr w:type="spellEnd"/>
          </w:p>
        </w:tc>
        <w:tc>
          <w:tcPr>
            <w:tcW w:w="2700" w:type="dxa"/>
            <w:vAlign w:val="center"/>
          </w:tcPr>
          <w:p w:rsidR="00810929" w:rsidRPr="002C75B8" w:rsidRDefault="00810929" w:rsidP="00A7768B">
            <w:pPr>
              <w:rPr>
                <w:b/>
                <w:bCs/>
                <w:sz w:val="22"/>
              </w:rPr>
            </w:pPr>
          </w:p>
          <w:p w:rsidR="00810929" w:rsidRPr="002C75B8" w:rsidRDefault="00810929" w:rsidP="00A7768B">
            <w:pPr>
              <w:rPr>
                <w:b/>
                <w:bCs/>
                <w:sz w:val="22"/>
              </w:rPr>
            </w:pPr>
            <w:r w:rsidRPr="002C75B8">
              <w:rPr>
                <w:b/>
                <w:bCs/>
                <w:sz w:val="22"/>
              </w:rPr>
              <w:t xml:space="preserve">Vector </w:t>
            </w:r>
            <w:proofErr w:type="spellStart"/>
            <w:r w:rsidRPr="002C75B8">
              <w:rPr>
                <w:b/>
                <w:bCs/>
                <w:sz w:val="22"/>
              </w:rPr>
              <w:t>species</w:t>
            </w:r>
            <w:proofErr w:type="spellEnd"/>
          </w:p>
        </w:tc>
        <w:tc>
          <w:tcPr>
            <w:tcW w:w="2340" w:type="dxa"/>
            <w:vAlign w:val="center"/>
          </w:tcPr>
          <w:p w:rsidR="00810929" w:rsidRPr="002C75B8" w:rsidRDefault="00810929" w:rsidP="00A7768B">
            <w:pPr>
              <w:rPr>
                <w:b/>
                <w:bCs/>
                <w:sz w:val="22"/>
              </w:rPr>
            </w:pPr>
          </w:p>
          <w:p w:rsidR="00810929" w:rsidRPr="002C75B8" w:rsidRDefault="00810929" w:rsidP="00A7768B">
            <w:pPr>
              <w:rPr>
                <w:b/>
                <w:bCs/>
                <w:sz w:val="22"/>
              </w:rPr>
            </w:pPr>
            <w:proofErr w:type="spellStart"/>
            <w:r w:rsidRPr="002C75B8">
              <w:rPr>
                <w:b/>
                <w:bCs/>
                <w:sz w:val="22"/>
              </w:rPr>
              <w:t>Reservoirs</w:t>
            </w:r>
            <w:proofErr w:type="spellEnd"/>
          </w:p>
        </w:tc>
      </w:tr>
      <w:tr w:rsidR="00810929" w:rsidRPr="002C75B8" w:rsidTr="00A7768B">
        <w:tc>
          <w:tcPr>
            <w:tcW w:w="2270" w:type="dxa"/>
            <w:vAlign w:val="center"/>
          </w:tcPr>
          <w:p w:rsidR="00810929" w:rsidRDefault="00810929" w:rsidP="00A7768B">
            <w:pPr>
              <w:rPr>
                <w:i/>
                <w:iCs/>
                <w:sz w:val="22"/>
                <w:lang w:val="en-US"/>
              </w:rPr>
            </w:pPr>
          </w:p>
          <w:p w:rsidR="00810929" w:rsidRDefault="00810929" w:rsidP="00A7768B">
            <w:pPr>
              <w:rPr>
                <w:i/>
                <w:iCs/>
                <w:sz w:val="22"/>
                <w:lang w:val="en-US"/>
              </w:rPr>
            </w:pPr>
          </w:p>
          <w:p w:rsidR="00810929" w:rsidRPr="009F72CB" w:rsidRDefault="00810929" w:rsidP="00A7768B">
            <w:pPr>
              <w:rPr>
                <w:sz w:val="22"/>
              </w:rPr>
            </w:pPr>
            <w:r w:rsidRPr="009F72CB">
              <w:rPr>
                <w:i/>
                <w:iCs/>
                <w:sz w:val="22"/>
                <w:lang w:val="en-US"/>
              </w:rPr>
              <w:t>L. braziliensis</w:t>
            </w:r>
          </w:p>
        </w:tc>
        <w:tc>
          <w:tcPr>
            <w:tcW w:w="1978" w:type="dxa"/>
            <w:vAlign w:val="center"/>
          </w:tcPr>
          <w:p w:rsidR="00810929" w:rsidRPr="009F72CB" w:rsidRDefault="00810929" w:rsidP="00A7768B">
            <w:pPr>
              <w:rPr>
                <w:sz w:val="22"/>
                <w:lang w:val="en-US"/>
              </w:rPr>
            </w:pPr>
          </w:p>
          <w:p w:rsidR="00810929" w:rsidRPr="009F72CB" w:rsidRDefault="00810929" w:rsidP="00A7768B">
            <w:pPr>
              <w:rPr>
                <w:sz w:val="22"/>
                <w:lang w:val="en-US"/>
              </w:rPr>
            </w:pPr>
            <w:r w:rsidRPr="009F72CB">
              <w:rPr>
                <w:sz w:val="22"/>
                <w:lang w:val="en-US"/>
              </w:rPr>
              <w:t>ZCL, MCL</w:t>
            </w:r>
          </w:p>
        </w:tc>
        <w:tc>
          <w:tcPr>
            <w:tcW w:w="2700" w:type="dxa"/>
            <w:vAlign w:val="center"/>
          </w:tcPr>
          <w:p w:rsidR="00810929" w:rsidRDefault="00810929" w:rsidP="00A7768B">
            <w:pPr>
              <w:rPr>
                <w:i/>
                <w:iCs/>
                <w:sz w:val="22"/>
                <w:lang w:val="fi-FI"/>
              </w:rPr>
            </w:pPr>
            <w:r w:rsidRPr="009F72CB">
              <w:rPr>
                <w:i/>
                <w:iCs/>
                <w:sz w:val="22"/>
                <w:lang w:val="fi-FI"/>
              </w:rPr>
              <w:t>Lu. ovallesi,</w:t>
            </w:r>
          </w:p>
          <w:p w:rsidR="00810929" w:rsidRDefault="00810929" w:rsidP="00A7768B">
            <w:pPr>
              <w:rPr>
                <w:i/>
                <w:iCs/>
                <w:sz w:val="22"/>
                <w:lang w:val="fi-FI"/>
              </w:rPr>
            </w:pPr>
            <w:r w:rsidRPr="009F72CB">
              <w:rPr>
                <w:i/>
                <w:iCs/>
                <w:sz w:val="22"/>
                <w:lang w:val="fi-FI"/>
              </w:rPr>
              <w:t xml:space="preserve">Lu. </w:t>
            </w:r>
            <w:r>
              <w:rPr>
                <w:i/>
                <w:iCs/>
                <w:sz w:val="22"/>
                <w:lang w:val="fi-FI"/>
              </w:rPr>
              <w:t>ylephiletor,</w:t>
            </w:r>
          </w:p>
          <w:p w:rsidR="00810929" w:rsidRPr="00F324FE" w:rsidRDefault="00810929" w:rsidP="00A7768B">
            <w:pPr>
              <w:rPr>
                <w:sz w:val="22"/>
                <w:lang w:val="fi-FI"/>
              </w:rPr>
            </w:pPr>
            <w:r w:rsidRPr="009F72CB">
              <w:rPr>
                <w:i/>
                <w:iCs/>
                <w:sz w:val="22"/>
                <w:lang w:val="fi-FI"/>
              </w:rPr>
              <w:t>Lu. panamensis</w:t>
            </w:r>
          </w:p>
        </w:tc>
        <w:tc>
          <w:tcPr>
            <w:tcW w:w="2340" w:type="dxa"/>
            <w:vAlign w:val="center"/>
          </w:tcPr>
          <w:p w:rsidR="00810929" w:rsidRPr="0064728C" w:rsidRDefault="00810929" w:rsidP="00A7768B">
            <w:pPr>
              <w:rPr>
                <w:i/>
                <w:iCs/>
                <w:sz w:val="22"/>
                <w:lang w:val="en-US"/>
              </w:rPr>
            </w:pPr>
            <w:proofErr w:type="spellStart"/>
            <w:r w:rsidRPr="0064728C">
              <w:rPr>
                <w:i/>
                <w:iCs/>
                <w:sz w:val="22"/>
                <w:lang w:val="en-US"/>
              </w:rPr>
              <w:t>Rattus</w:t>
            </w:r>
            <w:proofErr w:type="spellEnd"/>
            <w:r w:rsidRPr="0064728C">
              <w:rPr>
                <w:i/>
                <w:iCs/>
                <w:sz w:val="22"/>
                <w:lang w:val="en-US"/>
              </w:rPr>
              <w:t xml:space="preserve"> </w:t>
            </w:r>
            <w:proofErr w:type="spellStart"/>
            <w:r w:rsidRPr="0064728C">
              <w:rPr>
                <w:i/>
                <w:iCs/>
                <w:sz w:val="22"/>
                <w:lang w:val="en-US"/>
              </w:rPr>
              <w:t>rattus</w:t>
            </w:r>
            <w:proofErr w:type="spellEnd"/>
          </w:p>
        </w:tc>
      </w:tr>
      <w:tr w:rsidR="00810929" w:rsidRPr="002C75B8" w:rsidTr="00A7768B">
        <w:tc>
          <w:tcPr>
            <w:tcW w:w="2270" w:type="dxa"/>
            <w:vAlign w:val="center"/>
          </w:tcPr>
          <w:p w:rsidR="00810929" w:rsidRPr="0064728C" w:rsidRDefault="00810929" w:rsidP="00A7768B">
            <w:pPr>
              <w:rPr>
                <w:i/>
                <w:iCs/>
                <w:sz w:val="22"/>
              </w:rPr>
            </w:pPr>
            <w:r w:rsidRPr="0064728C">
              <w:rPr>
                <w:i/>
                <w:iCs/>
                <w:sz w:val="22"/>
              </w:rPr>
              <w:t>L. panamensis</w:t>
            </w:r>
          </w:p>
        </w:tc>
        <w:tc>
          <w:tcPr>
            <w:tcW w:w="1978" w:type="dxa"/>
            <w:vAlign w:val="center"/>
          </w:tcPr>
          <w:p w:rsidR="00810929" w:rsidRPr="009F72CB" w:rsidRDefault="00810929" w:rsidP="00A7768B">
            <w:pPr>
              <w:rPr>
                <w:sz w:val="22"/>
              </w:rPr>
            </w:pPr>
            <w:r>
              <w:rPr>
                <w:sz w:val="22"/>
              </w:rPr>
              <w:t xml:space="preserve">ZCL, MCL </w:t>
            </w:r>
          </w:p>
        </w:tc>
        <w:tc>
          <w:tcPr>
            <w:tcW w:w="2700" w:type="dxa"/>
            <w:vAlign w:val="center"/>
          </w:tcPr>
          <w:p w:rsidR="00810929" w:rsidRPr="0064728C" w:rsidRDefault="00810929" w:rsidP="00A7768B">
            <w:pPr>
              <w:rPr>
                <w:i/>
                <w:iCs/>
                <w:sz w:val="22"/>
              </w:rPr>
            </w:pPr>
            <w:r w:rsidRPr="0064728C">
              <w:rPr>
                <w:i/>
                <w:iCs/>
                <w:sz w:val="22"/>
              </w:rPr>
              <w:t xml:space="preserve">Lu. </w:t>
            </w:r>
            <w:proofErr w:type="spellStart"/>
            <w:r w:rsidRPr="0064728C">
              <w:rPr>
                <w:i/>
                <w:iCs/>
                <w:sz w:val="22"/>
              </w:rPr>
              <w:t>ylephiletor</w:t>
            </w:r>
            <w:proofErr w:type="spellEnd"/>
            <w:r w:rsidRPr="0064728C">
              <w:rPr>
                <w:i/>
                <w:iCs/>
                <w:sz w:val="22"/>
              </w:rPr>
              <w:t>,</w:t>
            </w:r>
          </w:p>
          <w:p w:rsidR="00810929" w:rsidRPr="0064728C" w:rsidRDefault="00810929" w:rsidP="00A7768B">
            <w:pPr>
              <w:rPr>
                <w:i/>
                <w:iCs/>
                <w:sz w:val="22"/>
              </w:rPr>
            </w:pPr>
            <w:r w:rsidRPr="0064728C">
              <w:rPr>
                <w:i/>
                <w:iCs/>
                <w:sz w:val="22"/>
              </w:rPr>
              <w:t>Lu. panamensis,</w:t>
            </w:r>
          </w:p>
          <w:p w:rsidR="00810929" w:rsidRPr="0064728C" w:rsidRDefault="00810929" w:rsidP="00A7768B">
            <w:pPr>
              <w:rPr>
                <w:sz w:val="22"/>
              </w:rPr>
            </w:pPr>
            <w:r w:rsidRPr="0064728C">
              <w:rPr>
                <w:i/>
                <w:iCs/>
                <w:sz w:val="22"/>
              </w:rPr>
              <w:t xml:space="preserve">Lu. </w:t>
            </w:r>
            <w:proofErr w:type="spellStart"/>
            <w:r>
              <w:rPr>
                <w:i/>
                <w:iCs/>
                <w:sz w:val="22"/>
              </w:rPr>
              <w:t>trapidoi</w:t>
            </w:r>
            <w:proofErr w:type="spellEnd"/>
          </w:p>
        </w:tc>
        <w:tc>
          <w:tcPr>
            <w:tcW w:w="2340" w:type="dxa"/>
            <w:vAlign w:val="center"/>
          </w:tcPr>
          <w:p w:rsidR="00810929" w:rsidRPr="009F72CB" w:rsidRDefault="00810929" w:rsidP="00A7768B">
            <w:pPr>
              <w:rPr>
                <w:sz w:val="22"/>
              </w:rPr>
            </w:pPr>
            <w:proofErr w:type="spellStart"/>
            <w:r>
              <w:rPr>
                <w:sz w:val="22"/>
              </w:rPr>
              <w:t>Unknown</w:t>
            </w:r>
            <w:proofErr w:type="spellEnd"/>
          </w:p>
        </w:tc>
      </w:tr>
      <w:tr w:rsidR="00810929" w:rsidRPr="002C75B8" w:rsidTr="00A7768B">
        <w:tc>
          <w:tcPr>
            <w:tcW w:w="2270" w:type="dxa"/>
            <w:vAlign w:val="center"/>
          </w:tcPr>
          <w:p w:rsidR="00810929" w:rsidRPr="001D6FE3" w:rsidRDefault="00810929" w:rsidP="00A7768B">
            <w:pPr>
              <w:rPr>
                <w:i/>
                <w:sz w:val="22"/>
              </w:rPr>
            </w:pPr>
            <w:r w:rsidRPr="001D6FE3">
              <w:rPr>
                <w:i/>
                <w:sz w:val="22"/>
              </w:rPr>
              <w:t>L. mexicana</w:t>
            </w:r>
          </w:p>
        </w:tc>
        <w:tc>
          <w:tcPr>
            <w:tcW w:w="1978" w:type="dxa"/>
            <w:vAlign w:val="center"/>
          </w:tcPr>
          <w:p w:rsidR="00810929" w:rsidRPr="009F72CB" w:rsidRDefault="00810929" w:rsidP="00A7768B">
            <w:pPr>
              <w:rPr>
                <w:sz w:val="22"/>
              </w:rPr>
            </w:pPr>
            <w:r w:rsidRPr="009F72CB">
              <w:rPr>
                <w:sz w:val="22"/>
                <w:lang w:val="en-US"/>
              </w:rPr>
              <w:t>ZCL</w:t>
            </w:r>
            <w:r>
              <w:rPr>
                <w:sz w:val="22"/>
                <w:lang w:val="en-US"/>
              </w:rPr>
              <w:t>,</w:t>
            </w:r>
            <w:r w:rsidRPr="009F72CB">
              <w:rPr>
                <w:sz w:val="22"/>
                <w:lang w:val="en-US"/>
              </w:rPr>
              <w:t xml:space="preserve"> DCL</w:t>
            </w:r>
          </w:p>
        </w:tc>
        <w:tc>
          <w:tcPr>
            <w:tcW w:w="2700" w:type="dxa"/>
            <w:vAlign w:val="center"/>
          </w:tcPr>
          <w:p w:rsidR="00810929" w:rsidRPr="0064728C" w:rsidRDefault="00810929" w:rsidP="00A7768B">
            <w:pPr>
              <w:rPr>
                <w:i/>
                <w:iCs/>
                <w:sz w:val="22"/>
              </w:rPr>
            </w:pPr>
            <w:r w:rsidRPr="0064728C">
              <w:rPr>
                <w:i/>
                <w:iCs/>
                <w:sz w:val="22"/>
              </w:rPr>
              <w:t xml:space="preserve">Lu. olmeca </w:t>
            </w:r>
            <w:proofErr w:type="spellStart"/>
            <w:r w:rsidRPr="0064728C">
              <w:rPr>
                <w:i/>
                <w:iCs/>
                <w:sz w:val="22"/>
              </w:rPr>
              <w:t>olmeca</w:t>
            </w:r>
            <w:proofErr w:type="spellEnd"/>
          </w:p>
        </w:tc>
        <w:tc>
          <w:tcPr>
            <w:tcW w:w="2340" w:type="dxa"/>
            <w:vAlign w:val="center"/>
          </w:tcPr>
          <w:p w:rsidR="00810929" w:rsidRPr="009F72CB" w:rsidRDefault="00810929" w:rsidP="00A7768B">
            <w:pPr>
              <w:rPr>
                <w:sz w:val="22"/>
              </w:rPr>
            </w:pPr>
            <w:proofErr w:type="spellStart"/>
            <w:r>
              <w:rPr>
                <w:sz w:val="22"/>
              </w:rPr>
              <w:t>Unknown</w:t>
            </w:r>
            <w:proofErr w:type="spellEnd"/>
          </w:p>
        </w:tc>
      </w:tr>
      <w:tr w:rsidR="00810929" w:rsidRPr="002C75B8" w:rsidTr="00A7768B">
        <w:tc>
          <w:tcPr>
            <w:tcW w:w="2270" w:type="dxa"/>
            <w:vAlign w:val="center"/>
          </w:tcPr>
          <w:p w:rsidR="00810929" w:rsidRPr="009F72CB" w:rsidRDefault="00810929" w:rsidP="00A7768B">
            <w:pPr>
              <w:rPr>
                <w:sz w:val="22"/>
              </w:rPr>
            </w:pPr>
            <w:r w:rsidRPr="009F72CB">
              <w:rPr>
                <w:i/>
                <w:iCs/>
                <w:sz w:val="22"/>
                <w:lang w:val="en-US"/>
              </w:rPr>
              <w:t>L. infantum</w:t>
            </w:r>
          </w:p>
        </w:tc>
        <w:tc>
          <w:tcPr>
            <w:tcW w:w="1978" w:type="dxa"/>
            <w:vAlign w:val="center"/>
          </w:tcPr>
          <w:p w:rsidR="00810929" w:rsidRPr="009F72CB" w:rsidRDefault="00810929" w:rsidP="00A7768B">
            <w:pPr>
              <w:rPr>
                <w:sz w:val="22"/>
                <w:lang w:val="en-US"/>
              </w:rPr>
            </w:pPr>
            <w:r w:rsidRPr="009F72CB">
              <w:rPr>
                <w:sz w:val="22"/>
                <w:lang w:val="en-US"/>
              </w:rPr>
              <w:t>ZVL</w:t>
            </w:r>
          </w:p>
        </w:tc>
        <w:tc>
          <w:tcPr>
            <w:tcW w:w="2700" w:type="dxa"/>
            <w:vAlign w:val="center"/>
          </w:tcPr>
          <w:p w:rsidR="00810929" w:rsidRDefault="00810929" w:rsidP="00A7768B">
            <w:pPr>
              <w:rPr>
                <w:i/>
                <w:iCs/>
                <w:sz w:val="22"/>
                <w:lang w:val="en-US"/>
              </w:rPr>
            </w:pPr>
            <w:r w:rsidRPr="009F72CB">
              <w:rPr>
                <w:i/>
                <w:iCs/>
                <w:sz w:val="22"/>
                <w:lang w:val="en-US"/>
              </w:rPr>
              <w:t xml:space="preserve">Lu. </w:t>
            </w:r>
            <w:proofErr w:type="spellStart"/>
            <w:r w:rsidRPr="009F72CB">
              <w:rPr>
                <w:i/>
                <w:iCs/>
                <w:sz w:val="22"/>
                <w:lang w:val="en-US"/>
              </w:rPr>
              <w:t>longipalpis</w:t>
            </w:r>
            <w:proofErr w:type="spellEnd"/>
            <w:r w:rsidRPr="009F72CB">
              <w:rPr>
                <w:i/>
                <w:iCs/>
                <w:sz w:val="22"/>
                <w:lang w:val="en-US"/>
              </w:rPr>
              <w:t xml:space="preserve">, </w:t>
            </w:r>
          </w:p>
          <w:p w:rsidR="00810929" w:rsidRPr="009F72CB" w:rsidRDefault="00810929" w:rsidP="00A7768B">
            <w:pPr>
              <w:rPr>
                <w:i/>
                <w:iCs/>
                <w:sz w:val="22"/>
                <w:lang w:val="en-US"/>
              </w:rPr>
            </w:pPr>
            <w:r w:rsidRPr="009F72CB">
              <w:rPr>
                <w:i/>
                <w:iCs/>
                <w:sz w:val="22"/>
                <w:lang w:val="en-US"/>
              </w:rPr>
              <w:t xml:space="preserve">Lu. </w:t>
            </w:r>
            <w:proofErr w:type="spellStart"/>
            <w:r w:rsidRPr="009F72CB">
              <w:rPr>
                <w:i/>
                <w:iCs/>
                <w:sz w:val="22"/>
                <w:lang w:val="en-US"/>
              </w:rPr>
              <w:t>evansi</w:t>
            </w:r>
            <w:proofErr w:type="spellEnd"/>
            <w:r w:rsidRPr="009F72CB">
              <w:rPr>
                <w:i/>
                <w:iCs/>
                <w:sz w:val="22"/>
                <w:lang w:val="en-US"/>
              </w:rPr>
              <w:t xml:space="preserve">, </w:t>
            </w:r>
          </w:p>
          <w:p w:rsidR="00810929" w:rsidRPr="00F324FE" w:rsidRDefault="00810929" w:rsidP="00A7768B">
            <w:pPr>
              <w:rPr>
                <w:sz w:val="22"/>
                <w:lang w:val="en-US"/>
              </w:rPr>
            </w:pPr>
            <w:r w:rsidRPr="009F72CB">
              <w:rPr>
                <w:i/>
                <w:iCs/>
                <w:sz w:val="22"/>
                <w:lang w:val="en-US"/>
              </w:rPr>
              <w:t xml:space="preserve">Lu. </w:t>
            </w:r>
            <w:proofErr w:type="spellStart"/>
            <w:r w:rsidRPr="009F72CB">
              <w:rPr>
                <w:i/>
                <w:iCs/>
                <w:sz w:val="22"/>
                <w:lang w:val="en-US"/>
              </w:rPr>
              <w:t>pseudolongipalpis</w:t>
            </w:r>
            <w:proofErr w:type="spellEnd"/>
          </w:p>
        </w:tc>
        <w:tc>
          <w:tcPr>
            <w:tcW w:w="2340" w:type="dxa"/>
            <w:vAlign w:val="center"/>
          </w:tcPr>
          <w:p w:rsidR="00810929" w:rsidRPr="000B3E78" w:rsidRDefault="00810929" w:rsidP="00A7768B">
            <w:pPr>
              <w:rPr>
                <w:i/>
                <w:iCs/>
                <w:sz w:val="22"/>
              </w:rPr>
            </w:pPr>
            <w:proofErr w:type="spellStart"/>
            <w:r w:rsidRPr="000B3E78">
              <w:rPr>
                <w:i/>
                <w:iCs/>
                <w:sz w:val="22"/>
                <w:lang w:val="en-US"/>
              </w:rPr>
              <w:t>Canis</w:t>
            </w:r>
            <w:proofErr w:type="spellEnd"/>
            <w:r w:rsidRPr="000B3E78">
              <w:rPr>
                <w:i/>
                <w:iCs/>
                <w:sz w:val="22"/>
                <w:lang w:val="en-US"/>
              </w:rPr>
              <w:t xml:space="preserve"> </w:t>
            </w:r>
            <w:proofErr w:type="spellStart"/>
            <w:r w:rsidRPr="000B3E78">
              <w:rPr>
                <w:i/>
                <w:iCs/>
                <w:sz w:val="22"/>
                <w:lang w:val="en-US"/>
              </w:rPr>
              <w:t>familiaris</w:t>
            </w:r>
            <w:proofErr w:type="spellEnd"/>
          </w:p>
        </w:tc>
      </w:tr>
    </w:tbl>
    <w:p w:rsidR="00810929" w:rsidRDefault="00810929" w:rsidP="00810929">
      <w:pPr>
        <w:rPr>
          <w:b/>
          <w:bCs/>
          <w:sz w:val="22"/>
        </w:rPr>
      </w:pPr>
    </w:p>
    <w:p w:rsidR="00810929" w:rsidRDefault="00810929" w:rsidP="00810929">
      <w:pPr>
        <w:rPr>
          <w:b/>
          <w:bCs/>
          <w:sz w:val="22"/>
        </w:rPr>
      </w:pPr>
    </w:p>
    <w:p w:rsidR="00810929" w:rsidRPr="00D177CE" w:rsidRDefault="00810929" w:rsidP="00810929">
      <w:pPr>
        <w:rPr>
          <w:b/>
          <w:bCs/>
          <w:sz w:val="22"/>
          <w:lang w:val="en-GB"/>
        </w:rPr>
      </w:pPr>
      <w:r w:rsidRPr="00D177CE">
        <w:rPr>
          <w:b/>
          <w:bCs/>
          <w:sz w:val="22"/>
          <w:lang w:val="en-GB"/>
        </w:rPr>
        <w:t>MAPS AND TRENDS</w:t>
      </w:r>
    </w:p>
    <w:p w:rsidR="00810929" w:rsidRPr="00D177CE" w:rsidRDefault="00810929" w:rsidP="00810929">
      <w:pPr>
        <w:rPr>
          <w:b/>
          <w:bCs/>
          <w:sz w:val="22"/>
          <w:lang w:val="en-GB"/>
        </w:rPr>
      </w:pPr>
    </w:p>
    <w:p w:rsidR="00810929" w:rsidRPr="00D177CE" w:rsidRDefault="00810929" w:rsidP="00810929">
      <w:pPr>
        <w:rPr>
          <w:b/>
          <w:bCs/>
          <w:sz w:val="22"/>
          <w:lang w:val="en-GB"/>
        </w:rPr>
      </w:pPr>
      <w:r w:rsidRPr="00D177CE">
        <w:rPr>
          <w:b/>
          <w:bCs/>
          <w:sz w:val="22"/>
          <w:lang w:val="en-GB"/>
        </w:rPr>
        <w:t>Cutaneous leishmaniasis</w:t>
      </w:r>
    </w:p>
    <w:p w:rsidR="00810929" w:rsidRPr="00D177CE" w:rsidRDefault="00810929" w:rsidP="00810929">
      <w:pPr>
        <w:rPr>
          <w:b/>
          <w:bCs/>
          <w:sz w:val="22"/>
          <w:lang w:val="en-GB"/>
        </w:rPr>
      </w:pPr>
      <w:r>
        <w:rPr>
          <w:b/>
          <w:bCs/>
          <w:noProof/>
          <w:sz w:val="22"/>
          <w:lang w:val="en-US"/>
        </w:rPr>
        <w:drawing>
          <wp:anchor distT="0" distB="0" distL="114300" distR="114300" simplePos="0" relativeHeight="251662336" behindDoc="0" locked="0" layoutInCell="1" allowOverlap="1">
            <wp:simplePos x="0" y="0"/>
            <wp:positionH relativeFrom="column">
              <wp:posOffset>3086100</wp:posOffset>
            </wp:positionH>
            <wp:positionV relativeFrom="paragraph">
              <wp:posOffset>87630</wp:posOffset>
            </wp:positionV>
            <wp:extent cx="3337560" cy="2362200"/>
            <wp:effectExtent l="19050" t="0" r="0" b="0"/>
            <wp:wrapNone/>
            <wp:docPr id="6" name="Picture 6" descr="GTCLIRm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TCLIRmod"/>
                    <pic:cNvPicPr>
                      <a:picLocks noChangeAspect="1" noChangeArrowheads="1"/>
                    </pic:cNvPicPr>
                  </pic:nvPicPr>
                  <pic:blipFill>
                    <a:blip r:embed="rId6" cstate="print"/>
                    <a:srcRect/>
                    <a:stretch>
                      <a:fillRect/>
                    </a:stretch>
                  </pic:blipFill>
                  <pic:spPr bwMode="auto">
                    <a:xfrm>
                      <a:off x="0" y="0"/>
                      <a:ext cx="3337560" cy="2362200"/>
                    </a:xfrm>
                    <a:prstGeom prst="rect">
                      <a:avLst/>
                    </a:prstGeom>
                    <a:noFill/>
                  </pic:spPr>
                </pic:pic>
              </a:graphicData>
            </a:graphic>
          </wp:anchor>
        </w:drawing>
      </w:r>
      <w:r>
        <w:rPr>
          <w:b/>
          <w:bCs/>
          <w:noProof/>
          <w:sz w:val="22"/>
          <w:lang w:val="en-US"/>
        </w:rPr>
        <w:drawing>
          <wp:anchor distT="0" distB="0" distL="114300" distR="114300" simplePos="0" relativeHeight="251661312" behindDoc="0" locked="0" layoutInCell="1" allowOverlap="1">
            <wp:simplePos x="0" y="0"/>
            <wp:positionH relativeFrom="column">
              <wp:posOffset>0</wp:posOffset>
            </wp:positionH>
            <wp:positionV relativeFrom="paragraph">
              <wp:posOffset>87630</wp:posOffset>
            </wp:positionV>
            <wp:extent cx="3489325" cy="2466340"/>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3489325" cy="2466340"/>
                    </a:xfrm>
                    <a:prstGeom prst="rect">
                      <a:avLst/>
                    </a:prstGeom>
                    <a:noFill/>
                    <a:ln w="9525">
                      <a:noFill/>
                      <a:miter lim="800000"/>
                      <a:headEnd/>
                      <a:tailEnd/>
                    </a:ln>
                  </pic:spPr>
                </pic:pic>
              </a:graphicData>
            </a:graphic>
          </wp:anchor>
        </w:drawing>
      </w:r>
    </w:p>
    <w:p w:rsidR="00810929" w:rsidRPr="00D177CE" w:rsidRDefault="00810929" w:rsidP="00810929">
      <w:pPr>
        <w:rPr>
          <w:b/>
          <w:bCs/>
          <w:sz w:val="22"/>
          <w:lang w:val="en-GB"/>
        </w:rPr>
      </w:pPr>
    </w:p>
    <w:p w:rsidR="00810929" w:rsidRPr="00D177CE" w:rsidRDefault="00810929" w:rsidP="00810929">
      <w:pPr>
        <w:rPr>
          <w:b/>
          <w:bCs/>
          <w:sz w:val="22"/>
          <w:lang w:val="en-GB"/>
        </w:rPr>
      </w:pPr>
    </w:p>
    <w:p w:rsidR="00810929" w:rsidRPr="00D177CE" w:rsidRDefault="00810929" w:rsidP="00810929">
      <w:pPr>
        <w:rPr>
          <w:b/>
          <w:bCs/>
          <w:sz w:val="22"/>
          <w:lang w:val="en-GB"/>
        </w:rPr>
      </w:pPr>
    </w:p>
    <w:p w:rsidR="00810929" w:rsidRPr="00D177CE" w:rsidRDefault="00810929" w:rsidP="00810929">
      <w:pPr>
        <w:rPr>
          <w:b/>
          <w:bCs/>
          <w:sz w:val="22"/>
          <w:lang w:val="en-GB"/>
        </w:rPr>
      </w:pPr>
    </w:p>
    <w:p w:rsidR="00810929" w:rsidRPr="00D177CE" w:rsidRDefault="00810929" w:rsidP="00810929">
      <w:pPr>
        <w:rPr>
          <w:b/>
          <w:bCs/>
          <w:sz w:val="22"/>
          <w:lang w:val="en-GB"/>
        </w:rPr>
      </w:pPr>
    </w:p>
    <w:p w:rsidR="00810929" w:rsidRPr="00D177CE" w:rsidRDefault="00810929" w:rsidP="00810929">
      <w:pPr>
        <w:rPr>
          <w:lang w:val="en-GB"/>
        </w:rPr>
      </w:pPr>
    </w:p>
    <w:p w:rsidR="00810929" w:rsidRPr="00D177CE" w:rsidRDefault="00810929" w:rsidP="00810929">
      <w:pPr>
        <w:rPr>
          <w:lang w:val="en-GB"/>
        </w:rPr>
      </w:pPr>
    </w:p>
    <w:p w:rsidR="00810929" w:rsidRPr="00D177CE" w:rsidRDefault="00810929" w:rsidP="00810929">
      <w:pPr>
        <w:rPr>
          <w:lang w:val="en-GB"/>
        </w:rPr>
      </w:pPr>
    </w:p>
    <w:p w:rsidR="00810929" w:rsidRPr="00D177CE" w:rsidRDefault="00810929" w:rsidP="00810929">
      <w:pPr>
        <w:rPr>
          <w:lang w:val="en-GB"/>
        </w:rPr>
      </w:pPr>
    </w:p>
    <w:p w:rsidR="00810929" w:rsidRPr="00D177CE" w:rsidRDefault="00810929" w:rsidP="00810929">
      <w:pPr>
        <w:rPr>
          <w:lang w:val="en-GB"/>
        </w:rPr>
      </w:pPr>
    </w:p>
    <w:p w:rsidR="00810929" w:rsidRPr="00D177CE" w:rsidRDefault="00810929" w:rsidP="00810929">
      <w:pPr>
        <w:rPr>
          <w:lang w:val="en-GB"/>
        </w:rPr>
      </w:pPr>
    </w:p>
    <w:p w:rsidR="00810929" w:rsidRPr="00D177CE" w:rsidRDefault="00810929" w:rsidP="00810929">
      <w:pPr>
        <w:rPr>
          <w:lang w:val="en-GB"/>
        </w:rPr>
      </w:pPr>
    </w:p>
    <w:p w:rsidR="00810929" w:rsidRPr="00D177CE" w:rsidRDefault="00810929" w:rsidP="00810929">
      <w:pPr>
        <w:rPr>
          <w:lang w:val="en-GB"/>
        </w:rPr>
      </w:pPr>
    </w:p>
    <w:p w:rsidR="00810929" w:rsidRDefault="00810929" w:rsidP="00810929">
      <w:pPr>
        <w:rPr>
          <w:b/>
          <w:bCs/>
          <w:sz w:val="22"/>
          <w:lang w:val="en-GB"/>
        </w:rPr>
      </w:pPr>
      <w:r w:rsidRPr="00D177CE">
        <w:rPr>
          <w:b/>
          <w:bCs/>
          <w:sz w:val="22"/>
          <w:lang w:val="en-GB"/>
        </w:rPr>
        <w:t>Visceral leishmaniasis</w:t>
      </w:r>
    </w:p>
    <w:p w:rsidR="00810929" w:rsidRDefault="00810929" w:rsidP="00810929">
      <w:pPr>
        <w:rPr>
          <w:b/>
          <w:bCs/>
          <w:sz w:val="22"/>
          <w:lang w:val="en-GB"/>
        </w:rPr>
      </w:pPr>
    </w:p>
    <w:p w:rsidR="00810929" w:rsidRDefault="00810929" w:rsidP="00810929">
      <w:pPr>
        <w:rPr>
          <w:b/>
          <w:bCs/>
          <w:sz w:val="22"/>
          <w:lang w:val="en-GB"/>
        </w:rPr>
      </w:pPr>
    </w:p>
    <w:p w:rsidR="00810929" w:rsidRPr="00D177CE" w:rsidRDefault="00810929" w:rsidP="00810929">
      <w:pPr>
        <w:rPr>
          <w:b/>
          <w:bCs/>
          <w:sz w:val="22"/>
          <w:lang w:val="en-GB"/>
        </w:rPr>
      </w:pPr>
      <w:r>
        <w:rPr>
          <w:b/>
          <w:bCs/>
          <w:sz w:val="22"/>
          <w:lang w:val="en-GB"/>
        </w:rPr>
        <w:lastRenderedPageBreak/>
        <w:t>Visceral leishmaniasis</w:t>
      </w:r>
    </w:p>
    <w:p w:rsidR="00810929" w:rsidRPr="00D177CE" w:rsidRDefault="00810929" w:rsidP="00810929">
      <w:pPr>
        <w:rPr>
          <w:b/>
          <w:bCs/>
          <w:sz w:val="22"/>
          <w:lang w:val="en-GB"/>
        </w:rPr>
      </w:pPr>
    </w:p>
    <w:p w:rsidR="00810929" w:rsidRDefault="00810929" w:rsidP="00810929">
      <w:r>
        <w:rPr>
          <w:noProof/>
          <w:lang w:val="en-US"/>
        </w:rPr>
        <w:drawing>
          <wp:inline distT="0" distB="0" distL="0" distR="0">
            <wp:extent cx="3240405" cy="229108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240405" cy="2291080"/>
                    </a:xfrm>
                    <a:prstGeom prst="rect">
                      <a:avLst/>
                    </a:prstGeom>
                    <a:noFill/>
                    <a:ln w="9525">
                      <a:noFill/>
                      <a:miter lim="800000"/>
                      <a:headEnd/>
                      <a:tailEnd/>
                    </a:ln>
                  </pic:spPr>
                </pic:pic>
              </a:graphicData>
            </a:graphic>
          </wp:inline>
        </w:drawing>
      </w:r>
    </w:p>
    <w:p w:rsidR="00810929" w:rsidRDefault="00810929" w:rsidP="00810929">
      <w:pPr>
        <w:rPr>
          <w:b/>
          <w:bCs/>
          <w:sz w:val="22"/>
          <w:lang w:val="en-GB"/>
        </w:rPr>
      </w:pPr>
    </w:p>
    <w:p w:rsidR="00810929" w:rsidRPr="00F324FE" w:rsidRDefault="00810929" w:rsidP="00810929">
      <w:pPr>
        <w:rPr>
          <w:b/>
          <w:bCs/>
          <w:sz w:val="22"/>
          <w:lang w:val="en-GB"/>
        </w:rPr>
      </w:pPr>
      <w:r w:rsidRPr="00F324FE">
        <w:rPr>
          <w:b/>
          <w:bCs/>
          <w:sz w:val="22"/>
          <w:lang w:val="en-GB"/>
        </w:rPr>
        <w:t>Cutaneous leishmaniasis trend</w:t>
      </w:r>
    </w:p>
    <w:p w:rsidR="00810929" w:rsidRPr="00F324FE" w:rsidRDefault="00810929" w:rsidP="00810929">
      <w:pPr>
        <w:rPr>
          <w:b/>
          <w:bCs/>
          <w:lang w:val="en-GB"/>
        </w:rPr>
      </w:pPr>
      <w:r>
        <w:rPr>
          <w:noProof/>
          <w:lang w:val="en-US"/>
        </w:rPr>
        <w:drawing>
          <wp:anchor distT="0" distB="0" distL="114300" distR="114300" simplePos="0" relativeHeight="251660288" behindDoc="0" locked="0" layoutInCell="1" allowOverlap="1">
            <wp:simplePos x="0" y="0"/>
            <wp:positionH relativeFrom="column">
              <wp:posOffset>228600</wp:posOffset>
            </wp:positionH>
            <wp:positionV relativeFrom="paragraph">
              <wp:posOffset>144780</wp:posOffset>
            </wp:positionV>
            <wp:extent cx="5372100" cy="2857500"/>
            <wp:effectExtent l="0" t="0" r="0" b="0"/>
            <wp:wrapNone/>
            <wp:docPr id="4"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810929" w:rsidRPr="00F324FE" w:rsidRDefault="00810929" w:rsidP="00810929">
      <w:pPr>
        <w:rPr>
          <w:b/>
          <w:bCs/>
          <w:lang w:val="en-GB"/>
        </w:rPr>
      </w:pPr>
    </w:p>
    <w:p w:rsidR="00810929" w:rsidRPr="00F324FE" w:rsidRDefault="00810929" w:rsidP="00810929">
      <w:pPr>
        <w:rPr>
          <w:b/>
          <w:bCs/>
          <w:lang w:val="en-GB"/>
        </w:rPr>
      </w:pPr>
    </w:p>
    <w:p w:rsidR="00810929" w:rsidRPr="00F324FE" w:rsidRDefault="00810929" w:rsidP="00810929">
      <w:pPr>
        <w:rPr>
          <w:b/>
          <w:bCs/>
          <w:lang w:val="en-GB"/>
        </w:rPr>
      </w:pPr>
    </w:p>
    <w:p w:rsidR="00810929" w:rsidRPr="00F324FE" w:rsidRDefault="00810929" w:rsidP="00810929">
      <w:pPr>
        <w:rPr>
          <w:b/>
          <w:bCs/>
          <w:lang w:val="en-GB"/>
        </w:rPr>
      </w:pPr>
    </w:p>
    <w:p w:rsidR="00810929" w:rsidRPr="00F324FE" w:rsidRDefault="00810929" w:rsidP="00810929">
      <w:pPr>
        <w:rPr>
          <w:b/>
          <w:bCs/>
          <w:lang w:val="en-GB"/>
        </w:rPr>
      </w:pPr>
    </w:p>
    <w:p w:rsidR="00810929" w:rsidRPr="00F324FE" w:rsidRDefault="00810929" w:rsidP="00810929">
      <w:pPr>
        <w:rPr>
          <w:b/>
          <w:bCs/>
          <w:lang w:val="en-GB"/>
        </w:rPr>
      </w:pPr>
    </w:p>
    <w:p w:rsidR="00810929" w:rsidRPr="00F324FE" w:rsidRDefault="00810929" w:rsidP="00810929">
      <w:pPr>
        <w:rPr>
          <w:b/>
          <w:bCs/>
          <w:lang w:val="en-GB"/>
        </w:rPr>
      </w:pPr>
    </w:p>
    <w:p w:rsidR="00810929" w:rsidRPr="00F324FE" w:rsidRDefault="00810929" w:rsidP="00810929">
      <w:pPr>
        <w:rPr>
          <w:b/>
          <w:bCs/>
          <w:lang w:val="en-GB"/>
        </w:rPr>
      </w:pPr>
    </w:p>
    <w:p w:rsidR="00810929" w:rsidRPr="00F324FE" w:rsidRDefault="00810929" w:rsidP="00810929">
      <w:pPr>
        <w:rPr>
          <w:b/>
          <w:bCs/>
          <w:lang w:val="en-GB"/>
        </w:rPr>
      </w:pPr>
    </w:p>
    <w:p w:rsidR="00810929" w:rsidRPr="00F324FE" w:rsidRDefault="00810929" w:rsidP="00810929">
      <w:pPr>
        <w:rPr>
          <w:b/>
          <w:bCs/>
          <w:lang w:val="en-GB"/>
        </w:rPr>
      </w:pPr>
    </w:p>
    <w:p w:rsidR="00810929" w:rsidRPr="00F324FE" w:rsidRDefault="00810929" w:rsidP="00810929">
      <w:pPr>
        <w:rPr>
          <w:b/>
          <w:bCs/>
          <w:lang w:val="en-GB"/>
        </w:rPr>
      </w:pPr>
    </w:p>
    <w:p w:rsidR="00810929" w:rsidRDefault="00810929" w:rsidP="00810929">
      <w:pPr>
        <w:rPr>
          <w:b/>
          <w:bCs/>
          <w:sz w:val="22"/>
          <w:lang w:val="en-GB"/>
        </w:rPr>
      </w:pPr>
    </w:p>
    <w:p w:rsidR="00810929" w:rsidRDefault="00810929" w:rsidP="00810929">
      <w:pPr>
        <w:rPr>
          <w:b/>
          <w:bCs/>
          <w:sz w:val="22"/>
          <w:lang w:val="en-GB"/>
        </w:rPr>
      </w:pPr>
    </w:p>
    <w:p w:rsidR="00810929" w:rsidRDefault="00810929" w:rsidP="00810929">
      <w:pPr>
        <w:rPr>
          <w:b/>
          <w:bCs/>
          <w:sz w:val="22"/>
          <w:lang w:val="en-GB"/>
        </w:rPr>
      </w:pPr>
    </w:p>
    <w:p w:rsidR="00810929" w:rsidRDefault="00810929" w:rsidP="00810929">
      <w:pPr>
        <w:rPr>
          <w:b/>
          <w:bCs/>
          <w:sz w:val="22"/>
          <w:lang w:val="en-GB"/>
        </w:rPr>
      </w:pPr>
    </w:p>
    <w:p w:rsidR="00810929" w:rsidRDefault="00810929" w:rsidP="00810929">
      <w:pPr>
        <w:rPr>
          <w:b/>
          <w:bCs/>
          <w:sz w:val="22"/>
          <w:lang w:val="en-GB"/>
        </w:rPr>
      </w:pPr>
    </w:p>
    <w:p w:rsidR="00810929" w:rsidRDefault="00810929" w:rsidP="00810929">
      <w:pPr>
        <w:rPr>
          <w:b/>
          <w:bCs/>
          <w:sz w:val="22"/>
          <w:lang w:val="en-GB"/>
        </w:rPr>
      </w:pPr>
    </w:p>
    <w:p w:rsidR="00810929" w:rsidRDefault="00810929" w:rsidP="00810929">
      <w:pPr>
        <w:rPr>
          <w:b/>
          <w:bCs/>
          <w:sz w:val="22"/>
          <w:lang w:val="en-GB"/>
        </w:rPr>
      </w:pPr>
    </w:p>
    <w:p w:rsidR="00810929" w:rsidRPr="00D177CE" w:rsidRDefault="00810929" w:rsidP="00810929">
      <w:pPr>
        <w:rPr>
          <w:b/>
          <w:bCs/>
          <w:sz w:val="22"/>
          <w:lang w:val="en-GB"/>
        </w:rPr>
      </w:pPr>
      <w:r w:rsidRPr="00D177CE">
        <w:rPr>
          <w:b/>
          <w:bCs/>
          <w:sz w:val="22"/>
          <w:lang w:val="en-GB"/>
        </w:rPr>
        <w:t>Number of visceral leishmaniasis cases</w:t>
      </w:r>
    </w:p>
    <w:p w:rsidR="00810929" w:rsidRPr="00D177CE" w:rsidRDefault="00810929" w:rsidP="00810929">
      <w:pPr>
        <w:rPr>
          <w:b/>
          <w:bCs/>
          <w:sz w:val="22"/>
          <w:lang w:val="en-GB"/>
        </w:rPr>
      </w:pPr>
    </w:p>
    <w:tbl>
      <w:tblPr>
        <w:tblW w:w="1845" w:type="dxa"/>
        <w:tblCellSpacing w:w="0" w:type="dxa"/>
        <w:tblInd w:w="930" w:type="dxa"/>
        <w:tblCellMar>
          <w:left w:w="0" w:type="dxa"/>
          <w:right w:w="0" w:type="dxa"/>
        </w:tblCellMar>
        <w:tblLook w:val="0000"/>
      </w:tblPr>
      <w:tblGrid>
        <w:gridCol w:w="893"/>
        <w:gridCol w:w="952"/>
      </w:tblGrid>
      <w:tr w:rsidR="00810929" w:rsidRPr="00D177CE" w:rsidTr="00A7768B">
        <w:trPr>
          <w:trHeight w:val="270"/>
          <w:tblCellSpacing w:w="0" w:type="dxa"/>
        </w:trPr>
        <w:tc>
          <w:tcPr>
            <w:tcW w:w="893" w:type="dxa"/>
            <w:tcBorders>
              <w:top w:val="single" w:sz="12" w:space="0" w:color="000000"/>
              <w:left w:val="single" w:sz="12" w:space="0" w:color="000000"/>
              <w:bottom w:val="single" w:sz="6" w:space="0" w:color="000000"/>
              <w:right w:val="single" w:sz="6" w:space="0" w:color="000000"/>
            </w:tcBorders>
          </w:tcPr>
          <w:p w:rsidR="00810929" w:rsidRPr="00D177CE" w:rsidRDefault="00810929" w:rsidP="00A7768B">
            <w:pPr>
              <w:jc w:val="center"/>
              <w:rPr>
                <w:b/>
                <w:bCs/>
                <w:sz w:val="22"/>
              </w:rPr>
            </w:pPr>
            <w:r w:rsidRPr="00D177CE">
              <w:rPr>
                <w:b/>
                <w:bCs/>
                <w:sz w:val="22"/>
              </w:rPr>
              <w:t>2008</w:t>
            </w:r>
          </w:p>
        </w:tc>
        <w:tc>
          <w:tcPr>
            <w:tcW w:w="952" w:type="dxa"/>
            <w:tcBorders>
              <w:top w:val="single" w:sz="12" w:space="0" w:color="000000"/>
              <w:left w:val="single" w:sz="6" w:space="0" w:color="000000"/>
              <w:bottom w:val="single" w:sz="6" w:space="0" w:color="000000"/>
              <w:right w:val="single" w:sz="12" w:space="0" w:color="000000"/>
            </w:tcBorders>
          </w:tcPr>
          <w:p w:rsidR="00810929" w:rsidRPr="00D177CE" w:rsidRDefault="00810929" w:rsidP="00A7768B">
            <w:pPr>
              <w:jc w:val="center"/>
              <w:rPr>
                <w:b/>
                <w:bCs/>
                <w:sz w:val="22"/>
              </w:rPr>
            </w:pPr>
            <w:r w:rsidRPr="00D177CE">
              <w:rPr>
                <w:b/>
                <w:bCs/>
                <w:sz w:val="22"/>
              </w:rPr>
              <w:t>2009</w:t>
            </w:r>
          </w:p>
        </w:tc>
      </w:tr>
      <w:tr w:rsidR="00810929" w:rsidRPr="00D177CE" w:rsidTr="00A7768B">
        <w:trPr>
          <w:trHeight w:val="255"/>
          <w:tblCellSpacing w:w="0" w:type="dxa"/>
        </w:trPr>
        <w:tc>
          <w:tcPr>
            <w:tcW w:w="893" w:type="dxa"/>
            <w:tcBorders>
              <w:top w:val="single" w:sz="6" w:space="0" w:color="000000"/>
              <w:left w:val="single" w:sz="12" w:space="0" w:color="000000"/>
              <w:bottom w:val="single" w:sz="12" w:space="0" w:color="000000"/>
              <w:right w:val="single" w:sz="6" w:space="0" w:color="000000"/>
            </w:tcBorders>
          </w:tcPr>
          <w:p w:rsidR="00810929" w:rsidRPr="00812E7D" w:rsidRDefault="00810929" w:rsidP="00A7768B">
            <w:pPr>
              <w:jc w:val="center"/>
              <w:rPr>
                <w:sz w:val="22"/>
              </w:rPr>
            </w:pPr>
            <w:r w:rsidRPr="00812E7D">
              <w:rPr>
                <w:sz w:val="22"/>
              </w:rPr>
              <w:t>1</w:t>
            </w:r>
          </w:p>
        </w:tc>
        <w:tc>
          <w:tcPr>
            <w:tcW w:w="952" w:type="dxa"/>
            <w:tcBorders>
              <w:top w:val="single" w:sz="6" w:space="0" w:color="000000"/>
              <w:left w:val="single" w:sz="6" w:space="0" w:color="000000"/>
              <w:bottom w:val="single" w:sz="12" w:space="0" w:color="000000"/>
              <w:right w:val="single" w:sz="12" w:space="0" w:color="000000"/>
            </w:tcBorders>
          </w:tcPr>
          <w:p w:rsidR="00810929" w:rsidRPr="00812E7D" w:rsidRDefault="00810929" w:rsidP="00A7768B">
            <w:pPr>
              <w:jc w:val="center"/>
              <w:rPr>
                <w:sz w:val="22"/>
              </w:rPr>
            </w:pPr>
            <w:r w:rsidRPr="00812E7D">
              <w:rPr>
                <w:sz w:val="22"/>
              </w:rPr>
              <w:t>1</w:t>
            </w:r>
          </w:p>
        </w:tc>
      </w:tr>
    </w:tbl>
    <w:p w:rsidR="00810929" w:rsidRPr="00D177CE" w:rsidRDefault="00810929" w:rsidP="00810929">
      <w:pPr>
        <w:rPr>
          <w:b/>
          <w:bCs/>
          <w:sz w:val="22"/>
        </w:rPr>
      </w:pPr>
    </w:p>
    <w:p w:rsidR="00810929" w:rsidRPr="00D177CE" w:rsidRDefault="00810929" w:rsidP="00810929">
      <w:pPr>
        <w:rPr>
          <w:b/>
          <w:bCs/>
          <w:sz w:val="22"/>
        </w:rPr>
      </w:pPr>
    </w:p>
    <w:p w:rsidR="00810929" w:rsidRDefault="00810929" w:rsidP="00810929">
      <w:pPr>
        <w:rPr>
          <w:rFonts w:eastAsia="Times New Roman"/>
          <w:b/>
          <w:bCs/>
          <w:sz w:val="22"/>
          <w:lang w:eastAsia="es-ES"/>
        </w:rPr>
      </w:pPr>
    </w:p>
    <w:p w:rsidR="00810929" w:rsidRDefault="00810929" w:rsidP="00810929">
      <w:pPr>
        <w:rPr>
          <w:rFonts w:eastAsia="Times New Roman"/>
          <w:b/>
          <w:bCs/>
          <w:sz w:val="22"/>
          <w:lang w:eastAsia="es-ES"/>
        </w:rPr>
      </w:pPr>
    </w:p>
    <w:p w:rsidR="00810929" w:rsidRDefault="00810929" w:rsidP="00810929">
      <w:pPr>
        <w:rPr>
          <w:rFonts w:eastAsia="Times New Roman"/>
          <w:b/>
          <w:bCs/>
          <w:sz w:val="22"/>
          <w:lang w:eastAsia="es-ES"/>
        </w:rPr>
      </w:pPr>
    </w:p>
    <w:p w:rsidR="00810929" w:rsidRDefault="00810929" w:rsidP="00810929">
      <w:pPr>
        <w:rPr>
          <w:rFonts w:eastAsia="Times New Roman"/>
          <w:b/>
          <w:bCs/>
          <w:sz w:val="22"/>
          <w:lang w:eastAsia="es-ES"/>
        </w:rPr>
      </w:pPr>
    </w:p>
    <w:p w:rsidR="00810929" w:rsidRDefault="00810929" w:rsidP="00810929">
      <w:pPr>
        <w:rPr>
          <w:rFonts w:eastAsia="Times New Roman"/>
          <w:b/>
          <w:bCs/>
          <w:sz w:val="22"/>
          <w:lang w:eastAsia="es-ES"/>
        </w:rPr>
      </w:pPr>
    </w:p>
    <w:p w:rsidR="00810929" w:rsidRDefault="00810929" w:rsidP="00810929">
      <w:pPr>
        <w:rPr>
          <w:rFonts w:eastAsia="Times New Roman"/>
          <w:b/>
          <w:bCs/>
          <w:sz w:val="22"/>
          <w:lang w:eastAsia="es-ES"/>
        </w:rPr>
      </w:pPr>
    </w:p>
    <w:p w:rsidR="00810929" w:rsidRPr="00D177CE" w:rsidRDefault="00810929" w:rsidP="00810929">
      <w:pPr>
        <w:rPr>
          <w:rFonts w:eastAsia="Times New Roman"/>
          <w:b/>
          <w:bCs/>
          <w:sz w:val="22"/>
          <w:lang w:eastAsia="es-ES"/>
        </w:rPr>
      </w:pPr>
      <w:r w:rsidRPr="00D177CE">
        <w:rPr>
          <w:rFonts w:eastAsia="Times New Roman"/>
          <w:b/>
          <w:bCs/>
          <w:sz w:val="22"/>
          <w:lang w:eastAsia="es-ES"/>
        </w:rPr>
        <w:lastRenderedPageBreak/>
        <w:t>CONTROL</w:t>
      </w:r>
    </w:p>
    <w:p w:rsidR="00810929" w:rsidRPr="00D177CE" w:rsidRDefault="00810929" w:rsidP="00810929">
      <w:pPr>
        <w:ind w:left="0" w:firstLine="0"/>
        <w:rPr>
          <w:rFonts w:eastAsia="Times New Roman"/>
          <w:b/>
          <w:bCs/>
          <w:sz w:val="22"/>
          <w:lang w:eastAsia="es-ES"/>
        </w:rPr>
      </w:pPr>
    </w:p>
    <w:p w:rsidR="00810929" w:rsidRPr="00D177CE" w:rsidRDefault="00810929" w:rsidP="00810929">
      <w:pPr>
        <w:ind w:left="0" w:firstLine="0"/>
        <w:rPr>
          <w:rFonts w:eastAsia="Times New Roman"/>
          <w:sz w:val="22"/>
          <w:lang w:val="en-US" w:eastAsia="es-ES"/>
        </w:rPr>
      </w:pPr>
      <w:r w:rsidRPr="00D177CE">
        <w:rPr>
          <w:rFonts w:eastAsia="Times New Roman"/>
          <w:sz w:val="22"/>
          <w:lang w:val="en-US" w:eastAsia="es-ES"/>
        </w:rPr>
        <w:t xml:space="preserve">In endemic areas in </w:t>
      </w:r>
      <w:smartTag w:uri="urn:schemas-microsoft-com:office:smarttags" w:element="country-region">
        <w:smartTag w:uri="urn:schemas-microsoft-com:office:smarttags" w:element="place">
          <w:r w:rsidRPr="00D177CE">
            <w:rPr>
              <w:rFonts w:eastAsia="Times New Roman"/>
              <w:sz w:val="22"/>
              <w:lang w:val="en-US" w:eastAsia="es-ES"/>
            </w:rPr>
            <w:t>Guatemala</w:t>
          </w:r>
        </w:smartTag>
      </w:smartTag>
      <w:r w:rsidRPr="00D177CE">
        <w:rPr>
          <w:rFonts w:eastAsia="Times New Roman"/>
          <w:sz w:val="22"/>
          <w:lang w:val="en-US" w:eastAsia="es-ES"/>
        </w:rPr>
        <w:t>, passive epidemiological surveillance is carried out at local level</w:t>
      </w:r>
      <w:r>
        <w:rPr>
          <w:rFonts w:eastAsia="Times New Roman"/>
          <w:sz w:val="22"/>
          <w:lang w:val="en-US" w:eastAsia="es-ES"/>
        </w:rPr>
        <w:t>. However,</w:t>
      </w:r>
      <w:r w:rsidRPr="00D177CE">
        <w:rPr>
          <w:rFonts w:eastAsia="Times New Roman"/>
          <w:sz w:val="22"/>
          <w:lang w:val="en-US" w:eastAsia="es-ES"/>
        </w:rPr>
        <w:t xml:space="preserve"> the risk of under-reporting is high, making it impossible to determine the actual scale of the problem nationwide. The factors associated with the disease were</w:t>
      </w:r>
      <w:r>
        <w:rPr>
          <w:rFonts w:eastAsia="Times New Roman"/>
          <w:sz w:val="22"/>
          <w:lang w:val="en-US" w:eastAsia="es-ES"/>
        </w:rPr>
        <w:t>:</w:t>
      </w:r>
      <w:r w:rsidRPr="00D177CE">
        <w:rPr>
          <w:rFonts w:eastAsia="Times New Roman"/>
          <w:sz w:val="22"/>
          <w:lang w:val="en-US" w:eastAsia="es-ES"/>
        </w:rPr>
        <w:t xml:space="preserve"> transmission outside the home (wooded areas) and occurrence in males aged over 10 years (workers in rural and wooded areas).</w:t>
      </w:r>
    </w:p>
    <w:p w:rsidR="00810929" w:rsidRPr="00D177CE" w:rsidRDefault="00810929" w:rsidP="00810929">
      <w:pPr>
        <w:ind w:left="0" w:firstLine="0"/>
        <w:rPr>
          <w:rFonts w:eastAsia="Times New Roman"/>
          <w:sz w:val="22"/>
          <w:lang w:val="en-US" w:eastAsia="es-ES"/>
        </w:rPr>
      </w:pPr>
    </w:p>
    <w:p w:rsidR="00810929" w:rsidRPr="00D177CE" w:rsidRDefault="00810929" w:rsidP="00810929">
      <w:pPr>
        <w:ind w:left="0" w:firstLine="0"/>
        <w:rPr>
          <w:rFonts w:eastAsia="Times New Roman"/>
          <w:sz w:val="22"/>
          <w:lang w:val="en-GB" w:eastAsia="es-ES"/>
        </w:rPr>
      </w:pPr>
      <w:r w:rsidRPr="00D177CE">
        <w:rPr>
          <w:rFonts w:eastAsia="Times New Roman"/>
          <w:sz w:val="22"/>
          <w:lang w:val="en-US" w:eastAsia="es-ES"/>
        </w:rPr>
        <w:t xml:space="preserve">Notification of </w:t>
      </w:r>
      <w:r>
        <w:rPr>
          <w:rFonts w:eastAsia="Times New Roman"/>
          <w:sz w:val="22"/>
          <w:lang w:val="en-US" w:eastAsia="es-ES"/>
        </w:rPr>
        <w:t>l</w:t>
      </w:r>
      <w:r w:rsidRPr="00D177CE">
        <w:rPr>
          <w:rFonts w:eastAsia="Times New Roman"/>
          <w:sz w:val="22"/>
          <w:lang w:val="en-US" w:eastAsia="es-ES"/>
        </w:rPr>
        <w:t xml:space="preserve">eishmaniasis is mandatory in the country, and there has been a national control program </w:t>
      </w:r>
      <w:r>
        <w:rPr>
          <w:rFonts w:eastAsia="Times New Roman"/>
          <w:sz w:val="22"/>
          <w:lang w:val="en-US" w:eastAsia="es-ES"/>
        </w:rPr>
        <w:t xml:space="preserve">in place </w:t>
      </w:r>
      <w:r w:rsidRPr="00D177CE">
        <w:rPr>
          <w:rFonts w:eastAsia="Times New Roman"/>
          <w:sz w:val="22"/>
          <w:lang w:val="en-US" w:eastAsia="es-ES"/>
        </w:rPr>
        <w:t>since 2003. Active human case detection is not performed. There is a vector control program</w:t>
      </w:r>
      <w:r>
        <w:rPr>
          <w:rFonts w:eastAsia="Times New Roman"/>
          <w:sz w:val="22"/>
          <w:lang w:val="en-US" w:eastAsia="es-ES"/>
        </w:rPr>
        <w:t>,</w:t>
      </w:r>
      <w:r w:rsidRPr="00D177CE">
        <w:rPr>
          <w:rFonts w:eastAsia="Times New Roman"/>
          <w:sz w:val="22"/>
          <w:lang w:val="en-US" w:eastAsia="es-ES"/>
        </w:rPr>
        <w:t xml:space="preserve"> </w:t>
      </w:r>
      <w:r>
        <w:rPr>
          <w:rFonts w:eastAsia="Times New Roman"/>
          <w:sz w:val="22"/>
          <w:lang w:val="en-US" w:eastAsia="es-ES"/>
        </w:rPr>
        <w:t>a</w:t>
      </w:r>
      <w:r w:rsidRPr="00D177CE">
        <w:rPr>
          <w:rFonts w:eastAsia="Times New Roman"/>
          <w:sz w:val="22"/>
          <w:lang w:val="en-US" w:eastAsia="es-ES"/>
        </w:rPr>
        <w:t xml:space="preserve"> </w:t>
      </w:r>
      <w:proofErr w:type="spellStart"/>
      <w:r w:rsidRPr="00D177CE">
        <w:rPr>
          <w:rFonts w:eastAsia="Times New Roman"/>
          <w:sz w:val="22"/>
          <w:lang w:val="en-US" w:eastAsia="es-ES"/>
        </w:rPr>
        <w:t>bednet</w:t>
      </w:r>
      <w:proofErr w:type="spellEnd"/>
      <w:r w:rsidRPr="00D177CE">
        <w:rPr>
          <w:rFonts w:eastAsia="Times New Roman"/>
          <w:sz w:val="22"/>
          <w:lang w:val="en-US" w:eastAsia="es-ES"/>
        </w:rPr>
        <w:t xml:space="preserve"> distribution and insecticide spraying is </w:t>
      </w:r>
      <w:r>
        <w:rPr>
          <w:rFonts w:eastAsia="Times New Roman"/>
          <w:sz w:val="22"/>
          <w:lang w:val="en-US" w:eastAsia="es-ES"/>
        </w:rPr>
        <w:t>performed regularly</w:t>
      </w:r>
      <w:r w:rsidRPr="00D177CE">
        <w:rPr>
          <w:rFonts w:eastAsia="Times New Roman"/>
          <w:sz w:val="22"/>
          <w:lang w:val="en-US" w:eastAsia="es-ES"/>
        </w:rPr>
        <w:t xml:space="preserve">. There are no reservoir control programs and serological screening is not performed in dogs. </w:t>
      </w:r>
    </w:p>
    <w:p w:rsidR="00810929" w:rsidRPr="00D177CE" w:rsidRDefault="00810929" w:rsidP="00810929">
      <w:pPr>
        <w:rPr>
          <w:rFonts w:eastAsia="Times New Roman"/>
          <w:sz w:val="22"/>
          <w:lang w:val="en-GB" w:eastAsia="es-ES"/>
        </w:rPr>
      </w:pPr>
    </w:p>
    <w:p w:rsidR="00810929" w:rsidRPr="00D177CE" w:rsidRDefault="00810929" w:rsidP="00810929">
      <w:pPr>
        <w:rPr>
          <w:rFonts w:eastAsia="Times New Roman"/>
          <w:sz w:val="22"/>
          <w:lang w:val="en-US" w:eastAsia="es-ES"/>
        </w:rPr>
      </w:pPr>
    </w:p>
    <w:p w:rsidR="00810929" w:rsidRPr="00D177CE" w:rsidRDefault="00810929" w:rsidP="00810929">
      <w:pPr>
        <w:spacing w:line="360" w:lineRule="auto"/>
        <w:rPr>
          <w:b/>
          <w:sz w:val="22"/>
          <w:lang w:val="en-US"/>
        </w:rPr>
      </w:pPr>
      <w:r w:rsidRPr="00D177CE">
        <w:rPr>
          <w:b/>
          <w:sz w:val="22"/>
          <w:lang w:val="en-US"/>
        </w:rPr>
        <w:t xml:space="preserve">DIAGNOSIS, TREATMENT </w:t>
      </w:r>
    </w:p>
    <w:p w:rsidR="00810929" w:rsidRDefault="00810929" w:rsidP="00810929">
      <w:pPr>
        <w:rPr>
          <w:b/>
          <w:bCs/>
          <w:sz w:val="22"/>
          <w:lang w:val="en-GB"/>
        </w:rPr>
      </w:pPr>
      <w:r w:rsidRPr="00D177CE">
        <w:rPr>
          <w:b/>
          <w:bCs/>
          <w:sz w:val="22"/>
          <w:lang w:val="en-GB"/>
        </w:rPr>
        <w:t>Diagnosis:</w:t>
      </w:r>
    </w:p>
    <w:p w:rsidR="00810929" w:rsidRDefault="00810929" w:rsidP="00810929">
      <w:pPr>
        <w:ind w:left="0" w:firstLine="0"/>
        <w:rPr>
          <w:sz w:val="22"/>
          <w:lang w:val="en-GB"/>
        </w:rPr>
      </w:pPr>
      <w:r>
        <w:rPr>
          <w:sz w:val="22"/>
          <w:lang w:val="en-GB"/>
        </w:rPr>
        <w:t xml:space="preserve">CL: </w:t>
      </w:r>
      <w:r w:rsidRPr="00EF6EC8">
        <w:rPr>
          <w:sz w:val="22"/>
          <w:lang w:val="en-GB"/>
        </w:rPr>
        <w:t xml:space="preserve">confirmation by microscopy </w:t>
      </w:r>
      <w:r>
        <w:rPr>
          <w:sz w:val="22"/>
          <w:lang w:val="en-GB"/>
        </w:rPr>
        <w:t>and sometimes PCR by the National Health Laboratory</w:t>
      </w:r>
    </w:p>
    <w:p w:rsidR="00810929" w:rsidRPr="00F704D4" w:rsidRDefault="00810929" w:rsidP="00810929">
      <w:pPr>
        <w:ind w:left="0" w:firstLine="0"/>
        <w:rPr>
          <w:sz w:val="22"/>
          <w:lang w:val="en-GB"/>
        </w:rPr>
      </w:pPr>
      <w:r>
        <w:rPr>
          <w:sz w:val="22"/>
          <w:lang w:val="en-GB"/>
        </w:rPr>
        <w:t>VL: on clinical symptoms and confirmation by PCR by the National Health Laboratory</w:t>
      </w:r>
    </w:p>
    <w:p w:rsidR="00810929" w:rsidRPr="00D177CE" w:rsidRDefault="00810929" w:rsidP="00810929">
      <w:pPr>
        <w:rPr>
          <w:b/>
          <w:bCs/>
          <w:sz w:val="22"/>
          <w:lang w:val="en-GB"/>
        </w:rPr>
      </w:pPr>
    </w:p>
    <w:p w:rsidR="00810929" w:rsidRPr="00D177CE" w:rsidRDefault="00810929" w:rsidP="00810929">
      <w:pPr>
        <w:rPr>
          <w:b/>
          <w:bCs/>
          <w:sz w:val="22"/>
          <w:lang w:val="en-GB"/>
        </w:rPr>
      </w:pPr>
    </w:p>
    <w:p w:rsidR="00810929" w:rsidRPr="00D177CE" w:rsidRDefault="00810929" w:rsidP="00810929">
      <w:pPr>
        <w:rPr>
          <w:b/>
          <w:bCs/>
          <w:sz w:val="22"/>
          <w:lang w:val="en-GB"/>
        </w:rPr>
      </w:pPr>
      <w:r w:rsidRPr="00D177CE">
        <w:rPr>
          <w:b/>
          <w:bCs/>
          <w:sz w:val="22"/>
          <w:lang w:val="en-GB"/>
        </w:rPr>
        <w:t>Treatment:</w:t>
      </w:r>
    </w:p>
    <w:p w:rsidR="00810929" w:rsidRDefault="00810929" w:rsidP="00810929">
      <w:pPr>
        <w:rPr>
          <w:sz w:val="22"/>
          <w:lang w:val="en-GB"/>
        </w:rPr>
      </w:pPr>
      <w:r w:rsidRPr="00EF6EC8">
        <w:rPr>
          <w:bCs/>
          <w:sz w:val="22"/>
          <w:lang w:val="en-GB"/>
        </w:rPr>
        <w:t>CL</w:t>
      </w:r>
      <w:r w:rsidRPr="00EF6EC8">
        <w:rPr>
          <w:sz w:val="22"/>
          <w:lang w:val="en-GB"/>
        </w:rPr>
        <w:t>: antimonials</w:t>
      </w:r>
      <w:r>
        <w:rPr>
          <w:sz w:val="22"/>
          <w:lang w:val="en-GB"/>
        </w:rPr>
        <w:t>.</w:t>
      </w:r>
      <w:r w:rsidRPr="00EF6EC8">
        <w:rPr>
          <w:sz w:val="22"/>
          <w:lang w:val="en-GB"/>
        </w:rPr>
        <w:t xml:space="preserve"> 95% healing rate for CL and 100% for ML. 5% recurrence rate.</w:t>
      </w:r>
    </w:p>
    <w:p w:rsidR="00810929" w:rsidRPr="00EF6EC8" w:rsidRDefault="00810929" w:rsidP="00810929">
      <w:pPr>
        <w:ind w:left="0" w:firstLine="0"/>
        <w:rPr>
          <w:sz w:val="22"/>
        </w:rPr>
      </w:pPr>
      <w:r>
        <w:rPr>
          <w:sz w:val="22"/>
          <w:lang w:val="en-GB"/>
        </w:rPr>
        <w:t xml:space="preserve">VL: antimonials, 20 mg </w:t>
      </w:r>
      <w:proofErr w:type="spellStart"/>
      <w:r>
        <w:rPr>
          <w:sz w:val="22"/>
        </w:rPr>
        <w:t>Sb</w:t>
      </w:r>
      <w:r w:rsidRPr="001905E8">
        <w:rPr>
          <w:sz w:val="22"/>
          <w:vertAlign w:val="superscript"/>
        </w:rPr>
        <w:t>v</w:t>
      </w:r>
      <w:proofErr w:type="spellEnd"/>
      <w:r>
        <w:rPr>
          <w:sz w:val="22"/>
          <w:lang w:val="en-GB"/>
        </w:rPr>
        <w:t xml:space="preserve">/kg/day for 20 days. </w:t>
      </w:r>
      <w:proofErr w:type="spellStart"/>
      <w:r>
        <w:rPr>
          <w:sz w:val="22"/>
        </w:rPr>
        <w:t>S</w:t>
      </w:r>
      <w:r w:rsidRPr="00EF6EC8">
        <w:rPr>
          <w:sz w:val="22"/>
        </w:rPr>
        <w:t>econd</w:t>
      </w:r>
      <w:proofErr w:type="spellEnd"/>
      <w:r w:rsidRPr="00EF6EC8">
        <w:rPr>
          <w:sz w:val="22"/>
        </w:rPr>
        <w:t xml:space="preserve"> line: </w:t>
      </w:r>
      <w:proofErr w:type="spellStart"/>
      <w:r w:rsidRPr="00EF6EC8">
        <w:rPr>
          <w:sz w:val="22"/>
        </w:rPr>
        <w:t>Ketoconazol</w:t>
      </w:r>
      <w:proofErr w:type="spellEnd"/>
      <w:r w:rsidRPr="00EF6EC8">
        <w:rPr>
          <w:sz w:val="22"/>
        </w:rPr>
        <w:t>, 600 mg/kg/</w:t>
      </w:r>
      <w:proofErr w:type="spellStart"/>
      <w:r w:rsidRPr="00EF6EC8">
        <w:rPr>
          <w:sz w:val="22"/>
        </w:rPr>
        <w:t>day</w:t>
      </w:r>
      <w:proofErr w:type="spellEnd"/>
      <w:r w:rsidRPr="00EF6EC8">
        <w:rPr>
          <w:sz w:val="22"/>
        </w:rPr>
        <w:t xml:space="preserve"> </w:t>
      </w:r>
      <w:proofErr w:type="spellStart"/>
      <w:r w:rsidRPr="00EF6EC8">
        <w:rPr>
          <w:sz w:val="22"/>
        </w:rPr>
        <w:t>for</w:t>
      </w:r>
      <w:proofErr w:type="spellEnd"/>
      <w:r w:rsidRPr="00EF6EC8">
        <w:rPr>
          <w:sz w:val="22"/>
        </w:rPr>
        <w:t xml:space="preserve"> 28 </w:t>
      </w:r>
      <w:proofErr w:type="spellStart"/>
      <w:r w:rsidRPr="00EF6EC8">
        <w:rPr>
          <w:sz w:val="22"/>
        </w:rPr>
        <w:t>days</w:t>
      </w:r>
      <w:proofErr w:type="spellEnd"/>
      <w:r w:rsidRPr="00EF6EC8">
        <w:rPr>
          <w:sz w:val="22"/>
        </w:rPr>
        <w:t xml:space="preserve">. </w:t>
      </w:r>
      <w:proofErr w:type="spellStart"/>
      <w:r w:rsidRPr="00EF6EC8">
        <w:rPr>
          <w:sz w:val="22"/>
        </w:rPr>
        <w:t>Third</w:t>
      </w:r>
      <w:proofErr w:type="spellEnd"/>
      <w:r w:rsidRPr="00EF6EC8">
        <w:rPr>
          <w:sz w:val="22"/>
        </w:rPr>
        <w:t xml:space="preserve"> line: Amphotericin B, </w:t>
      </w:r>
      <w:proofErr w:type="spellStart"/>
      <w:r w:rsidRPr="00EF6EC8">
        <w:rPr>
          <w:sz w:val="22"/>
        </w:rPr>
        <w:t>interdaily</w:t>
      </w:r>
      <w:proofErr w:type="spellEnd"/>
      <w:r w:rsidRPr="00EF6EC8">
        <w:rPr>
          <w:sz w:val="22"/>
        </w:rPr>
        <w:t xml:space="preserve"> </w:t>
      </w:r>
      <w:proofErr w:type="spellStart"/>
      <w:r w:rsidRPr="00EF6EC8">
        <w:rPr>
          <w:sz w:val="22"/>
        </w:rPr>
        <w:t>dose</w:t>
      </w:r>
      <w:proofErr w:type="spellEnd"/>
      <w:r w:rsidRPr="00EF6EC8">
        <w:rPr>
          <w:sz w:val="22"/>
        </w:rPr>
        <w:t xml:space="preserve"> of 1 mg/kg </w:t>
      </w:r>
      <w:proofErr w:type="spellStart"/>
      <w:r w:rsidRPr="00EF6EC8">
        <w:rPr>
          <w:sz w:val="22"/>
        </w:rPr>
        <w:t>for</w:t>
      </w:r>
      <w:proofErr w:type="spellEnd"/>
      <w:r w:rsidRPr="00EF6EC8">
        <w:rPr>
          <w:sz w:val="22"/>
        </w:rPr>
        <w:t xml:space="preserve"> a total </w:t>
      </w:r>
      <w:proofErr w:type="spellStart"/>
      <w:r w:rsidRPr="00EF6EC8">
        <w:rPr>
          <w:sz w:val="22"/>
        </w:rPr>
        <w:t>dosage</w:t>
      </w:r>
      <w:proofErr w:type="spellEnd"/>
      <w:r w:rsidRPr="00EF6EC8">
        <w:rPr>
          <w:sz w:val="22"/>
        </w:rPr>
        <w:t xml:space="preserve"> of 2-</w:t>
      </w:r>
      <w:smartTag w:uri="urn:schemas-microsoft-com:office:smarttags" w:element="metricconverter">
        <w:smartTagPr>
          <w:attr w:name="ProductID" w:val="3 g"/>
        </w:smartTagPr>
        <w:r w:rsidRPr="00EF6EC8">
          <w:rPr>
            <w:sz w:val="22"/>
          </w:rPr>
          <w:t>3 g</w:t>
        </w:r>
      </w:smartTag>
      <w:r w:rsidRPr="00EF6EC8">
        <w:rPr>
          <w:sz w:val="22"/>
        </w:rPr>
        <w:t>.</w:t>
      </w:r>
    </w:p>
    <w:p w:rsidR="00810929" w:rsidRPr="00EF6EC8" w:rsidRDefault="00810929" w:rsidP="00810929">
      <w:pPr>
        <w:ind w:left="0" w:firstLine="0"/>
        <w:rPr>
          <w:sz w:val="22"/>
        </w:rPr>
      </w:pPr>
    </w:p>
    <w:p w:rsidR="00810929" w:rsidRPr="00D177CE" w:rsidRDefault="00810929" w:rsidP="00810929">
      <w:pPr>
        <w:rPr>
          <w:sz w:val="22"/>
          <w:lang w:val="en-GB"/>
        </w:rPr>
      </w:pPr>
    </w:p>
    <w:p w:rsidR="00810929" w:rsidRDefault="00810929" w:rsidP="00810929">
      <w:pPr>
        <w:pStyle w:val="BodyText"/>
        <w:spacing w:line="276" w:lineRule="auto"/>
        <w:jc w:val="both"/>
        <w:rPr>
          <w:rFonts w:ascii="Arial" w:hAnsi="Arial" w:cs="Arial"/>
          <w:b/>
          <w:sz w:val="22"/>
          <w:szCs w:val="22"/>
        </w:rPr>
      </w:pPr>
      <w:r w:rsidRPr="00033D30">
        <w:rPr>
          <w:rFonts w:ascii="Arial" w:hAnsi="Arial" w:cs="Arial"/>
          <w:b/>
          <w:sz w:val="22"/>
          <w:szCs w:val="22"/>
        </w:rPr>
        <w:t>ACCESS TO CARE</w:t>
      </w:r>
    </w:p>
    <w:p w:rsidR="00810929" w:rsidRPr="004B1BB6" w:rsidRDefault="00810929" w:rsidP="00810929">
      <w:pPr>
        <w:pStyle w:val="BodyText"/>
        <w:spacing w:after="0"/>
        <w:jc w:val="both"/>
        <w:rPr>
          <w:rFonts w:ascii="Arial" w:hAnsi="Arial" w:cs="Arial"/>
          <w:sz w:val="22"/>
          <w:szCs w:val="22"/>
        </w:rPr>
      </w:pPr>
      <w:r>
        <w:rPr>
          <w:rFonts w:ascii="Arial" w:hAnsi="Arial" w:cs="Arial"/>
          <w:sz w:val="22"/>
          <w:szCs w:val="22"/>
        </w:rPr>
        <w:t>Treatment is provided for free, but not all patients have access to treatment. The Ministry of Health purchases insufficient quantities of drugs to enable treatment of all patients. VL can only be diagnosed in one specialized center (blood samples are sent there from health centers) and treated in the national hospital. CL can also be diagnosed and treated at health center level, but there is a lack of health personnel trained in diagnosis and treatment of leishmaniasis. Patients often live very far away from treatment facilities and suffer major economic loss when they spend time away from home. T</w:t>
      </w:r>
      <w:r>
        <w:rPr>
          <w:rFonts w:ascii="Arial" w:hAnsi="Arial" w:cs="Arial"/>
          <w:sz w:val="22"/>
          <w:szCs w:val="22"/>
        </w:rPr>
        <w:t xml:space="preserve">ransport is often unaffordable. </w:t>
      </w:r>
      <w:r>
        <w:rPr>
          <w:rFonts w:ascii="Arial" w:hAnsi="Arial" w:cs="Arial"/>
          <w:sz w:val="22"/>
          <w:szCs w:val="22"/>
        </w:rPr>
        <w:t xml:space="preserve">There is a great lack of awareness of leishmaniasis among the population. Often substandard treatment is sought in the private sector, or through traditional healers. </w:t>
      </w:r>
    </w:p>
    <w:p w:rsidR="00810929" w:rsidRPr="000F456B" w:rsidRDefault="00810929" w:rsidP="00810929">
      <w:pPr>
        <w:spacing w:line="360" w:lineRule="auto"/>
        <w:rPr>
          <w:sz w:val="22"/>
          <w:lang w:val="en-US"/>
        </w:rPr>
      </w:pPr>
    </w:p>
    <w:p w:rsidR="00810929" w:rsidRDefault="00810929" w:rsidP="00810929">
      <w:pPr>
        <w:ind w:left="0" w:firstLine="0"/>
        <w:rPr>
          <w:b/>
          <w:sz w:val="22"/>
          <w:lang w:val="en-US"/>
        </w:rPr>
      </w:pPr>
      <w:r w:rsidRPr="000F456B">
        <w:rPr>
          <w:b/>
          <w:sz w:val="22"/>
          <w:lang w:val="en-US"/>
        </w:rPr>
        <w:t>ACCESS TO DRUGS</w:t>
      </w:r>
    </w:p>
    <w:p w:rsidR="00810929" w:rsidRPr="000F456B" w:rsidRDefault="00810929" w:rsidP="00810929">
      <w:pPr>
        <w:ind w:left="0"/>
        <w:rPr>
          <w:b/>
          <w:sz w:val="22"/>
          <w:lang w:val="en-US"/>
        </w:rPr>
      </w:pPr>
    </w:p>
    <w:p w:rsidR="00810929" w:rsidRPr="004B1BB6" w:rsidRDefault="00810929" w:rsidP="00810929">
      <w:pPr>
        <w:pStyle w:val="BodyText"/>
        <w:spacing w:after="0"/>
        <w:jc w:val="both"/>
        <w:rPr>
          <w:rFonts w:ascii="Arial" w:hAnsi="Arial" w:cs="Arial"/>
          <w:sz w:val="22"/>
          <w:szCs w:val="22"/>
        </w:rPr>
      </w:pPr>
      <w:r>
        <w:rPr>
          <w:rFonts w:ascii="Arial" w:hAnsi="Arial" w:cs="Arial"/>
          <w:sz w:val="22"/>
          <w:szCs w:val="22"/>
        </w:rPr>
        <w:t xml:space="preserve">Meglumine antimoniate is included in the National Essential Drug List for leishmaniasis. </w:t>
      </w:r>
      <w:r w:rsidRPr="00262C9B">
        <w:rPr>
          <w:rFonts w:ascii="Arial" w:hAnsi="Arial" w:cs="Arial"/>
          <w:sz w:val="22"/>
          <w:szCs w:val="22"/>
          <w:lang w:val="it-IT"/>
        </w:rPr>
        <w:t xml:space="preserve">Miltefosine (Paladin, Canada) and meglumine antimoniate (Glucantime, </w:t>
      </w:r>
      <w:r>
        <w:rPr>
          <w:rFonts w:ascii="Arial" w:hAnsi="Arial" w:cs="Arial"/>
          <w:sz w:val="22"/>
          <w:szCs w:val="22"/>
          <w:lang w:val="it-IT"/>
        </w:rPr>
        <w:t>S</w:t>
      </w:r>
      <w:r w:rsidRPr="00262C9B">
        <w:rPr>
          <w:rFonts w:ascii="Arial" w:hAnsi="Arial" w:cs="Arial"/>
          <w:sz w:val="22"/>
          <w:szCs w:val="22"/>
          <w:lang w:val="it-IT"/>
        </w:rPr>
        <w:t xml:space="preserve">anofi) are registered. </w:t>
      </w:r>
      <w:r>
        <w:rPr>
          <w:rFonts w:ascii="Arial" w:hAnsi="Arial" w:cs="Arial"/>
          <w:sz w:val="22"/>
          <w:szCs w:val="22"/>
        </w:rPr>
        <w:t xml:space="preserve">Drugs for leishmaniasis are not available at private pharmacies or drug markets. </w:t>
      </w:r>
    </w:p>
    <w:p w:rsidR="00810929" w:rsidRPr="00D177CE" w:rsidRDefault="00810929" w:rsidP="00810929">
      <w:pPr>
        <w:rPr>
          <w:sz w:val="22"/>
          <w:lang w:val="en-GB"/>
        </w:rPr>
      </w:pPr>
    </w:p>
    <w:p w:rsidR="00810929" w:rsidRPr="00D177CE" w:rsidRDefault="00810929" w:rsidP="00810929">
      <w:pPr>
        <w:rPr>
          <w:sz w:val="22"/>
          <w:lang w:val="en-GB"/>
        </w:rPr>
      </w:pPr>
    </w:p>
    <w:p w:rsidR="00810929" w:rsidRPr="00D177CE" w:rsidRDefault="00810929" w:rsidP="00810929">
      <w:pPr>
        <w:rPr>
          <w:sz w:val="22"/>
          <w:lang w:val="en-GB"/>
        </w:rPr>
      </w:pPr>
    </w:p>
    <w:p w:rsidR="00810929" w:rsidRDefault="00810929" w:rsidP="00810929">
      <w:pPr>
        <w:spacing w:line="360" w:lineRule="auto"/>
        <w:rPr>
          <w:b/>
          <w:sz w:val="22"/>
          <w:lang w:val="en-US"/>
        </w:rPr>
      </w:pPr>
    </w:p>
    <w:p w:rsidR="00810929" w:rsidRDefault="00810929" w:rsidP="00810929">
      <w:pPr>
        <w:spacing w:line="360" w:lineRule="auto"/>
        <w:rPr>
          <w:b/>
          <w:sz w:val="22"/>
          <w:lang w:val="en-US"/>
        </w:rPr>
      </w:pPr>
    </w:p>
    <w:p w:rsidR="00810929" w:rsidRDefault="00810929" w:rsidP="00810929">
      <w:pPr>
        <w:spacing w:line="360" w:lineRule="auto"/>
        <w:rPr>
          <w:b/>
          <w:sz w:val="22"/>
          <w:lang w:val="en-US"/>
        </w:rPr>
      </w:pPr>
    </w:p>
    <w:p w:rsidR="00810929" w:rsidRPr="00D177CE" w:rsidRDefault="00810929" w:rsidP="00810929">
      <w:pPr>
        <w:spacing w:line="360" w:lineRule="auto"/>
        <w:rPr>
          <w:b/>
          <w:sz w:val="22"/>
          <w:u w:val="single"/>
          <w:lang w:val="en-US"/>
        </w:rPr>
      </w:pPr>
      <w:r w:rsidRPr="00D177CE">
        <w:rPr>
          <w:b/>
          <w:sz w:val="22"/>
          <w:lang w:val="en-US"/>
        </w:rPr>
        <w:lastRenderedPageBreak/>
        <w:t>SOURCES OF INFORMATION</w:t>
      </w:r>
    </w:p>
    <w:p w:rsidR="00810929" w:rsidRPr="00D177CE" w:rsidRDefault="00810929" w:rsidP="00810929">
      <w:pPr>
        <w:rPr>
          <w:sz w:val="22"/>
          <w:lang w:val="en-US"/>
        </w:rPr>
      </w:pPr>
    </w:p>
    <w:p w:rsidR="00810929" w:rsidRPr="008C195B" w:rsidRDefault="00810929" w:rsidP="00810929">
      <w:pPr>
        <w:numPr>
          <w:ilvl w:val="0"/>
          <w:numId w:val="5"/>
        </w:numPr>
        <w:rPr>
          <w:bCs/>
          <w:i/>
          <w:iCs/>
          <w:sz w:val="22"/>
          <w:lang w:val="es-ES"/>
        </w:rPr>
      </w:pPr>
      <w:r w:rsidRPr="00057243">
        <w:rPr>
          <w:sz w:val="22"/>
          <w:lang w:val="en-US"/>
        </w:rPr>
        <w:t xml:space="preserve">Dr </w:t>
      </w:r>
      <w:proofErr w:type="spellStart"/>
      <w:r w:rsidRPr="00057243">
        <w:rPr>
          <w:sz w:val="22"/>
          <w:lang w:val="en-US"/>
        </w:rPr>
        <w:t>Zoraida</w:t>
      </w:r>
      <w:proofErr w:type="spellEnd"/>
      <w:r w:rsidRPr="00057243">
        <w:rPr>
          <w:sz w:val="22"/>
          <w:lang w:val="en-US"/>
        </w:rPr>
        <w:t xml:space="preserve"> Morales </w:t>
      </w:r>
      <w:proofErr w:type="spellStart"/>
      <w:r w:rsidRPr="00057243">
        <w:rPr>
          <w:sz w:val="22"/>
          <w:lang w:val="en-US"/>
        </w:rPr>
        <w:t>Monroy</w:t>
      </w:r>
      <w:proofErr w:type="spellEnd"/>
      <w:r w:rsidRPr="00057243">
        <w:rPr>
          <w:sz w:val="22"/>
          <w:lang w:val="en-US"/>
        </w:rPr>
        <w:t xml:space="preserve">. </w:t>
      </w:r>
      <w:r w:rsidRPr="008C195B">
        <w:rPr>
          <w:bCs/>
          <w:color w:val="000000"/>
          <w:sz w:val="22"/>
          <w:lang w:val="es-ES"/>
        </w:rPr>
        <w:t xml:space="preserve">Programa </w:t>
      </w:r>
      <w:proofErr w:type="spellStart"/>
      <w:r w:rsidRPr="008C195B">
        <w:rPr>
          <w:bCs/>
          <w:color w:val="000000"/>
          <w:sz w:val="22"/>
          <w:lang w:val="es-ES"/>
        </w:rPr>
        <w:t>de.Enfermedades</w:t>
      </w:r>
      <w:proofErr w:type="spellEnd"/>
      <w:r w:rsidRPr="008C195B">
        <w:rPr>
          <w:bCs/>
          <w:color w:val="000000"/>
          <w:sz w:val="22"/>
          <w:lang w:val="es-ES"/>
        </w:rPr>
        <w:t xml:space="preserve"> Transmitidas por </w:t>
      </w:r>
      <w:r>
        <w:rPr>
          <w:bCs/>
          <w:color w:val="000000"/>
          <w:sz w:val="22"/>
          <w:lang w:val="es-ES"/>
        </w:rPr>
        <w:t xml:space="preserve"> </w:t>
      </w:r>
      <w:r w:rsidRPr="008C195B">
        <w:rPr>
          <w:bCs/>
          <w:color w:val="000000"/>
          <w:sz w:val="22"/>
          <w:lang w:val="es-ES"/>
        </w:rPr>
        <w:t xml:space="preserve">Vectores, Ministerio de Salud. </w:t>
      </w:r>
      <w:r w:rsidRPr="00C16214">
        <w:rPr>
          <w:bCs/>
          <w:i/>
          <w:iCs/>
          <w:color w:val="000000"/>
          <w:sz w:val="22"/>
          <w:lang w:val="es-ES"/>
        </w:rPr>
        <w:t>Leishmaniasis en la Región de</w:t>
      </w:r>
      <w:r>
        <w:rPr>
          <w:bCs/>
          <w:i/>
          <w:iCs/>
          <w:color w:val="000000"/>
          <w:sz w:val="22"/>
          <w:lang w:val="es-ES"/>
        </w:rPr>
        <w:t xml:space="preserve"> las </w:t>
      </w:r>
      <w:r w:rsidRPr="00C16214">
        <w:rPr>
          <w:bCs/>
          <w:i/>
          <w:iCs/>
          <w:color w:val="000000"/>
          <w:sz w:val="22"/>
          <w:lang w:val="es-ES"/>
        </w:rPr>
        <w:t xml:space="preserve"> América</w:t>
      </w:r>
      <w:r>
        <w:rPr>
          <w:bCs/>
          <w:i/>
          <w:iCs/>
          <w:color w:val="000000"/>
          <w:sz w:val="22"/>
          <w:lang w:val="es-ES"/>
        </w:rPr>
        <w:t>s</w:t>
      </w:r>
      <w:r w:rsidRPr="00C16214">
        <w:rPr>
          <w:bCs/>
          <w:i/>
          <w:iCs/>
          <w:color w:val="000000"/>
          <w:sz w:val="22"/>
          <w:lang w:val="es-ES"/>
        </w:rPr>
        <w:t xml:space="preserve">. </w:t>
      </w:r>
      <w:r w:rsidRPr="00697466">
        <w:rPr>
          <w:bCs/>
          <w:i/>
          <w:iCs/>
          <w:sz w:val="22"/>
          <w:lang w:val="es-ES"/>
        </w:rPr>
        <w:t>Reuni</w:t>
      </w:r>
      <w:r w:rsidRPr="00697466">
        <w:rPr>
          <w:bCs/>
          <w:i/>
          <w:iCs/>
          <w:color w:val="000000"/>
          <w:sz w:val="22"/>
          <w:lang w:val="es-ES"/>
        </w:rPr>
        <w:t>ó</w:t>
      </w:r>
      <w:r w:rsidRPr="00697466">
        <w:rPr>
          <w:bCs/>
          <w:i/>
          <w:iCs/>
          <w:sz w:val="22"/>
          <w:lang w:val="es-ES"/>
        </w:rPr>
        <w:t>n de coordinadores de Programa Nacional de Leishmaniasis.</w:t>
      </w:r>
      <w:r>
        <w:rPr>
          <w:bCs/>
          <w:i/>
          <w:iCs/>
          <w:sz w:val="22"/>
          <w:lang w:val="es-ES"/>
        </w:rPr>
        <w:t xml:space="preserve"> OPS/OMS.</w:t>
      </w:r>
      <w:r w:rsidRPr="00697466">
        <w:rPr>
          <w:bCs/>
          <w:i/>
          <w:iCs/>
          <w:sz w:val="22"/>
          <w:lang w:val="es-ES"/>
        </w:rPr>
        <w:t xml:space="preserve"> Medell</w:t>
      </w:r>
      <w:r w:rsidRPr="00697466">
        <w:rPr>
          <w:bCs/>
          <w:i/>
          <w:iCs/>
          <w:color w:val="000000"/>
          <w:sz w:val="22"/>
          <w:lang w:val="es-ES"/>
        </w:rPr>
        <w:t>í</w:t>
      </w:r>
      <w:r w:rsidRPr="00697466">
        <w:rPr>
          <w:bCs/>
          <w:i/>
          <w:iCs/>
          <w:sz w:val="22"/>
          <w:lang w:val="es-ES"/>
        </w:rPr>
        <w:t>n, Colombia</w:t>
      </w:r>
      <w:r>
        <w:rPr>
          <w:bCs/>
          <w:i/>
          <w:iCs/>
          <w:sz w:val="22"/>
          <w:lang w:val="es-ES"/>
        </w:rPr>
        <w:t>.</w:t>
      </w:r>
      <w:r w:rsidRPr="00697466">
        <w:rPr>
          <w:bCs/>
          <w:i/>
          <w:iCs/>
          <w:sz w:val="22"/>
          <w:lang w:val="es-ES"/>
        </w:rPr>
        <w:t xml:space="preserve"> 4-6 junio 2008</w:t>
      </w:r>
    </w:p>
    <w:p w:rsidR="00810929" w:rsidRPr="00EF6EC8" w:rsidRDefault="00810929" w:rsidP="00810929">
      <w:pPr>
        <w:ind w:left="0" w:firstLine="0"/>
        <w:rPr>
          <w:sz w:val="22"/>
          <w:lang w:val="en-US"/>
        </w:rPr>
      </w:pPr>
    </w:p>
    <w:p w:rsidR="00810929" w:rsidRPr="00EF6EC8" w:rsidRDefault="00810929" w:rsidP="00810929">
      <w:pPr>
        <w:rPr>
          <w:sz w:val="22"/>
          <w:lang w:val="en-US"/>
        </w:rPr>
      </w:pPr>
    </w:p>
    <w:p w:rsidR="00810929" w:rsidRPr="00D177CE" w:rsidRDefault="00810929" w:rsidP="00810929">
      <w:pPr>
        <w:ind w:left="0" w:firstLine="0"/>
        <w:rPr>
          <w:spacing w:val="-3"/>
          <w:sz w:val="22"/>
          <w:lang w:val="es-ES"/>
        </w:rPr>
      </w:pPr>
      <w:r w:rsidRPr="00EF6EC8">
        <w:rPr>
          <w:sz w:val="22"/>
          <w:lang w:val="en-US"/>
        </w:rPr>
        <w:t xml:space="preserve">1. </w:t>
      </w:r>
      <w:r w:rsidRPr="00EF6EC8">
        <w:rPr>
          <w:spacing w:val="-3"/>
          <w:sz w:val="22"/>
          <w:lang w:val="en-US"/>
        </w:rPr>
        <w:t>Padilla E (1928)</w:t>
      </w:r>
      <w:r>
        <w:rPr>
          <w:spacing w:val="-3"/>
          <w:sz w:val="22"/>
          <w:lang w:val="en-US"/>
        </w:rPr>
        <w:t>.</w:t>
      </w:r>
      <w:r w:rsidRPr="00EF6EC8">
        <w:rPr>
          <w:spacing w:val="-3"/>
          <w:sz w:val="22"/>
          <w:lang w:val="en-US"/>
        </w:rPr>
        <w:t xml:space="preserve"> C</w:t>
      </w:r>
      <w:proofErr w:type="spellStart"/>
      <w:r w:rsidRPr="00EF6EC8">
        <w:rPr>
          <w:bCs/>
          <w:color w:val="000000"/>
          <w:spacing w:val="-3"/>
          <w:sz w:val="22"/>
          <w:lang w:val="es-ES"/>
        </w:rPr>
        <w:t>ontribucion</w:t>
      </w:r>
      <w:proofErr w:type="spellEnd"/>
      <w:r w:rsidRPr="00EF6EC8">
        <w:rPr>
          <w:bCs/>
          <w:color w:val="000000"/>
          <w:spacing w:val="-3"/>
          <w:sz w:val="22"/>
          <w:lang w:val="es-ES"/>
        </w:rPr>
        <w:t xml:space="preserve"> al estudio de la leishmaniasis forestal </w:t>
      </w:r>
      <w:proofErr w:type="gramStart"/>
      <w:smartTag w:uri="urn:schemas-microsoft-com:office:smarttags" w:element="City">
        <w:r w:rsidRPr="00EF6EC8">
          <w:rPr>
            <w:bCs/>
            <w:color w:val="000000"/>
            <w:spacing w:val="-3"/>
            <w:sz w:val="22"/>
            <w:lang w:val="es-ES"/>
          </w:rPr>
          <w:t>americana</w:t>
        </w:r>
      </w:smartTag>
      <w:proofErr w:type="gramEnd"/>
      <w:r w:rsidRPr="00EF6EC8">
        <w:rPr>
          <w:bCs/>
          <w:color w:val="000000"/>
          <w:spacing w:val="-3"/>
          <w:sz w:val="22"/>
          <w:lang w:val="es-ES"/>
        </w:rPr>
        <w:t xml:space="preserve"> en </w:t>
      </w:r>
      <w:smartTag w:uri="urn:schemas-microsoft-com:office:smarttags" w:element="place">
        <w:smartTag w:uri="urn:schemas-microsoft-com:office:smarttags" w:element="country-region">
          <w:r w:rsidRPr="00EF6EC8">
            <w:rPr>
              <w:bCs/>
              <w:color w:val="000000"/>
              <w:spacing w:val="-3"/>
              <w:sz w:val="22"/>
              <w:lang w:val="es-ES"/>
            </w:rPr>
            <w:t>Guatemal</w:t>
          </w:r>
          <w:r w:rsidRPr="00EF6EC8">
            <w:rPr>
              <w:spacing w:val="-3"/>
              <w:sz w:val="22"/>
              <w:lang w:val="es-ES"/>
            </w:rPr>
            <w:t>a</w:t>
          </w:r>
        </w:smartTag>
      </w:smartTag>
      <w:r w:rsidRPr="00D177CE">
        <w:rPr>
          <w:spacing w:val="-3"/>
          <w:sz w:val="22"/>
          <w:lang w:val="es-ES_tradnl"/>
        </w:rPr>
        <w:t xml:space="preserve">. </w:t>
      </w:r>
      <w:proofErr w:type="spellStart"/>
      <w:r w:rsidRPr="00D177CE">
        <w:rPr>
          <w:spacing w:val="-3"/>
          <w:sz w:val="22"/>
          <w:lang w:val="es-ES_tradnl"/>
        </w:rPr>
        <w:t>Thesis</w:t>
      </w:r>
      <w:proofErr w:type="spellEnd"/>
      <w:r w:rsidRPr="00D177CE">
        <w:rPr>
          <w:spacing w:val="-3"/>
          <w:sz w:val="22"/>
          <w:lang w:val="es-ES_tradnl"/>
        </w:rPr>
        <w:t xml:space="preserve">, Facultad de Medicina y </w:t>
      </w:r>
      <w:proofErr w:type="spellStart"/>
      <w:r w:rsidRPr="00D177CE">
        <w:rPr>
          <w:spacing w:val="-3"/>
          <w:sz w:val="22"/>
          <w:lang w:val="es-ES_tradnl"/>
        </w:rPr>
        <w:t>Cirugia</w:t>
      </w:r>
      <w:proofErr w:type="spellEnd"/>
      <w:r w:rsidRPr="00D177CE">
        <w:rPr>
          <w:spacing w:val="-3"/>
          <w:sz w:val="22"/>
          <w:lang w:val="es-ES_tradnl"/>
        </w:rPr>
        <w:t xml:space="preserve"> e Institutos Anexos. </w:t>
      </w:r>
      <w:r w:rsidRPr="00D177CE">
        <w:rPr>
          <w:spacing w:val="-3"/>
          <w:sz w:val="22"/>
          <w:lang w:val="es-ES"/>
        </w:rPr>
        <w:t>Universidad San Carlos de Guatemala.</w:t>
      </w:r>
    </w:p>
    <w:p w:rsidR="00810929" w:rsidRPr="00D177CE" w:rsidRDefault="00810929" w:rsidP="00810929">
      <w:pPr>
        <w:ind w:left="0" w:firstLine="0"/>
        <w:rPr>
          <w:sz w:val="22"/>
          <w:lang w:val="es-ES"/>
        </w:rPr>
      </w:pPr>
    </w:p>
    <w:p w:rsidR="00810929" w:rsidRPr="00D177CE" w:rsidRDefault="00810929" w:rsidP="00810929">
      <w:pPr>
        <w:ind w:left="0" w:firstLine="0"/>
        <w:rPr>
          <w:sz w:val="22"/>
          <w:lang w:val="en-GB"/>
        </w:rPr>
      </w:pPr>
      <w:r w:rsidRPr="00D177CE">
        <w:rPr>
          <w:sz w:val="22"/>
          <w:lang w:val="en-US"/>
        </w:rPr>
        <w:t xml:space="preserve">2. </w:t>
      </w:r>
      <w:r w:rsidRPr="00D177CE">
        <w:rPr>
          <w:sz w:val="22"/>
          <w:lang w:val="en-GB"/>
        </w:rPr>
        <w:t xml:space="preserve">Copeland HW, Arana BA, and </w:t>
      </w:r>
      <w:proofErr w:type="spellStart"/>
      <w:r w:rsidRPr="00D177CE">
        <w:rPr>
          <w:sz w:val="22"/>
          <w:lang w:val="en-GB"/>
        </w:rPr>
        <w:t>Navin</w:t>
      </w:r>
      <w:proofErr w:type="spellEnd"/>
      <w:r w:rsidRPr="00D177CE">
        <w:rPr>
          <w:sz w:val="22"/>
          <w:lang w:val="en-GB"/>
        </w:rPr>
        <w:t xml:space="preserve"> TR </w:t>
      </w:r>
      <w:r>
        <w:rPr>
          <w:sz w:val="22"/>
          <w:lang w:val="en-GB"/>
        </w:rPr>
        <w:t>(</w:t>
      </w:r>
      <w:r w:rsidRPr="00D177CE">
        <w:rPr>
          <w:sz w:val="22"/>
          <w:lang w:val="en-GB"/>
        </w:rPr>
        <w:t>1990</w:t>
      </w:r>
      <w:r>
        <w:rPr>
          <w:sz w:val="22"/>
          <w:lang w:val="en-GB"/>
        </w:rPr>
        <w:t>).</w:t>
      </w:r>
      <w:r w:rsidRPr="00D177CE">
        <w:rPr>
          <w:sz w:val="22"/>
          <w:lang w:val="en-GB"/>
        </w:rPr>
        <w:t xml:space="preserve"> </w:t>
      </w:r>
      <w:proofErr w:type="gramStart"/>
      <w:r w:rsidRPr="00D177CE">
        <w:rPr>
          <w:sz w:val="22"/>
          <w:lang w:val="en-GB"/>
        </w:rPr>
        <w:t xml:space="preserve">Comparison of active and passive case detection of cutaneous leishmaniasis in </w:t>
      </w:r>
      <w:smartTag w:uri="urn:schemas-microsoft-com:office:smarttags" w:element="country-region">
        <w:smartTag w:uri="urn:schemas-microsoft-com:office:smarttags" w:element="place">
          <w:r w:rsidRPr="00D177CE">
            <w:rPr>
              <w:sz w:val="22"/>
              <w:lang w:val="en-GB"/>
            </w:rPr>
            <w:t>Guatemala</w:t>
          </w:r>
        </w:smartTag>
      </w:smartTag>
      <w:r w:rsidRPr="00D177CE">
        <w:rPr>
          <w:sz w:val="22"/>
          <w:lang w:val="en-GB"/>
        </w:rPr>
        <w:t>.</w:t>
      </w:r>
      <w:proofErr w:type="gramEnd"/>
      <w:r w:rsidRPr="00D177CE">
        <w:rPr>
          <w:sz w:val="22"/>
          <w:lang w:val="en-GB"/>
        </w:rPr>
        <w:t xml:space="preserve"> Am J. </w:t>
      </w:r>
      <w:proofErr w:type="spellStart"/>
      <w:r w:rsidRPr="00D177CE">
        <w:rPr>
          <w:sz w:val="22"/>
          <w:lang w:val="en-GB"/>
        </w:rPr>
        <w:t>Trop</w:t>
      </w:r>
      <w:proofErr w:type="spellEnd"/>
      <w:r w:rsidRPr="00D177CE">
        <w:rPr>
          <w:sz w:val="22"/>
          <w:lang w:val="en-GB"/>
        </w:rPr>
        <w:t xml:space="preserve"> Med </w:t>
      </w:r>
      <w:proofErr w:type="spellStart"/>
      <w:r w:rsidRPr="00D177CE">
        <w:rPr>
          <w:sz w:val="22"/>
          <w:lang w:val="en-GB"/>
        </w:rPr>
        <w:t>Hyg</w:t>
      </w:r>
      <w:proofErr w:type="spellEnd"/>
      <w:r w:rsidRPr="00D177CE">
        <w:rPr>
          <w:sz w:val="22"/>
          <w:lang w:val="en-GB"/>
        </w:rPr>
        <w:t xml:space="preserve"> 43:257-</w:t>
      </w:r>
      <w:proofErr w:type="gramStart"/>
      <w:r w:rsidRPr="00D177CE">
        <w:rPr>
          <w:sz w:val="22"/>
          <w:lang w:val="en-GB"/>
        </w:rPr>
        <w:t>259</w:t>
      </w:r>
      <w:r>
        <w:rPr>
          <w:sz w:val="22"/>
          <w:lang w:val="en-GB"/>
        </w:rPr>
        <w:t>.</w:t>
      </w:r>
      <w:proofErr w:type="gramEnd"/>
      <w:r w:rsidRPr="00D177CE">
        <w:rPr>
          <w:sz w:val="22"/>
          <w:lang w:val="en-GB"/>
        </w:rPr>
        <w:t xml:space="preserve"> </w:t>
      </w:r>
    </w:p>
    <w:p w:rsidR="00810929" w:rsidRPr="00D177CE" w:rsidRDefault="00810929" w:rsidP="00810929">
      <w:pPr>
        <w:ind w:left="0" w:firstLine="0"/>
        <w:rPr>
          <w:sz w:val="22"/>
          <w:lang w:val="en-GB"/>
        </w:rPr>
      </w:pPr>
    </w:p>
    <w:p w:rsidR="00810929" w:rsidRPr="00D177CE" w:rsidRDefault="00810929" w:rsidP="00810929">
      <w:pPr>
        <w:ind w:left="0" w:firstLine="0"/>
        <w:rPr>
          <w:sz w:val="22"/>
          <w:lang w:val="en-US"/>
        </w:rPr>
      </w:pPr>
      <w:r w:rsidRPr="00D177CE">
        <w:rPr>
          <w:sz w:val="22"/>
          <w:lang w:val="en-GB"/>
        </w:rPr>
        <w:t xml:space="preserve">3. </w:t>
      </w:r>
      <w:r w:rsidRPr="00D177CE">
        <w:rPr>
          <w:sz w:val="22"/>
          <w:lang w:val="en-US"/>
        </w:rPr>
        <w:t xml:space="preserve">Arana BA, Rizzo NR, </w:t>
      </w:r>
      <w:proofErr w:type="spellStart"/>
      <w:r w:rsidRPr="00D177CE">
        <w:rPr>
          <w:sz w:val="22"/>
          <w:lang w:val="en-US"/>
        </w:rPr>
        <w:t>Navin</w:t>
      </w:r>
      <w:proofErr w:type="spellEnd"/>
      <w:r w:rsidRPr="00D177CE">
        <w:rPr>
          <w:sz w:val="22"/>
          <w:lang w:val="en-US"/>
        </w:rPr>
        <w:t xml:space="preserve"> TR, Klein RE, </w:t>
      </w:r>
      <w:proofErr w:type="spellStart"/>
      <w:r w:rsidRPr="00D177CE">
        <w:rPr>
          <w:sz w:val="22"/>
          <w:lang w:val="en-US"/>
        </w:rPr>
        <w:t>Kroeger</w:t>
      </w:r>
      <w:proofErr w:type="spellEnd"/>
      <w:r w:rsidRPr="00D177CE">
        <w:rPr>
          <w:sz w:val="22"/>
          <w:lang w:val="en-US"/>
        </w:rPr>
        <w:t xml:space="preserve"> A </w:t>
      </w:r>
      <w:r>
        <w:rPr>
          <w:sz w:val="22"/>
          <w:lang w:val="en-US"/>
        </w:rPr>
        <w:t>(</w:t>
      </w:r>
      <w:r w:rsidRPr="00D177CE">
        <w:rPr>
          <w:sz w:val="22"/>
          <w:lang w:val="en-US"/>
        </w:rPr>
        <w:t>2000</w:t>
      </w:r>
      <w:r>
        <w:rPr>
          <w:sz w:val="22"/>
          <w:lang w:val="en-US"/>
        </w:rPr>
        <w:t>).</w:t>
      </w:r>
      <w:r w:rsidRPr="00D177CE">
        <w:rPr>
          <w:sz w:val="22"/>
          <w:lang w:val="en-US"/>
        </w:rPr>
        <w:t xml:space="preserve"> </w:t>
      </w:r>
      <w:r w:rsidRPr="00D177CE">
        <w:rPr>
          <w:sz w:val="22"/>
          <w:lang w:val="en-GB"/>
        </w:rPr>
        <w:t xml:space="preserve">Cutaneous leishmaniasis in Guatemala: People's knowledge, concepts and practices. Annals of Tropical Medicine &amp; </w:t>
      </w:r>
      <w:proofErr w:type="spellStart"/>
      <w:r w:rsidRPr="00D177CE">
        <w:rPr>
          <w:sz w:val="22"/>
          <w:lang w:val="en-GB"/>
        </w:rPr>
        <w:t>Parasitology</w:t>
      </w:r>
      <w:proofErr w:type="spellEnd"/>
      <w:r w:rsidRPr="00D177CE">
        <w:rPr>
          <w:sz w:val="22"/>
          <w:lang w:val="en-GB"/>
        </w:rPr>
        <w:t xml:space="preserve"> 94: 779-786</w:t>
      </w:r>
      <w:r>
        <w:rPr>
          <w:sz w:val="22"/>
          <w:lang w:val="en-GB"/>
        </w:rPr>
        <w:t>.</w:t>
      </w:r>
    </w:p>
    <w:p w:rsidR="00810929" w:rsidRPr="00D177CE" w:rsidRDefault="00810929" w:rsidP="00810929">
      <w:pPr>
        <w:ind w:left="0" w:firstLine="0"/>
        <w:rPr>
          <w:sz w:val="22"/>
          <w:lang w:val="en-US"/>
        </w:rPr>
      </w:pPr>
    </w:p>
    <w:p w:rsidR="00810929" w:rsidRPr="00D177CE" w:rsidRDefault="00810929" w:rsidP="00810929">
      <w:pPr>
        <w:ind w:left="0" w:firstLine="0"/>
        <w:rPr>
          <w:sz w:val="22"/>
          <w:lang w:val="en-GB"/>
        </w:rPr>
      </w:pPr>
      <w:proofErr w:type="gramStart"/>
      <w:r w:rsidRPr="00D177CE">
        <w:rPr>
          <w:sz w:val="22"/>
          <w:lang w:val="en-GB"/>
        </w:rPr>
        <w:t xml:space="preserve">4. </w:t>
      </w:r>
      <w:proofErr w:type="spellStart"/>
      <w:r w:rsidRPr="00D177CE">
        <w:rPr>
          <w:sz w:val="22"/>
          <w:lang w:val="en-GB"/>
        </w:rPr>
        <w:t>Herwaldt</w:t>
      </w:r>
      <w:proofErr w:type="spellEnd"/>
      <w:r w:rsidRPr="00D177CE">
        <w:rPr>
          <w:sz w:val="22"/>
          <w:lang w:val="en-GB"/>
        </w:rPr>
        <w:t xml:space="preserve"> BL, Arana BA,</w:t>
      </w:r>
      <w:r>
        <w:rPr>
          <w:sz w:val="22"/>
          <w:lang w:val="en-GB"/>
        </w:rPr>
        <w:t xml:space="preserve"> </w:t>
      </w:r>
      <w:proofErr w:type="spellStart"/>
      <w:r w:rsidRPr="00D177CE">
        <w:rPr>
          <w:sz w:val="22"/>
          <w:lang w:val="en-GB"/>
        </w:rPr>
        <w:t>Navin</w:t>
      </w:r>
      <w:proofErr w:type="spellEnd"/>
      <w:r w:rsidRPr="00D177CE">
        <w:rPr>
          <w:sz w:val="22"/>
          <w:lang w:val="en-GB"/>
        </w:rPr>
        <w:t xml:space="preserve"> TR </w:t>
      </w:r>
      <w:r>
        <w:rPr>
          <w:sz w:val="22"/>
          <w:lang w:val="en-GB"/>
        </w:rPr>
        <w:t>(</w:t>
      </w:r>
      <w:r w:rsidRPr="00D177CE">
        <w:rPr>
          <w:sz w:val="22"/>
          <w:lang w:val="en-GB"/>
        </w:rPr>
        <w:t>1992</w:t>
      </w:r>
      <w:r>
        <w:rPr>
          <w:sz w:val="22"/>
          <w:lang w:val="en-GB"/>
        </w:rPr>
        <w:t>).</w:t>
      </w:r>
      <w:proofErr w:type="gramEnd"/>
      <w:r w:rsidRPr="00D177CE">
        <w:rPr>
          <w:sz w:val="22"/>
          <w:lang w:val="en-GB"/>
        </w:rPr>
        <w:t xml:space="preserve"> </w:t>
      </w:r>
      <w:proofErr w:type="gramStart"/>
      <w:r w:rsidRPr="00D177CE">
        <w:rPr>
          <w:sz w:val="22"/>
          <w:lang w:val="en-GB"/>
        </w:rPr>
        <w:t xml:space="preserve">The natural history of cutaneous leishmaniasis, </w:t>
      </w:r>
      <w:smartTag w:uri="urn:schemas-microsoft-com:office:smarttags" w:element="place">
        <w:smartTag w:uri="urn:schemas-microsoft-com:office:smarttags" w:element="country-region">
          <w:r w:rsidRPr="00D177CE">
            <w:rPr>
              <w:sz w:val="22"/>
              <w:lang w:val="en-GB"/>
            </w:rPr>
            <w:t>Guatemala</w:t>
          </w:r>
        </w:smartTag>
      </w:smartTag>
      <w:r w:rsidRPr="00D177CE">
        <w:rPr>
          <w:sz w:val="22"/>
          <w:lang w:val="en-GB"/>
        </w:rPr>
        <w:t>.</w:t>
      </w:r>
      <w:proofErr w:type="gramEnd"/>
      <w:r w:rsidRPr="00D177CE">
        <w:rPr>
          <w:sz w:val="22"/>
          <w:lang w:val="en-GB"/>
        </w:rPr>
        <w:t xml:space="preserve"> Journal of Infectious Diseases</w:t>
      </w:r>
      <w:r>
        <w:rPr>
          <w:sz w:val="22"/>
          <w:lang w:val="en-GB"/>
        </w:rPr>
        <w:t xml:space="preserve"> </w:t>
      </w:r>
      <w:r w:rsidRPr="00D177CE">
        <w:rPr>
          <w:sz w:val="22"/>
          <w:lang w:val="en-GB"/>
        </w:rPr>
        <w:t>165:518-527</w:t>
      </w:r>
      <w:r>
        <w:rPr>
          <w:sz w:val="22"/>
          <w:lang w:val="en-GB"/>
        </w:rPr>
        <w:t>.</w:t>
      </w:r>
      <w:r w:rsidRPr="00D177CE">
        <w:rPr>
          <w:sz w:val="22"/>
          <w:lang w:val="en-GB"/>
        </w:rPr>
        <w:t xml:space="preserve"> </w:t>
      </w:r>
    </w:p>
    <w:p w:rsidR="00810929" w:rsidRPr="00D177CE" w:rsidRDefault="00810929" w:rsidP="00810929">
      <w:pPr>
        <w:ind w:left="0" w:firstLine="0"/>
        <w:rPr>
          <w:sz w:val="22"/>
          <w:lang w:val="en-GB"/>
        </w:rPr>
      </w:pPr>
    </w:p>
    <w:p w:rsidR="00810929" w:rsidRDefault="00810929" w:rsidP="00810929">
      <w:pPr>
        <w:ind w:left="0" w:firstLine="0"/>
        <w:rPr>
          <w:sz w:val="22"/>
          <w:lang w:val="en-GB"/>
        </w:rPr>
      </w:pPr>
      <w:r w:rsidRPr="00D177CE">
        <w:rPr>
          <w:sz w:val="22"/>
          <w:lang w:val="en-GB"/>
        </w:rPr>
        <w:t xml:space="preserve">5. Arana BA </w:t>
      </w:r>
      <w:r>
        <w:rPr>
          <w:sz w:val="22"/>
          <w:lang w:val="en-GB"/>
        </w:rPr>
        <w:t>(</w:t>
      </w:r>
      <w:r w:rsidRPr="00D177CE">
        <w:rPr>
          <w:sz w:val="22"/>
          <w:lang w:val="en-GB"/>
        </w:rPr>
        <w:t>1998</w:t>
      </w:r>
      <w:r>
        <w:rPr>
          <w:sz w:val="22"/>
          <w:lang w:val="en-GB"/>
        </w:rPr>
        <w:t>).</w:t>
      </w:r>
      <w:r w:rsidRPr="00D177CE">
        <w:rPr>
          <w:sz w:val="22"/>
          <w:lang w:val="en-GB"/>
        </w:rPr>
        <w:t xml:space="preserve"> </w:t>
      </w:r>
      <w:proofErr w:type="gramStart"/>
      <w:r w:rsidRPr="00D177CE">
        <w:rPr>
          <w:sz w:val="22"/>
          <w:lang w:val="en-GB"/>
        </w:rPr>
        <w:t>Toward a better understanding of cutaneous leishmaniasis in Guatemala.</w:t>
      </w:r>
      <w:proofErr w:type="gramEnd"/>
      <w:r w:rsidRPr="00D177CE">
        <w:rPr>
          <w:sz w:val="22"/>
          <w:lang w:val="en-GB"/>
        </w:rPr>
        <w:t xml:space="preserve"> </w:t>
      </w:r>
      <w:proofErr w:type="gramStart"/>
      <w:r w:rsidRPr="00D177CE">
        <w:rPr>
          <w:sz w:val="22"/>
          <w:lang w:val="en-GB"/>
        </w:rPr>
        <w:t xml:space="preserve">Ph.D. Thesis, </w:t>
      </w:r>
      <w:smartTag w:uri="urn:schemas-microsoft-com:office:smarttags" w:element="place">
        <w:smartTag w:uri="urn:schemas-microsoft-com:office:smarttags" w:element="PlaceName">
          <w:r w:rsidRPr="00D177CE">
            <w:rPr>
              <w:sz w:val="22"/>
              <w:lang w:val="en-GB"/>
            </w:rPr>
            <w:t>Liverpool</w:t>
          </w:r>
        </w:smartTag>
        <w:r w:rsidRPr="00D177CE">
          <w:rPr>
            <w:sz w:val="22"/>
            <w:lang w:val="en-GB"/>
          </w:rPr>
          <w:t xml:space="preserve"> </w:t>
        </w:r>
        <w:smartTag w:uri="urn:schemas-microsoft-com:office:smarttags" w:element="PlaceType">
          <w:r w:rsidRPr="00D177CE">
            <w:rPr>
              <w:sz w:val="22"/>
              <w:lang w:val="en-GB"/>
            </w:rPr>
            <w:t>School</w:t>
          </w:r>
        </w:smartTag>
      </w:smartTag>
      <w:r w:rsidRPr="00D177CE">
        <w:rPr>
          <w:sz w:val="22"/>
          <w:lang w:val="en-GB"/>
        </w:rPr>
        <w:t xml:space="preserve"> of Tropical Medicine.</w:t>
      </w:r>
      <w:proofErr w:type="gramEnd"/>
    </w:p>
    <w:p w:rsidR="002F7C1A" w:rsidRDefault="002F7C1A" w:rsidP="00810929"/>
    <w:sectPr w:rsidR="002F7C1A" w:rsidSect="002F7C1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31912"/>
    <w:multiLevelType w:val="multilevel"/>
    <w:tmpl w:val="9F3EB04A"/>
    <w:lvl w:ilvl="0">
      <w:start w:val="1"/>
      <w:numFmt w:val="decimal"/>
      <w:pStyle w:val="Heading1"/>
      <w:isLgl/>
      <w:lvlText w:val="%1."/>
      <w:lvlJc w:val="left"/>
      <w:pPr>
        <w:tabs>
          <w:tab w:val="num" w:pos="1134"/>
        </w:tabs>
        <w:ind w:left="1134" w:hanging="1134"/>
      </w:pPr>
      <w:rPr>
        <w:rFonts w:ascii="Arial" w:hAnsi="Arial" w:hint="default"/>
        <w:b/>
        <w:i w:val="0"/>
        <w:color w:val="000000"/>
        <w:sz w:val="32"/>
        <w:szCs w:val="32"/>
        <w:u w:color="000000"/>
      </w:rPr>
    </w:lvl>
    <w:lvl w:ilvl="1">
      <w:start w:val="1"/>
      <w:numFmt w:val="decimal"/>
      <w:pStyle w:val="Heading2"/>
      <w:isLgl/>
      <w:lvlText w:val="%1.%2."/>
      <w:lvlJc w:val="left"/>
      <w:pPr>
        <w:tabs>
          <w:tab w:val="num" w:pos="1134"/>
        </w:tabs>
        <w:ind w:left="1134" w:hanging="1134"/>
      </w:pPr>
      <w:rPr>
        <w:rFonts w:ascii="Arial" w:hAnsi="Arial" w:hint="default"/>
        <w:b/>
        <w:i w:val="0"/>
        <w:color w:val="000000"/>
        <w:sz w:val="28"/>
        <w:szCs w:val="28"/>
      </w:rPr>
    </w:lvl>
    <w:lvl w:ilvl="2">
      <w:start w:val="1"/>
      <w:numFmt w:val="decimal"/>
      <w:pStyle w:val="Heading3"/>
      <w:isLgl/>
      <w:lvlText w:val="%1.%2.%3."/>
      <w:lvlJc w:val="left"/>
      <w:pPr>
        <w:tabs>
          <w:tab w:val="num" w:pos="0"/>
        </w:tabs>
        <w:ind w:left="1134" w:hanging="1134"/>
      </w:pPr>
      <w:rPr>
        <w:rFonts w:ascii="Arial" w:hAnsi="Arial" w:hint="default"/>
        <w:b w:val="0"/>
        <w:i/>
        <w:color w:val="000000"/>
        <w:sz w:val="27"/>
        <w:szCs w:val="27"/>
      </w:rPr>
    </w:lvl>
    <w:lvl w:ilvl="3">
      <w:start w:val="1"/>
      <w:numFmt w:val="decimal"/>
      <w:pStyle w:val="Heading4"/>
      <w:lvlText w:val="%1.%2.%3.%4."/>
      <w:lvlJc w:val="left"/>
      <w:pPr>
        <w:tabs>
          <w:tab w:val="num" w:pos="1134"/>
        </w:tabs>
        <w:ind w:left="1134" w:hanging="1134"/>
      </w:pPr>
      <w:rPr>
        <w:rFonts w:ascii="Arial" w:hAnsi="Arial" w:hint="default"/>
        <w:b w:val="0"/>
        <w:i w:val="0"/>
        <w:color w:val="000000"/>
        <w:sz w:val="26"/>
        <w:szCs w:val="26"/>
      </w:rPr>
    </w:lvl>
    <w:lvl w:ilvl="4">
      <w:start w:val="1"/>
      <w:numFmt w:val="decimal"/>
      <w:lvlText w:val="%1.%2.%3.%4.%5."/>
      <w:lvlJc w:val="left"/>
      <w:pPr>
        <w:tabs>
          <w:tab w:val="num" w:pos="1402"/>
        </w:tabs>
        <w:ind w:left="1402" w:hanging="1402"/>
      </w:pPr>
      <w:rPr>
        <w:rFonts w:ascii="Arial" w:hAnsi="Arial" w:hint="default"/>
        <w:b/>
        <w:i w:val="0"/>
        <w:color w:val="000000"/>
        <w:sz w:val="24"/>
        <w:szCs w:val="24"/>
      </w:rPr>
    </w:lvl>
    <w:lvl w:ilvl="5">
      <w:start w:val="1"/>
      <w:numFmt w:val="decimal"/>
      <w:lvlText w:val="%1.%2.%3.%4.%5.%6."/>
      <w:lvlJc w:val="left"/>
      <w:pPr>
        <w:tabs>
          <w:tab w:val="num" w:pos="1701"/>
        </w:tabs>
        <w:ind w:left="1701" w:hanging="1701"/>
      </w:pPr>
      <w:rPr>
        <w:rFonts w:ascii="Arial" w:hAnsi="Arial" w:hint="default"/>
        <w:b w:val="0"/>
        <w:i w:val="0"/>
        <w:color w:val="000000"/>
        <w:sz w:val="24"/>
        <w:szCs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nsid w:val="682F2FE4"/>
    <w:multiLevelType w:val="hybridMultilevel"/>
    <w:tmpl w:val="D708F5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810929"/>
    <w:rsid w:val="000028F1"/>
    <w:rsid w:val="00010242"/>
    <w:rsid w:val="00046B72"/>
    <w:rsid w:val="00052A25"/>
    <w:rsid w:val="0005677D"/>
    <w:rsid w:val="000578BC"/>
    <w:rsid w:val="000848FF"/>
    <w:rsid w:val="000B48D7"/>
    <w:rsid w:val="000E5115"/>
    <w:rsid w:val="000F0175"/>
    <w:rsid w:val="000F1E62"/>
    <w:rsid w:val="001168B6"/>
    <w:rsid w:val="00134E9F"/>
    <w:rsid w:val="00141FD2"/>
    <w:rsid w:val="0016660D"/>
    <w:rsid w:val="00194CED"/>
    <w:rsid w:val="001B2C47"/>
    <w:rsid w:val="001E4D96"/>
    <w:rsid w:val="002000DA"/>
    <w:rsid w:val="00215613"/>
    <w:rsid w:val="00220DFD"/>
    <w:rsid w:val="0024005B"/>
    <w:rsid w:val="00245DB8"/>
    <w:rsid w:val="00252F0C"/>
    <w:rsid w:val="00270F6A"/>
    <w:rsid w:val="00272C75"/>
    <w:rsid w:val="00272E09"/>
    <w:rsid w:val="0027629F"/>
    <w:rsid w:val="00280D78"/>
    <w:rsid w:val="002C258B"/>
    <w:rsid w:val="002F4248"/>
    <w:rsid w:val="002F6463"/>
    <w:rsid w:val="002F7C1A"/>
    <w:rsid w:val="00315ECC"/>
    <w:rsid w:val="003229A6"/>
    <w:rsid w:val="003310F3"/>
    <w:rsid w:val="00333A3A"/>
    <w:rsid w:val="0034701D"/>
    <w:rsid w:val="0036003C"/>
    <w:rsid w:val="00363320"/>
    <w:rsid w:val="00374366"/>
    <w:rsid w:val="003A44B4"/>
    <w:rsid w:val="003B3568"/>
    <w:rsid w:val="003B73ED"/>
    <w:rsid w:val="003D1FFD"/>
    <w:rsid w:val="003E1DA2"/>
    <w:rsid w:val="003F1346"/>
    <w:rsid w:val="00412019"/>
    <w:rsid w:val="00412575"/>
    <w:rsid w:val="00420168"/>
    <w:rsid w:val="004264FD"/>
    <w:rsid w:val="00491E29"/>
    <w:rsid w:val="004A37D9"/>
    <w:rsid w:val="004A5A5B"/>
    <w:rsid w:val="004C53F0"/>
    <w:rsid w:val="004D15B3"/>
    <w:rsid w:val="005100AA"/>
    <w:rsid w:val="00570157"/>
    <w:rsid w:val="0057148C"/>
    <w:rsid w:val="005724D3"/>
    <w:rsid w:val="00581469"/>
    <w:rsid w:val="00593992"/>
    <w:rsid w:val="005C6498"/>
    <w:rsid w:val="005F2E6A"/>
    <w:rsid w:val="005F2F62"/>
    <w:rsid w:val="005F4AD0"/>
    <w:rsid w:val="0062498A"/>
    <w:rsid w:val="00626A99"/>
    <w:rsid w:val="006272A7"/>
    <w:rsid w:val="00641A14"/>
    <w:rsid w:val="00653580"/>
    <w:rsid w:val="00661504"/>
    <w:rsid w:val="00690048"/>
    <w:rsid w:val="006C198E"/>
    <w:rsid w:val="006E008C"/>
    <w:rsid w:val="006E2CDF"/>
    <w:rsid w:val="006E718B"/>
    <w:rsid w:val="0071174C"/>
    <w:rsid w:val="00740C76"/>
    <w:rsid w:val="0075377D"/>
    <w:rsid w:val="007A78DF"/>
    <w:rsid w:val="007C7FD3"/>
    <w:rsid w:val="007D3253"/>
    <w:rsid w:val="007E18CB"/>
    <w:rsid w:val="007E4A87"/>
    <w:rsid w:val="008006B5"/>
    <w:rsid w:val="008016D2"/>
    <w:rsid w:val="00810929"/>
    <w:rsid w:val="00832051"/>
    <w:rsid w:val="00837717"/>
    <w:rsid w:val="008403F6"/>
    <w:rsid w:val="00847BE4"/>
    <w:rsid w:val="00851DE1"/>
    <w:rsid w:val="0086504E"/>
    <w:rsid w:val="00895527"/>
    <w:rsid w:val="00896966"/>
    <w:rsid w:val="008B250E"/>
    <w:rsid w:val="008D3496"/>
    <w:rsid w:val="008F2D26"/>
    <w:rsid w:val="009511C6"/>
    <w:rsid w:val="009B22FB"/>
    <w:rsid w:val="009C14CB"/>
    <w:rsid w:val="009C200B"/>
    <w:rsid w:val="009C319F"/>
    <w:rsid w:val="009C624C"/>
    <w:rsid w:val="009D1B5E"/>
    <w:rsid w:val="009F64EB"/>
    <w:rsid w:val="009F775A"/>
    <w:rsid w:val="00A45DA3"/>
    <w:rsid w:val="00A5035E"/>
    <w:rsid w:val="00A5411A"/>
    <w:rsid w:val="00A541A7"/>
    <w:rsid w:val="00A629D5"/>
    <w:rsid w:val="00A85111"/>
    <w:rsid w:val="00AD2F5D"/>
    <w:rsid w:val="00B15964"/>
    <w:rsid w:val="00B16204"/>
    <w:rsid w:val="00B433DC"/>
    <w:rsid w:val="00B476C3"/>
    <w:rsid w:val="00B96E52"/>
    <w:rsid w:val="00BA6E8F"/>
    <w:rsid w:val="00BB2383"/>
    <w:rsid w:val="00BE00C5"/>
    <w:rsid w:val="00C12906"/>
    <w:rsid w:val="00C1518C"/>
    <w:rsid w:val="00C236BD"/>
    <w:rsid w:val="00C244F5"/>
    <w:rsid w:val="00C264F2"/>
    <w:rsid w:val="00C47B72"/>
    <w:rsid w:val="00C7126E"/>
    <w:rsid w:val="00C75CF6"/>
    <w:rsid w:val="00C87D01"/>
    <w:rsid w:val="00C91A71"/>
    <w:rsid w:val="00CA637B"/>
    <w:rsid w:val="00CA71FE"/>
    <w:rsid w:val="00CF5DD0"/>
    <w:rsid w:val="00D05103"/>
    <w:rsid w:val="00D17D57"/>
    <w:rsid w:val="00D36E3A"/>
    <w:rsid w:val="00D5084A"/>
    <w:rsid w:val="00D513BD"/>
    <w:rsid w:val="00D541EC"/>
    <w:rsid w:val="00D6288C"/>
    <w:rsid w:val="00D83F8A"/>
    <w:rsid w:val="00D92869"/>
    <w:rsid w:val="00D95254"/>
    <w:rsid w:val="00DA0AB5"/>
    <w:rsid w:val="00DA14E3"/>
    <w:rsid w:val="00DB6D7C"/>
    <w:rsid w:val="00DD1ADE"/>
    <w:rsid w:val="00DF5A78"/>
    <w:rsid w:val="00DF6C46"/>
    <w:rsid w:val="00E147C3"/>
    <w:rsid w:val="00E17729"/>
    <w:rsid w:val="00E21063"/>
    <w:rsid w:val="00E370A8"/>
    <w:rsid w:val="00E474BF"/>
    <w:rsid w:val="00E47A87"/>
    <w:rsid w:val="00E65F1E"/>
    <w:rsid w:val="00E7082F"/>
    <w:rsid w:val="00E828CE"/>
    <w:rsid w:val="00E87373"/>
    <w:rsid w:val="00EB1F13"/>
    <w:rsid w:val="00EF27B3"/>
    <w:rsid w:val="00F03A91"/>
    <w:rsid w:val="00F14B40"/>
    <w:rsid w:val="00F16575"/>
    <w:rsid w:val="00F25542"/>
    <w:rsid w:val="00F87752"/>
    <w:rsid w:val="00F94E78"/>
    <w:rsid w:val="00FB0CFB"/>
    <w:rsid w:val="00FB6AA1"/>
    <w:rsid w:val="00FC58EE"/>
    <w:rsid w:val="00FD22F3"/>
    <w:rsid w:val="00FD59CB"/>
    <w:rsid w:val="00FE1BC6"/>
    <w:rsid w:val="00FE26F4"/>
    <w:rsid w:val="00FE575B"/>
    <w:rsid w:val="00FE79B4"/>
    <w:rsid w:val="00FF1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0929"/>
    <w:pPr>
      <w:spacing w:after="0" w:line="240" w:lineRule="auto"/>
      <w:ind w:left="720" w:hanging="720"/>
      <w:jc w:val="both"/>
    </w:pPr>
    <w:rPr>
      <w:rFonts w:ascii="Arial" w:eastAsia="Calibri" w:hAnsi="Arial" w:cs="Arial"/>
      <w:sz w:val="24"/>
      <w:lang w:val="es-CO"/>
    </w:rPr>
  </w:style>
  <w:style w:type="paragraph" w:styleId="Heading1">
    <w:name w:val="heading 1"/>
    <w:next w:val="Normal"/>
    <w:link w:val="Heading1Char"/>
    <w:qFormat/>
    <w:rsid w:val="00F14B40"/>
    <w:pPr>
      <w:keepNext/>
      <w:numPr>
        <w:numId w:val="4"/>
      </w:numPr>
      <w:spacing w:before="480" w:after="240" w:line="240" w:lineRule="auto"/>
      <w:outlineLvl w:val="0"/>
    </w:pPr>
    <w:rPr>
      <w:rFonts w:ascii="Arial" w:eastAsia="Times New Roman" w:hAnsi="Arial" w:cs="Arial"/>
      <w:b/>
      <w:bCs/>
      <w:kern w:val="32"/>
      <w:sz w:val="32"/>
      <w:szCs w:val="32"/>
      <w:lang w:val="de-AT" w:eastAsia="de-AT"/>
    </w:rPr>
  </w:style>
  <w:style w:type="paragraph" w:styleId="Heading2">
    <w:name w:val="heading 2"/>
    <w:next w:val="Normal"/>
    <w:link w:val="Heading2Char"/>
    <w:qFormat/>
    <w:rsid w:val="00F14B40"/>
    <w:pPr>
      <w:keepNext/>
      <w:numPr>
        <w:ilvl w:val="1"/>
        <w:numId w:val="4"/>
      </w:numPr>
      <w:spacing w:before="240" w:after="60" w:line="240" w:lineRule="auto"/>
      <w:outlineLvl w:val="1"/>
    </w:pPr>
    <w:rPr>
      <w:rFonts w:ascii="Arial" w:eastAsia="Times New Roman" w:hAnsi="Arial" w:cs="Arial"/>
      <w:b/>
      <w:bCs/>
      <w:iCs/>
      <w:sz w:val="28"/>
      <w:szCs w:val="28"/>
      <w:lang w:val="de-AT" w:eastAsia="de-AT"/>
    </w:rPr>
  </w:style>
  <w:style w:type="paragraph" w:styleId="Heading3">
    <w:name w:val="heading 3"/>
    <w:next w:val="Normal"/>
    <w:link w:val="Heading3Char"/>
    <w:qFormat/>
    <w:rsid w:val="00F14B40"/>
    <w:pPr>
      <w:keepNext/>
      <w:numPr>
        <w:ilvl w:val="2"/>
        <w:numId w:val="4"/>
      </w:numPr>
      <w:spacing w:before="240" w:after="60" w:line="240" w:lineRule="auto"/>
      <w:outlineLvl w:val="2"/>
    </w:pPr>
    <w:rPr>
      <w:rFonts w:ascii="Arial" w:eastAsia="Times New Roman" w:hAnsi="Arial" w:cs="Arial"/>
      <w:bCs/>
      <w:i/>
      <w:sz w:val="27"/>
      <w:szCs w:val="26"/>
      <w:lang w:val="de-AT" w:eastAsia="de-AT"/>
    </w:rPr>
  </w:style>
  <w:style w:type="paragraph" w:styleId="Heading4">
    <w:name w:val="heading 4"/>
    <w:next w:val="Normal"/>
    <w:link w:val="Heading4Char"/>
    <w:qFormat/>
    <w:rsid w:val="00F14B40"/>
    <w:pPr>
      <w:keepNext/>
      <w:numPr>
        <w:ilvl w:val="3"/>
        <w:numId w:val="4"/>
      </w:numPr>
      <w:spacing w:before="240" w:after="120" w:line="240" w:lineRule="auto"/>
      <w:outlineLvl w:val="3"/>
    </w:pPr>
    <w:rPr>
      <w:rFonts w:ascii="Arial" w:eastAsia="Times New Roman" w:hAnsi="Arial" w:cs="Times New Roman"/>
      <w:bCs/>
      <w:sz w:val="26"/>
      <w:szCs w:val="28"/>
      <w:lang w:val="de-AT" w:eastAsia="de-AT"/>
    </w:rPr>
  </w:style>
  <w:style w:type="paragraph" w:styleId="Heading5">
    <w:name w:val="heading 5"/>
    <w:basedOn w:val="Normal"/>
    <w:next w:val="Normal"/>
    <w:link w:val="Heading5Char"/>
    <w:qFormat/>
    <w:rsid w:val="00F14B40"/>
    <w:pPr>
      <w:spacing w:before="200"/>
      <w:ind w:left="1008" w:hanging="1008"/>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qFormat/>
    <w:rsid w:val="00F14B40"/>
    <w:pPr>
      <w:spacing w:line="271" w:lineRule="auto"/>
      <w:ind w:left="1152" w:hanging="1152"/>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qFormat/>
    <w:rsid w:val="00F14B40"/>
    <w:pPr>
      <w:ind w:left="1296" w:hanging="1296"/>
      <w:outlineLvl w:val="6"/>
    </w:pPr>
    <w:rPr>
      <w:rFonts w:ascii="Cambria" w:eastAsia="Times New Roman" w:hAnsi="Cambria" w:cs="Times New Roman"/>
      <w:i/>
      <w:iCs/>
      <w:lang w:bidi="en-US"/>
    </w:rPr>
  </w:style>
  <w:style w:type="paragraph" w:styleId="Heading8">
    <w:name w:val="heading 8"/>
    <w:basedOn w:val="Normal"/>
    <w:next w:val="Normal"/>
    <w:link w:val="Heading8Char"/>
    <w:qFormat/>
    <w:rsid w:val="00F14B40"/>
    <w:pPr>
      <w:ind w:left="1440" w:hanging="1440"/>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qFormat/>
    <w:rsid w:val="00F14B40"/>
    <w:pPr>
      <w:ind w:left="1584" w:hanging="1584"/>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B40"/>
    <w:rPr>
      <w:rFonts w:ascii="Arial" w:eastAsia="Times New Roman" w:hAnsi="Arial" w:cs="Arial"/>
      <w:b/>
      <w:bCs/>
      <w:kern w:val="32"/>
      <w:sz w:val="32"/>
      <w:szCs w:val="32"/>
      <w:lang w:val="de-AT" w:eastAsia="de-AT"/>
    </w:rPr>
  </w:style>
  <w:style w:type="character" w:customStyle="1" w:styleId="Heading2Char">
    <w:name w:val="Heading 2 Char"/>
    <w:basedOn w:val="DefaultParagraphFont"/>
    <w:link w:val="Heading2"/>
    <w:rsid w:val="00F14B40"/>
    <w:rPr>
      <w:rFonts w:ascii="Arial" w:eastAsia="Times New Roman" w:hAnsi="Arial" w:cs="Arial"/>
      <w:b/>
      <w:bCs/>
      <w:iCs/>
      <w:sz w:val="28"/>
      <w:szCs w:val="28"/>
      <w:lang w:val="de-AT" w:eastAsia="de-AT"/>
    </w:rPr>
  </w:style>
  <w:style w:type="character" w:customStyle="1" w:styleId="Heading3Char">
    <w:name w:val="Heading 3 Char"/>
    <w:basedOn w:val="DefaultParagraphFont"/>
    <w:link w:val="Heading3"/>
    <w:rsid w:val="00F14B40"/>
    <w:rPr>
      <w:rFonts w:ascii="Arial" w:eastAsia="Times New Roman" w:hAnsi="Arial" w:cs="Arial"/>
      <w:bCs/>
      <w:i/>
      <w:sz w:val="27"/>
      <w:szCs w:val="26"/>
      <w:lang w:val="de-AT" w:eastAsia="de-AT"/>
    </w:rPr>
  </w:style>
  <w:style w:type="character" w:customStyle="1" w:styleId="Heading4Char">
    <w:name w:val="Heading 4 Char"/>
    <w:basedOn w:val="DefaultParagraphFont"/>
    <w:link w:val="Heading4"/>
    <w:rsid w:val="00F14B40"/>
    <w:rPr>
      <w:rFonts w:ascii="Arial" w:eastAsia="Times New Roman" w:hAnsi="Arial" w:cs="Times New Roman"/>
      <w:bCs/>
      <w:sz w:val="26"/>
      <w:szCs w:val="28"/>
      <w:lang w:val="de-AT" w:eastAsia="de-AT"/>
    </w:rPr>
  </w:style>
  <w:style w:type="character" w:customStyle="1" w:styleId="Heading5Char">
    <w:name w:val="Heading 5 Char"/>
    <w:basedOn w:val="DefaultParagraphFont"/>
    <w:link w:val="Heading5"/>
    <w:rsid w:val="00F14B40"/>
    <w:rPr>
      <w:rFonts w:ascii="Cambria" w:eastAsia="Times New Roman" w:hAnsi="Cambria" w:cs="Times New Roman"/>
      <w:b/>
      <w:bCs/>
      <w:color w:val="7F7F7F"/>
      <w:lang w:bidi="en-US"/>
    </w:rPr>
  </w:style>
  <w:style w:type="character" w:customStyle="1" w:styleId="Heading6Char">
    <w:name w:val="Heading 6 Char"/>
    <w:basedOn w:val="DefaultParagraphFont"/>
    <w:link w:val="Heading6"/>
    <w:rsid w:val="00F14B40"/>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rsid w:val="00F14B40"/>
    <w:rPr>
      <w:rFonts w:ascii="Cambria" w:eastAsia="Times New Roman" w:hAnsi="Cambria" w:cs="Times New Roman"/>
      <w:i/>
      <w:iCs/>
      <w:lang w:bidi="en-US"/>
    </w:rPr>
  </w:style>
  <w:style w:type="character" w:customStyle="1" w:styleId="Heading8Char">
    <w:name w:val="Heading 8 Char"/>
    <w:basedOn w:val="DefaultParagraphFont"/>
    <w:link w:val="Heading8"/>
    <w:rsid w:val="00F14B40"/>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F14B40"/>
    <w:rPr>
      <w:rFonts w:ascii="Cambria" w:eastAsia="Times New Roman" w:hAnsi="Cambria" w:cs="Times New Roman"/>
      <w:i/>
      <w:iCs/>
      <w:spacing w:val="5"/>
      <w:sz w:val="20"/>
      <w:szCs w:val="20"/>
      <w:lang w:bidi="en-US"/>
    </w:rPr>
  </w:style>
  <w:style w:type="paragraph" w:styleId="ListParagraph">
    <w:name w:val="List Paragraph"/>
    <w:basedOn w:val="Normal"/>
    <w:uiPriority w:val="34"/>
    <w:qFormat/>
    <w:rsid w:val="00F14B40"/>
    <w:pPr>
      <w:contextualSpacing/>
    </w:pPr>
  </w:style>
  <w:style w:type="paragraph" w:styleId="TOCHeading">
    <w:name w:val="TOC Heading"/>
    <w:basedOn w:val="Heading1"/>
    <w:next w:val="Normal"/>
    <w:uiPriority w:val="39"/>
    <w:semiHidden/>
    <w:unhideWhenUsed/>
    <w:qFormat/>
    <w:rsid w:val="00F14B40"/>
    <w:pPr>
      <w:keepLines/>
      <w:numPr>
        <w:numId w:val="0"/>
      </w:numPr>
      <w:spacing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BodyText">
    <w:name w:val="Body Text"/>
    <w:basedOn w:val="Normal"/>
    <w:link w:val="BodyTextChar"/>
    <w:rsid w:val="00810929"/>
    <w:pPr>
      <w:spacing w:after="120"/>
      <w:ind w:left="0" w:firstLine="0"/>
      <w:jc w:val="left"/>
    </w:pPr>
    <w:rPr>
      <w:rFonts w:ascii="Times New Roman" w:eastAsia="Times New Roman" w:hAnsi="Times New Roman" w:cs="Times New Roman"/>
      <w:szCs w:val="24"/>
      <w:lang w:val="en-US"/>
    </w:rPr>
  </w:style>
  <w:style w:type="character" w:customStyle="1" w:styleId="BodyTextChar">
    <w:name w:val="Body Text Char"/>
    <w:basedOn w:val="DefaultParagraphFont"/>
    <w:link w:val="BodyText"/>
    <w:rsid w:val="0081092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10929"/>
    <w:rPr>
      <w:rFonts w:ascii="Tahoma" w:hAnsi="Tahoma" w:cs="Tahoma"/>
      <w:sz w:val="16"/>
      <w:szCs w:val="16"/>
    </w:rPr>
  </w:style>
  <w:style w:type="character" w:customStyle="1" w:styleId="BalloonTextChar">
    <w:name w:val="Balloon Text Char"/>
    <w:basedOn w:val="DefaultParagraphFont"/>
    <w:link w:val="BalloonText"/>
    <w:uiPriority w:val="99"/>
    <w:semiHidden/>
    <w:rsid w:val="00810929"/>
    <w:rPr>
      <w:rFonts w:ascii="Tahoma" w:eastAsia="Calibri" w:hAnsi="Tahoma" w:cs="Tahoma"/>
      <w:sz w:val="16"/>
      <w:szCs w:val="16"/>
      <w:lang w:val="es-CO"/>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autoTitleDeleted val="1"/>
    <c:view3D>
      <c:rotX val="25"/>
      <c:hPercent val="51"/>
      <c:depthPercent val="100"/>
      <c:rAngAx val="1"/>
    </c:view3D>
    <c:floor>
      <c:spPr>
        <a:solidFill>
          <a:srgbClr val="C0C0C0"/>
        </a:solidFill>
        <a:ln w="3175">
          <a:solidFill>
            <a:srgbClr val="000000"/>
          </a:solidFill>
          <a:prstDash val="solid"/>
        </a:ln>
      </c:spPr>
    </c:floor>
    <c:sideWall>
      <c:spPr>
        <a:noFill/>
        <a:ln w="25400">
          <a:noFill/>
        </a:ln>
      </c:spPr>
    </c:sideWall>
    <c:backWall>
      <c:spPr>
        <a:noFill/>
        <a:ln w="25400">
          <a:noFill/>
        </a:ln>
      </c:spPr>
    </c:backWall>
    <c:plotArea>
      <c:layout>
        <c:manualLayout>
          <c:layoutTarget val="inner"/>
          <c:xMode val="edge"/>
          <c:yMode val="edge"/>
          <c:x val="0.10288808664259926"/>
          <c:y val="3.7931034482758641E-2"/>
          <c:w val="0.87906137184115518"/>
          <c:h val="0.78620689655172415"/>
        </c:manualLayout>
      </c:layout>
      <c:bar3DChart>
        <c:barDir val="col"/>
        <c:grouping val="clustered"/>
        <c:ser>
          <c:idx val="0"/>
          <c:order val="0"/>
          <c:tx>
            <c:strRef>
              <c:f>Sheet1!$A$2</c:f>
              <c:strCache>
                <c:ptCount val="1"/>
                <c:pt idx="0">
                  <c:v>cases</c:v>
                </c:pt>
              </c:strCache>
            </c:strRef>
          </c:tx>
          <c:spPr>
            <a:solidFill>
              <a:srgbClr val="4F81BD"/>
            </a:solidFill>
            <a:ln w="12699">
              <a:solidFill>
                <a:srgbClr val="000000"/>
              </a:solidFill>
              <a:prstDash val="solid"/>
            </a:ln>
          </c:spPr>
          <c:cat>
            <c:numRef>
              <c:f>Sheet1!$B$1:$J$1</c:f>
              <c:numCache>
                <c:formatCode>General</c:formatCode>
                <c:ptCount val="9"/>
                <c:pt idx="0">
                  <c:v>2002</c:v>
                </c:pt>
                <c:pt idx="1">
                  <c:v>2003</c:v>
                </c:pt>
                <c:pt idx="2">
                  <c:v>2004</c:v>
                </c:pt>
                <c:pt idx="3">
                  <c:v>2005</c:v>
                </c:pt>
                <c:pt idx="4">
                  <c:v>2006</c:v>
                </c:pt>
                <c:pt idx="5">
                  <c:v>2007</c:v>
                </c:pt>
                <c:pt idx="6">
                  <c:v>2008</c:v>
                </c:pt>
                <c:pt idx="7">
                  <c:v>2009</c:v>
                </c:pt>
                <c:pt idx="8">
                  <c:v>2010</c:v>
                </c:pt>
              </c:numCache>
            </c:numRef>
          </c:cat>
          <c:val>
            <c:numRef>
              <c:f>Sheet1!$B$2:$J$2</c:f>
              <c:numCache>
                <c:formatCode>General</c:formatCode>
                <c:ptCount val="9"/>
                <c:pt idx="0">
                  <c:v>1545</c:v>
                </c:pt>
                <c:pt idx="1">
                  <c:v>1143</c:v>
                </c:pt>
                <c:pt idx="2">
                  <c:v>870</c:v>
                </c:pt>
                <c:pt idx="3">
                  <c:v>843</c:v>
                </c:pt>
                <c:pt idx="4">
                  <c:v>602</c:v>
                </c:pt>
                <c:pt idx="5">
                  <c:v>287</c:v>
                </c:pt>
                <c:pt idx="6">
                  <c:v>418</c:v>
                </c:pt>
                <c:pt idx="7">
                  <c:v>300</c:v>
                </c:pt>
                <c:pt idx="8">
                  <c:v>435</c:v>
                </c:pt>
              </c:numCache>
            </c:numRef>
          </c:val>
        </c:ser>
        <c:gapDepth val="0"/>
        <c:shape val="box"/>
        <c:axId val="572966016"/>
        <c:axId val="572967552"/>
        <c:axId val="0"/>
      </c:bar3DChart>
      <c:catAx>
        <c:axId val="572966016"/>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572967552"/>
        <c:crosses val="autoZero"/>
        <c:auto val="1"/>
        <c:lblAlgn val="ctr"/>
        <c:lblOffset val="100"/>
        <c:tickLblSkip val="1"/>
        <c:tickMarkSkip val="1"/>
      </c:catAx>
      <c:valAx>
        <c:axId val="572967552"/>
        <c:scaling>
          <c:orientation val="minMax"/>
        </c:scaling>
        <c:axPos val="l"/>
        <c:numFmt formatCode="General" sourceLinked="1"/>
        <c:tickLblPos val="nextTo"/>
        <c:spPr>
          <a:ln w="3175">
            <a:solidFill>
              <a:srgbClr val="000000"/>
            </a:solidFill>
            <a:prstDash val="solid"/>
          </a:ln>
        </c:spPr>
        <c:txPr>
          <a:bodyPr rot="0" vert="horz"/>
          <a:lstStyle/>
          <a:p>
            <a:pPr>
              <a:defRPr sz="800" b="1" i="0" u="none" strike="noStrike" baseline="0">
                <a:solidFill>
                  <a:srgbClr val="000000"/>
                </a:solidFill>
                <a:latin typeface="Arial"/>
                <a:ea typeface="Arial"/>
                <a:cs typeface="Arial"/>
              </a:defRPr>
            </a:pPr>
            <a:endParaRPr lang="en-US"/>
          </a:p>
        </c:txPr>
        <c:crossAx val="572966016"/>
        <c:crosses val="autoZero"/>
        <c:crossBetween val="between"/>
      </c:valAx>
      <c:dTable>
        <c:showHorzBorder val="1"/>
        <c:showVertBorder val="1"/>
        <c:showOutline val="1"/>
        <c:showKeys val="1"/>
        <c:spPr>
          <a:ln w="3175">
            <a:solidFill>
              <a:srgbClr val="000000"/>
            </a:solidFill>
            <a:prstDash val="solid"/>
          </a:ln>
        </c:spPr>
        <c:txPr>
          <a:bodyPr/>
          <a:lstStyle/>
          <a:p>
            <a:pPr rtl="0">
              <a:defRPr sz="800" b="0" i="0" u="none" strike="noStrike" baseline="0">
                <a:solidFill>
                  <a:srgbClr val="000000"/>
                </a:solidFill>
                <a:latin typeface="Arial"/>
                <a:ea typeface="Arial"/>
                <a:cs typeface="Arial"/>
              </a:defRPr>
            </a:pPr>
            <a:endParaRPr lang="en-US"/>
          </a:p>
        </c:txPr>
      </c:dTable>
      <c:spPr>
        <a:noFill/>
        <a:ln w="25398">
          <a:noFill/>
        </a:ln>
      </c:spPr>
    </c:plotArea>
    <c:plotVisOnly val="1"/>
    <c:dispBlanksAs val="gap"/>
  </c:chart>
  <c:spPr>
    <a:noFill/>
    <a:ln>
      <a:noFill/>
    </a:ln>
  </c:spPr>
  <c:txPr>
    <a:bodyPr/>
    <a:lstStyle/>
    <a:p>
      <a:pPr>
        <a:defRPr sz="800" b="1" i="0" u="none" strike="noStrike" baseline="0">
          <a:solidFill>
            <a:srgbClr val="000000"/>
          </a:solidFill>
          <a:latin typeface="Arial"/>
          <a:ea typeface="Arial"/>
          <a:cs typeface="Arial"/>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1031</Words>
  <Characters>5883</Characters>
  <Application>Microsoft Office Word</Application>
  <DocSecurity>0</DocSecurity>
  <Lines>49</Lines>
  <Paragraphs>13</Paragraphs>
  <ScaleCrop>false</ScaleCrop>
  <Company/>
  <LinksUpToDate>false</LinksUpToDate>
  <CharactersWithSpaces>6901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2012-04-01T21:02:00Z</dcterms:created>
  <dcterms:modified xsi:type="dcterms:W3CDTF">2012-04-01T21:09:00Z</dcterms:modified>
</cp:coreProperties>
</file>