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11" w:rsidRPr="00F704D4" w:rsidRDefault="00122F11" w:rsidP="00122F11">
      <w:pPr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704D4">
            <w:rPr>
              <w:b/>
              <w:sz w:val="22"/>
              <w:u w:val="single"/>
              <w:lang w:val="en-US"/>
            </w:rPr>
            <w:t>GREECE</w:t>
          </w:r>
        </w:smartTag>
      </w:smartTag>
      <w:r w:rsidRPr="00F704D4">
        <w:rPr>
          <w:b/>
          <w:sz w:val="22"/>
          <w:u w:val="single"/>
          <w:lang w:val="en-US"/>
        </w:rPr>
        <w:t xml:space="preserve"> </w:t>
      </w:r>
    </w:p>
    <w:p w:rsidR="00122F11" w:rsidRDefault="00122F11" w:rsidP="00122F11">
      <w:pPr>
        <w:rPr>
          <w:b/>
          <w:sz w:val="22"/>
          <w:lang w:val="en-US"/>
        </w:rPr>
      </w:pPr>
    </w:p>
    <w:p w:rsidR="00122F11" w:rsidRDefault="00122F11" w:rsidP="00122F11">
      <w:pPr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2400300" cy="16078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11" w:rsidRDefault="00122F11" w:rsidP="00122F11">
      <w:pPr>
        <w:rPr>
          <w:b/>
          <w:sz w:val="22"/>
          <w:lang w:val="en-US"/>
        </w:rPr>
      </w:pPr>
    </w:p>
    <w:p w:rsidR="00122F11" w:rsidRPr="00F704D4" w:rsidRDefault="00122F11" w:rsidP="00122F11">
      <w:pPr>
        <w:rPr>
          <w:b/>
          <w:sz w:val="22"/>
          <w:lang w:val="en-US"/>
        </w:rPr>
      </w:pPr>
    </w:p>
    <w:p w:rsidR="00122F11" w:rsidRDefault="00122F11" w:rsidP="00122F11">
      <w:pPr>
        <w:rPr>
          <w:b/>
          <w:sz w:val="22"/>
          <w:lang w:val="en-US"/>
        </w:rPr>
      </w:pPr>
      <w:r w:rsidRPr="00F704D4">
        <w:rPr>
          <w:b/>
          <w:sz w:val="22"/>
          <w:lang w:val="en-US"/>
        </w:rPr>
        <w:t>BASIC COUNTRY DATA</w:t>
      </w:r>
    </w:p>
    <w:p w:rsidR="00122F11" w:rsidRPr="00F704D4" w:rsidRDefault="00122F11" w:rsidP="00122F11">
      <w:pPr>
        <w:rPr>
          <w:b/>
          <w:sz w:val="22"/>
          <w:lang w:val="en-US"/>
        </w:rPr>
      </w:pPr>
    </w:p>
    <w:p w:rsidR="00122F11" w:rsidRPr="00F704D4" w:rsidRDefault="00122F11" w:rsidP="00122F11">
      <w:pPr>
        <w:rPr>
          <w:sz w:val="22"/>
          <w:lang w:val="en-US"/>
        </w:rPr>
      </w:pPr>
      <w:r w:rsidRPr="00F704D4">
        <w:rPr>
          <w:sz w:val="22"/>
          <w:lang w:val="en-US"/>
        </w:rPr>
        <w:t>Total Population: 11</w:t>
      </w:r>
      <w:r>
        <w:rPr>
          <w:sz w:val="22"/>
          <w:lang w:val="en-US"/>
        </w:rPr>
        <w:t>,319,048</w:t>
      </w:r>
      <w:r w:rsidRPr="00F704D4">
        <w:rPr>
          <w:sz w:val="22"/>
          <w:lang w:val="en-US"/>
        </w:rPr>
        <w:t xml:space="preserve"> </w:t>
      </w:r>
    </w:p>
    <w:p w:rsidR="00122F11" w:rsidRPr="00F704D4" w:rsidRDefault="00122F11" w:rsidP="00122F11">
      <w:pPr>
        <w:rPr>
          <w:sz w:val="22"/>
          <w:lang w:val="en-US"/>
        </w:rPr>
      </w:pPr>
      <w:r w:rsidRPr="00F704D4">
        <w:rPr>
          <w:sz w:val="22"/>
          <w:lang w:val="en-US"/>
        </w:rPr>
        <w:t>Population 0-14 years: 1</w:t>
      </w:r>
      <w:r>
        <w:rPr>
          <w:sz w:val="22"/>
          <w:lang w:val="en-US"/>
        </w:rPr>
        <w:t>5</w:t>
      </w:r>
      <w:r w:rsidRPr="00F704D4">
        <w:rPr>
          <w:sz w:val="22"/>
          <w:lang w:val="en-US"/>
        </w:rPr>
        <w:t xml:space="preserve">% </w:t>
      </w:r>
    </w:p>
    <w:p w:rsidR="00122F11" w:rsidRPr="00F704D4" w:rsidRDefault="00122F11" w:rsidP="00122F11">
      <w:pPr>
        <w:rPr>
          <w:sz w:val="22"/>
          <w:lang w:val="en-US"/>
        </w:rPr>
      </w:pPr>
      <w:r w:rsidRPr="00F704D4">
        <w:rPr>
          <w:sz w:val="22"/>
          <w:lang w:val="en-US"/>
        </w:rPr>
        <w:t xml:space="preserve">Rural population: </w:t>
      </w:r>
      <w:r>
        <w:rPr>
          <w:sz w:val="22"/>
          <w:lang w:val="en-US"/>
        </w:rPr>
        <w:t>39</w:t>
      </w:r>
      <w:r w:rsidRPr="00F704D4">
        <w:rPr>
          <w:sz w:val="22"/>
          <w:lang w:val="en-US"/>
        </w:rPr>
        <w:t xml:space="preserve">% </w:t>
      </w:r>
    </w:p>
    <w:p w:rsidR="00122F11" w:rsidRDefault="00122F11" w:rsidP="00122F11">
      <w:pPr>
        <w:rPr>
          <w:sz w:val="22"/>
          <w:lang w:val="en-US"/>
        </w:rPr>
      </w:pPr>
      <w:r>
        <w:rPr>
          <w:sz w:val="22"/>
          <w:lang w:val="en-US"/>
        </w:rPr>
        <w:t xml:space="preserve">Population living under </w:t>
      </w:r>
      <w:r w:rsidRPr="004F0938">
        <w:rPr>
          <w:sz w:val="22"/>
          <w:lang w:val="en-US"/>
        </w:rPr>
        <w:t>USD 1</w:t>
      </w:r>
      <w:r>
        <w:rPr>
          <w:sz w:val="22"/>
          <w:lang w:val="en-US"/>
        </w:rPr>
        <w:t>.25</w:t>
      </w:r>
      <w:r w:rsidRPr="004F0938">
        <w:rPr>
          <w:sz w:val="22"/>
          <w:lang w:val="en-US"/>
        </w:rPr>
        <w:t xml:space="preserve"> </w:t>
      </w:r>
      <w:r>
        <w:rPr>
          <w:sz w:val="22"/>
          <w:lang w:val="en-US"/>
        </w:rPr>
        <w:t>a</w:t>
      </w:r>
      <w:r w:rsidRPr="004F0938">
        <w:rPr>
          <w:sz w:val="22"/>
          <w:lang w:val="en-US"/>
        </w:rPr>
        <w:t xml:space="preserve"> day</w:t>
      </w:r>
      <w:r>
        <w:rPr>
          <w:sz w:val="22"/>
          <w:lang w:val="en-US"/>
        </w:rPr>
        <w:t>: no data</w:t>
      </w:r>
    </w:p>
    <w:p w:rsidR="00122F11" w:rsidRDefault="00122F11" w:rsidP="00122F11">
      <w:pPr>
        <w:rPr>
          <w:sz w:val="22"/>
          <w:lang w:val="en-US"/>
        </w:rPr>
      </w:pPr>
      <w:r w:rsidRPr="00677241">
        <w:rPr>
          <w:sz w:val="22"/>
          <w:lang w:val="en-US"/>
        </w:rPr>
        <w:t xml:space="preserve">Population </w:t>
      </w:r>
      <w:r>
        <w:rPr>
          <w:sz w:val="22"/>
          <w:lang w:val="en-US"/>
        </w:rPr>
        <w:t>living under the national poverty line: no data</w:t>
      </w:r>
    </w:p>
    <w:p w:rsidR="00122F11" w:rsidRPr="00F704D4" w:rsidRDefault="00122F11" w:rsidP="00122F11">
      <w:pPr>
        <w:rPr>
          <w:sz w:val="22"/>
          <w:vertAlign w:val="superscript"/>
          <w:lang w:val="en-US"/>
        </w:rPr>
      </w:pPr>
      <w:r w:rsidRPr="00F704D4">
        <w:rPr>
          <w:sz w:val="22"/>
          <w:lang w:val="en-US"/>
        </w:rPr>
        <w:t xml:space="preserve">Income status: High income economy: OECD </w:t>
      </w:r>
    </w:p>
    <w:p w:rsidR="00122F11" w:rsidRPr="00F704D4" w:rsidRDefault="00122F11" w:rsidP="00122F11">
      <w:pPr>
        <w:rPr>
          <w:sz w:val="22"/>
          <w:lang w:val="en-US"/>
        </w:rPr>
      </w:pPr>
      <w:r w:rsidRPr="00F704D4">
        <w:rPr>
          <w:sz w:val="22"/>
          <w:lang w:val="en-US"/>
        </w:rPr>
        <w:t>Ranking: Very high human development</w:t>
      </w:r>
      <w:r>
        <w:rPr>
          <w:sz w:val="22"/>
          <w:lang w:val="en-US"/>
        </w:rPr>
        <w:t xml:space="preserve"> (ranking 29)</w:t>
      </w:r>
    </w:p>
    <w:p w:rsidR="00122F11" w:rsidRPr="00F704D4" w:rsidRDefault="00122F11" w:rsidP="00122F11">
      <w:pPr>
        <w:rPr>
          <w:sz w:val="22"/>
          <w:lang w:val="en-US"/>
        </w:rPr>
      </w:pPr>
      <w:r w:rsidRPr="00F704D4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3,041</w:t>
      </w:r>
    </w:p>
    <w:p w:rsidR="00122F11" w:rsidRPr="00F704D4" w:rsidRDefault="00122F11" w:rsidP="00122F11">
      <w:pPr>
        <w:rPr>
          <w:sz w:val="22"/>
          <w:lang w:val="en-US"/>
        </w:rPr>
      </w:pPr>
      <w:r w:rsidRPr="00F704D4">
        <w:rPr>
          <w:sz w:val="22"/>
          <w:lang w:val="en-US"/>
        </w:rPr>
        <w:t xml:space="preserve">Life expectancy at birth (years): 80 </w:t>
      </w:r>
    </w:p>
    <w:p w:rsidR="00122F11" w:rsidRDefault="00122F11" w:rsidP="00122F11">
      <w:pPr>
        <w:rPr>
          <w:sz w:val="22"/>
          <w:lang w:val="en-US"/>
        </w:rPr>
      </w:pPr>
      <w:r w:rsidRPr="00F704D4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F704D4">
        <w:rPr>
          <w:sz w:val="22"/>
          <w:lang w:val="en-US"/>
        </w:rPr>
        <w:t xml:space="preserve"> life expectancy at birth (years): 71 </w:t>
      </w:r>
    </w:p>
    <w:p w:rsidR="00122F11" w:rsidRPr="00F704D4" w:rsidRDefault="00122F11" w:rsidP="00122F11">
      <w:pPr>
        <w:rPr>
          <w:sz w:val="22"/>
          <w:lang w:val="en-US"/>
        </w:rPr>
      </w:pPr>
    </w:p>
    <w:p w:rsidR="00122F11" w:rsidRPr="00F704D4" w:rsidRDefault="00122F11" w:rsidP="00122F11">
      <w:pPr>
        <w:spacing w:before="100" w:beforeAutospacing="1" w:after="100" w:afterAutospacing="1"/>
        <w:rPr>
          <w:b/>
          <w:sz w:val="22"/>
          <w:lang w:val="en-US"/>
        </w:rPr>
      </w:pPr>
      <w:r w:rsidRPr="00F704D4">
        <w:rPr>
          <w:b/>
          <w:sz w:val="22"/>
          <w:lang w:val="en-US"/>
        </w:rPr>
        <w:t>BACKGROUND INFORMATION:</w:t>
      </w:r>
    </w:p>
    <w:p w:rsidR="00122F11" w:rsidRDefault="00122F11" w:rsidP="00122F11">
      <w:pPr>
        <w:ind w:left="0" w:firstLine="0"/>
        <w:rPr>
          <w:sz w:val="22"/>
          <w:lang w:val="en-GB"/>
        </w:rPr>
      </w:pPr>
      <w:r w:rsidRPr="00F704D4">
        <w:rPr>
          <w:sz w:val="22"/>
          <w:lang w:val="en-GB"/>
        </w:rPr>
        <w:t xml:space="preserve">VL </w:t>
      </w:r>
      <w:r>
        <w:rPr>
          <w:sz w:val="22"/>
          <w:lang w:val="en-GB"/>
        </w:rPr>
        <w:t>has been</w:t>
      </w:r>
      <w:r w:rsidRPr="00F704D4">
        <w:rPr>
          <w:sz w:val="22"/>
          <w:lang w:val="en-GB"/>
        </w:rPr>
        <w:t xml:space="preserve"> </w:t>
      </w:r>
      <w:r>
        <w:rPr>
          <w:sz w:val="22"/>
          <w:lang w:val="en-GB"/>
        </w:rPr>
        <w:t>common</w:t>
      </w:r>
      <w:r w:rsidRPr="00F704D4">
        <w:rPr>
          <w:sz w:val="22"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F704D4">
            <w:rPr>
              <w:sz w:val="22"/>
              <w:lang w:val="en-GB"/>
            </w:rPr>
            <w:t>Greece</w:t>
          </w:r>
        </w:smartTag>
      </w:smartTag>
      <w:r w:rsidRPr="00F704D4">
        <w:rPr>
          <w:sz w:val="22"/>
          <w:lang w:val="en-GB"/>
        </w:rPr>
        <w:t xml:space="preserve"> since 1935. During the 1940s</w:t>
      </w:r>
      <w:r>
        <w:rPr>
          <w:sz w:val="22"/>
          <w:lang w:val="en-GB"/>
        </w:rPr>
        <w:t>,</w:t>
      </w:r>
      <w:r w:rsidRPr="00F704D4">
        <w:rPr>
          <w:sz w:val="22"/>
          <w:lang w:val="en-GB"/>
        </w:rPr>
        <w:t xml:space="preserve"> </w:t>
      </w:r>
      <w:proofErr w:type="gramStart"/>
      <w:r w:rsidRPr="00F704D4">
        <w:rPr>
          <w:sz w:val="22"/>
          <w:lang w:val="en-GB"/>
        </w:rPr>
        <w:t>an average of 160 cases were</w:t>
      </w:r>
      <w:proofErr w:type="gramEnd"/>
      <w:r w:rsidRPr="00F704D4">
        <w:rPr>
          <w:sz w:val="22"/>
          <w:lang w:val="en-GB"/>
        </w:rPr>
        <w:t xml:space="preserve"> recorded each year</w:t>
      </w:r>
      <w:r>
        <w:rPr>
          <w:sz w:val="22"/>
          <w:lang w:val="en-GB"/>
        </w:rPr>
        <w:t>;</w:t>
      </w:r>
      <w:r w:rsidRPr="00F704D4">
        <w:rPr>
          <w:sz w:val="22"/>
          <w:lang w:val="en-GB"/>
        </w:rPr>
        <w:t xml:space="preserve"> during the 1950s, 32 cases per year; and from 1962 to 1978, VL increased </w:t>
      </w:r>
      <w:r>
        <w:rPr>
          <w:sz w:val="22"/>
          <w:lang w:val="en-GB"/>
        </w:rPr>
        <w:t xml:space="preserve">again </w:t>
      </w:r>
      <w:r w:rsidRPr="00F704D4">
        <w:rPr>
          <w:sz w:val="22"/>
          <w:lang w:val="en-GB"/>
        </w:rPr>
        <w:t xml:space="preserve">to approximately 60 cases per year. From 1979 to 1981, 153 VL cases were reported </w:t>
      </w:r>
      <w:r>
        <w:rPr>
          <w:sz w:val="22"/>
          <w:lang w:val="en-GB"/>
        </w:rPr>
        <w:t>in</w:t>
      </w:r>
      <w:r w:rsidRPr="00F704D4">
        <w:rPr>
          <w:sz w:val="22"/>
          <w:lang w:val="en-GB"/>
        </w:rPr>
        <w:t xml:space="preserve"> Attica (near </w:t>
      </w:r>
      <w:smartTag w:uri="urn:schemas-microsoft-com:office:smarttags" w:element="City">
        <w:smartTag w:uri="urn:schemas-microsoft-com:office:smarttags" w:element="place">
          <w:r w:rsidRPr="00F704D4">
            <w:rPr>
              <w:sz w:val="22"/>
              <w:lang w:val="en-GB"/>
            </w:rPr>
            <w:t>Athens</w:t>
          </w:r>
        </w:smartTag>
      </w:smartTag>
      <w:r w:rsidRPr="00F704D4">
        <w:rPr>
          <w:sz w:val="22"/>
          <w:lang w:val="en-GB"/>
        </w:rPr>
        <w:t xml:space="preserve">), the </w:t>
      </w:r>
      <w:proofErr w:type="spellStart"/>
      <w:r w:rsidRPr="00F704D4">
        <w:rPr>
          <w:sz w:val="22"/>
          <w:lang w:val="en-GB"/>
        </w:rPr>
        <w:t>lonian</w:t>
      </w:r>
      <w:proofErr w:type="spellEnd"/>
      <w:r w:rsidRPr="00F704D4">
        <w:rPr>
          <w:sz w:val="22"/>
          <w:lang w:val="en-GB"/>
        </w:rPr>
        <w:t xml:space="preserve"> islands and some other areas. Canine VL was predominant before the Second World War (5-15% of the dogs being infected in </w:t>
      </w:r>
      <w:smartTag w:uri="urn:schemas-microsoft-com:office:smarttags" w:element="place">
        <w:r w:rsidRPr="00F704D4">
          <w:rPr>
            <w:sz w:val="22"/>
            <w:lang w:val="en-GB"/>
          </w:rPr>
          <w:t>Crete</w:t>
        </w:r>
      </w:smartTag>
      <w:r w:rsidRPr="00F704D4">
        <w:rPr>
          <w:sz w:val="22"/>
          <w:lang w:val="en-GB"/>
        </w:rPr>
        <w:t>)</w:t>
      </w:r>
      <w:r>
        <w:rPr>
          <w:sz w:val="22"/>
          <w:lang w:val="en-GB"/>
        </w:rPr>
        <w:t>.</w:t>
      </w:r>
      <w:r w:rsidRPr="00F704D4">
        <w:rPr>
          <w:sz w:val="22"/>
          <w:lang w:val="en-GB"/>
        </w:rPr>
        <w:t xml:space="preserve"> </w:t>
      </w:r>
      <w:r>
        <w:rPr>
          <w:sz w:val="22"/>
          <w:lang w:val="en-GB"/>
        </w:rPr>
        <w:t>D</w:t>
      </w:r>
      <w:r w:rsidRPr="00F704D4">
        <w:rPr>
          <w:sz w:val="22"/>
          <w:lang w:val="en-GB"/>
        </w:rPr>
        <w:t xml:space="preserve">ifferent surveys were </w:t>
      </w:r>
      <w:r>
        <w:rPr>
          <w:sz w:val="22"/>
          <w:lang w:val="en-GB"/>
        </w:rPr>
        <w:t>held</w:t>
      </w:r>
      <w:r w:rsidRPr="00F704D4">
        <w:rPr>
          <w:sz w:val="22"/>
          <w:lang w:val="en-GB"/>
        </w:rPr>
        <w:t xml:space="preserve"> between 1934 and 1938</w:t>
      </w:r>
      <w:r>
        <w:rPr>
          <w:sz w:val="22"/>
          <w:lang w:val="en-GB"/>
        </w:rPr>
        <w:t>,</w:t>
      </w:r>
      <w:r w:rsidRPr="00F704D4">
        <w:rPr>
          <w:sz w:val="22"/>
          <w:lang w:val="en-GB"/>
        </w:rPr>
        <w:t xml:space="preserve"> showing rates of infection in dogs from 6.5% to 22.5</w:t>
      </w:r>
      <w:r w:rsidRPr="00BE238A">
        <w:rPr>
          <w:sz w:val="22"/>
          <w:lang w:val="en-GB"/>
        </w:rPr>
        <w:t>%.</w:t>
      </w:r>
      <w:r w:rsidRPr="00F704D4">
        <w:rPr>
          <w:sz w:val="22"/>
          <w:lang w:val="en-GB"/>
        </w:rPr>
        <w:t xml:space="preserve"> </w:t>
      </w:r>
      <w:r>
        <w:rPr>
          <w:sz w:val="22"/>
          <w:lang w:val="en-GB"/>
        </w:rPr>
        <w:t>Currently, t</w:t>
      </w:r>
      <w:r w:rsidRPr="00F704D4">
        <w:rPr>
          <w:sz w:val="22"/>
          <w:lang w:val="en-GB"/>
        </w:rPr>
        <w:t xml:space="preserve">he average </w:t>
      </w:r>
      <w:proofErr w:type="spellStart"/>
      <w:r w:rsidRPr="00F704D4">
        <w:rPr>
          <w:sz w:val="22"/>
          <w:lang w:val="en-GB"/>
        </w:rPr>
        <w:t>seroprevalence</w:t>
      </w:r>
      <w:proofErr w:type="spellEnd"/>
      <w:r w:rsidRPr="00F704D4">
        <w:rPr>
          <w:sz w:val="22"/>
          <w:lang w:val="en-GB"/>
        </w:rPr>
        <w:t xml:space="preserve"> in dogs in endemic areas varie</w:t>
      </w:r>
      <w:r>
        <w:rPr>
          <w:sz w:val="22"/>
          <w:lang w:val="en-GB"/>
        </w:rPr>
        <w:t xml:space="preserve">s between 25 </w:t>
      </w:r>
      <w:r w:rsidRPr="00C7229E">
        <w:rPr>
          <w:sz w:val="22"/>
          <w:lang w:val="en-GB"/>
        </w:rPr>
        <w:t xml:space="preserve">and 50% (with most data derived from </w:t>
      </w:r>
      <w:proofErr w:type="spellStart"/>
      <w:r w:rsidRPr="00C7229E">
        <w:rPr>
          <w:sz w:val="22"/>
          <w:lang w:val="en-GB"/>
        </w:rPr>
        <w:t>Attiki</w:t>
      </w:r>
      <w:proofErr w:type="spellEnd"/>
      <w:r w:rsidRPr="00C7229E">
        <w:rPr>
          <w:sz w:val="22"/>
          <w:lang w:val="en-GB"/>
        </w:rPr>
        <w:t xml:space="preserve"> and Crete)</w:t>
      </w:r>
      <w:r>
        <w:rPr>
          <w:sz w:val="22"/>
          <w:lang w:val="en-GB"/>
        </w:rPr>
        <w:t xml:space="preserve">, with a significant high rate of asymptomatic infections in the Greater Athens and in </w:t>
      </w:r>
      <w:proofErr w:type="spellStart"/>
      <w:r>
        <w:rPr>
          <w:sz w:val="22"/>
          <w:lang w:val="en-GB"/>
        </w:rPr>
        <w:t>northwestern</w:t>
      </w:r>
      <w:proofErr w:type="spellEnd"/>
      <w:r>
        <w:rPr>
          <w:sz w:val="22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lang w:val="en-GB"/>
            </w:rPr>
            <w:t>Greece</w:t>
          </w:r>
        </w:smartTag>
      </w:smartTag>
      <w:r>
        <w:rPr>
          <w:sz w:val="22"/>
          <w:lang w:val="en-GB"/>
        </w:rPr>
        <w:t xml:space="preserve"> [1</w:t>
      </w:r>
      <w:proofErr w:type="gramStart"/>
      <w:r>
        <w:rPr>
          <w:sz w:val="22"/>
          <w:lang w:val="en-GB"/>
        </w:rPr>
        <w:t>,2</w:t>
      </w:r>
      <w:proofErr w:type="gramEnd"/>
      <w:r>
        <w:rPr>
          <w:sz w:val="22"/>
          <w:lang w:val="en-GB"/>
        </w:rPr>
        <w:t>]</w:t>
      </w:r>
      <w:r w:rsidRPr="00C7229E">
        <w:rPr>
          <w:sz w:val="22"/>
          <w:lang w:val="en-GB"/>
        </w:rPr>
        <w:t>.</w:t>
      </w:r>
      <w:r>
        <w:rPr>
          <w:sz w:val="22"/>
          <w:lang w:val="en-GB"/>
        </w:rPr>
        <w:t xml:space="preserve"> Between 1999 and 2006 (based on modelling), the </w:t>
      </w:r>
      <w:proofErr w:type="spellStart"/>
      <w:r>
        <w:rPr>
          <w:sz w:val="22"/>
          <w:lang w:val="en-GB"/>
        </w:rPr>
        <w:t>seroprevalence</w:t>
      </w:r>
      <w:proofErr w:type="spellEnd"/>
      <w:r>
        <w:rPr>
          <w:sz w:val="22"/>
          <w:lang w:val="en-GB"/>
        </w:rPr>
        <w:t xml:space="preserve"> among dogs had increased with 2.4% [3]. </w:t>
      </w:r>
      <w:r w:rsidRPr="00F704D4">
        <w:rPr>
          <w:sz w:val="22"/>
          <w:lang w:val="en-GB"/>
        </w:rPr>
        <w:t xml:space="preserve">VL is still frequent in several areas of </w:t>
      </w:r>
      <w:smartTag w:uri="urn:schemas-microsoft-com:office:smarttags" w:element="place">
        <w:smartTag w:uri="urn:schemas-microsoft-com:office:smarttags" w:element="country-region">
          <w:r w:rsidRPr="00F704D4">
            <w:rPr>
              <w:sz w:val="22"/>
              <w:lang w:val="en-GB"/>
            </w:rPr>
            <w:t>Greece</w:t>
          </w:r>
        </w:smartTag>
      </w:smartTag>
      <w:r w:rsidRPr="00F704D4">
        <w:rPr>
          <w:sz w:val="22"/>
          <w:lang w:val="en-GB"/>
        </w:rPr>
        <w:t xml:space="preserve">. </w:t>
      </w:r>
      <w:r>
        <w:rPr>
          <w:sz w:val="22"/>
          <w:lang w:val="en-GB"/>
        </w:rPr>
        <w:t>From 2004 to 2008, 30-50 VL cases</w:t>
      </w:r>
      <w:r w:rsidRPr="00F704D4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were </w:t>
      </w:r>
      <w:r w:rsidRPr="00F704D4">
        <w:rPr>
          <w:sz w:val="22"/>
          <w:lang w:val="en-GB"/>
        </w:rPr>
        <w:t xml:space="preserve">reported. </w:t>
      </w:r>
      <w:r>
        <w:rPr>
          <w:sz w:val="22"/>
          <w:lang w:val="en-GB"/>
        </w:rPr>
        <w:t xml:space="preserve">15% of blood-donors from endemic areas were </w:t>
      </w:r>
      <w:proofErr w:type="spellStart"/>
      <w:r>
        <w:rPr>
          <w:sz w:val="22"/>
          <w:lang w:val="en-GB"/>
        </w:rPr>
        <w:t>seropositive</w:t>
      </w:r>
      <w:proofErr w:type="spellEnd"/>
      <w:r>
        <w:rPr>
          <w:sz w:val="22"/>
          <w:lang w:val="en-GB"/>
        </w:rPr>
        <w:t xml:space="preserve"> [4]. </w:t>
      </w:r>
    </w:p>
    <w:p w:rsidR="00122F11" w:rsidRDefault="00122F11" w:rsidP="00122F11">
      <w:pPr>
        <w:ind w:left="0" w:firstLine="0"/>
        <w:rPr>
          <w:sz w:val="22"/>
          <w:lang w:val="en-GB"/>
        </w:rPr>
      </w:pPr>
    </w:p>
    <w:p w:rsidR="00122F11" w:rsidRPr="00F704D4" w:rsidRDefault="00122F11" w:rsidP="00122F11">
      <w:pPr>
        <w:ind w:left="0" w:firstLine="0"/>
        <w:rPr>
          <w:sz w:val="22"/>
          <w:lang w:val="en-GB"/>
        </w:rPr>
      </w:pPr>
      <w:r w:rsidRPr="00F704D4">
        <w:rPr>
          <w:sz w:val="22"/>
          <w:lang w:val="en-GB"/>
        </w:rPr>
        <w:t>There are few HIV/VL co</w:t>
      </w:r>
      <w:r>
        <w:rPr>
          <w:sz w:val="22"/>
          <w:lang w:val="en-GB"/>
        </w:rPr>
        <w:t>-</w:t>
      </w:r>
      <w:r w:rsidRPr="00F704D4">
        <w:rPr>
          <w:sz w:val="22"/>
          <w:lang w:val="en-GB"/>
        </w:rPr>
        <w:t>infected patients (0.6% of cases). Recently</w:t>
      </w:r>
      <w:r>
        <w:rPr>
          <w:sz w:val="22"/>
          <w:lang w:val="en-GB"/>
        </w:rPr>
        <w:t>,</w:t>
      </w:r>
      <w:r w:rsidRPr="00F704D4">
        <w:rPr>
          <w:sz w:val="22"/>
          <w:lang w:val="en-GB"/>
        </w:rPr>
        <w:t xml:space="preserve"> a shift occurred from infantile disease to a disease of old people (&gt;</w:t>
      </w:r>
      <w:r>
        <w:rPr>
          <w:sz w:val="22"/>
          <w:lang w:val="en-GB"/>
        </w:rPr>
        <w:t>60</w:t>
      </w:r>
      <w:r w:rsidRPr="00F704D4">
        <w:rPr>
          <w:sz w:val="22"/>
          <w:lang w:val="en-GB"/>
        </w:rPr>
        <w:t xml:space="preserve"> y).</w:t>
      </w:r>
    </w:p>
    <w:p w:rsidR="00122F11" w:rsidRPr="00F704D4" w:rsidRDefault="00122F11" w:rsidP="00122F11">
      <w:pPr>
        <w:ind w:left="0" w:firstLine="0"/>
        <w:rPr>
          <w:sz w:val="22"/>
          <w:lang w:val="en-GB"/>
        </w:rPr>
      </w:pPr>
    </w:p>
    <w:p w:rsidR="00122F11" w:rsidRPr="00F704D4" w:rsidRDefault="00122F11" w:rsidP="00122F11">
      <w:pPr>
        <w:ind w:left="0" w:firstLine="0"/>
        <w:rPr>
          <w:sz w:val="22"/>
          <w:lang w:val="en-GB"/>
        </w:rPr>
      </w:pPr>
      <w:r w:rsidRPr="00F704D4">
        <w:rPr>
          <w:sz w:val="22"/>
          <w:lang w:val="en-GB"/>
        </w:rPr>
        <w:t>CL</w:t>
      </w:r>
      <w:r>
        <w:rPr>
          <w:sz w:val="22"/>
          <w:lang w:val="en-GB"/>
        </w:rPr>
        <w:t xml:space="preserve"> used to be</w:t>
      </w:r>
      <w:r w:rsidRPr="00F704D4">
        <w:rPr>
          <w:sz w:val="22"/>
          <w:lang w:val="en-GB"/>
        </w:rPr>
        <w:t xml:space="preserve"> frequent in Crete (4</w:t>
      </w:r>
      <w:r>
        <w:rPr>
          <w:sz w:val="22"/>
          <w:lang w:val="en-GB"/>
        </w:rPr>
        <w:t>,</w:t>
      </w:r>
      <w:r w:rsidRPr="00F704D4">
        <w:rPr>
          <w:sz w:val="22"/>
          <w:lang w:val="en-GB"/>
        </w:rPr>
        <w:t>000 cases</w:t>
      </w:r>
      <w:r>
        <w:rPr>
          <w:sz w:val="22"/>
          <w:lang w:val="en-GB"/>
        </w:rPr>
        <w:t xml:space="preserve"> in 1938</w:t>
      </w:r>
      <w:r w:rsidRPr="00F704D4">
        <w:rPr>
          <w:sz w:val="22"/>
          <w:lang w:val="en-GB"/>
        </w:rPr>
        <w:t xml:space="preserve">) and endemic in several areas of continental and insular </w:t>
      </w:r>
      <w:smartTag w:uri="urn:schemas-microsoft-com:office:smarttags" w:element="country-region">
        <w:smartTag w:uri="urn:schemas-microsoft-com:office:smarttags" w:element="place">
          <w:r w:rsidRPr="00F704D4">
            <w:rPr>
              <w:sz w:val="22"/>
              <w:lang w:val="en-GB"/>
            </w:rPr>
            <w:t>Greece</w:t>
          </w:r>
        </w:smartTag>
      </w:smartTag>
      <w:r w:rsidRPr="00F704D4">
        <w:rPr>
          <w:sz w:val="22"/>
          <w:lang w:val="en-GB"/>
        </w:rPr>
        <w:t xml:space="preserve"> (1951-1975: 271 cases). Now</w:t>
      </w:r>
      <w:r>
        <w:rPr>
          <w:sz w:val="22"/>
          <w:lang w:val="en-GB"/>
        </w:rPr>
        <w:t>,</w:t>
      </w:r>
      <w:r w:rsidRPr="00F704D4">
        <w:rPr>
          <w:sz w:val="22"/>
          <w:lang w:val="en-GB"/>
        </w:rPr>
        <w:t xml:space="preserve"> it occurs sporadically, particularly in the </w:t>
      </w:r>
      <w:smartTag w:uri="urn:schemas-microsoft-com:office:smarttags" w:element="place">
        <w:smartTag w:uri="urn:schemas-microsoft-com:office:smarttags" w:element="PlaceType">
          <w:r w:rsidRPr="00F704D4">
            <w:rPr>
              <w:sz w:val="22"/>
              <w:lang w:val="en-GB"/>
            </w:rPr>
            <w:t>island</w:t>
          </w:r>
        </w:smartTag>
        <w:r w:rsidRPr="00F704D4">
          <w:rPr>
            <w:sz w:val="22"/>
            <w:lang w:val="en-GB"/>
          </w:rPr>
          <w:t xml:space="preserve"> of </w:t>
        </w:r>
        <w:proofErr w:type="spellStart"/>
        <w:smartTag w:uri="urn:schemas-microsoft-com:office:smarttags" w:element="PlaceName">
          <w:r w:rsidRPr="00F704D4">
            <w:rPr>
              <w:sz w:val="22"/>
              <w:lang w:val="en-GB"/>
            </w:rPr>
            <w:t>Zakynthos</w:t>
          </w:r>
        </w:smartTag>
      </w:smartTag>
      <w:proofErr w:type="spellEnd"/>
      <w:r w:rsidRPr="00F704D4">
        <w:rPr>
          <w:sz w:val="22"/>
          <w:lang w:val="en-GB"/>
        </w:rPr>
        <w:t xml:space="preserve"> (4 cases</w:t>
      </w:r>
      <w:r>
        <w:rPr>
          <w:sz w:val="22"/>
          <w:lang w:val="en-GB"/>
        </w:rPr>
        <w:t xml:space="preserve"> in 2008</w:t>
      </w:r>
      <w:r w:rsidRPr="00F704D4">
        <w:rPr>
          <w:sz w:val="22"/>
          <w:lang w:val="en-GB"/>
        </w:rPr>
        <w:t>).</w:t>
      </w:r>
    </w:p>
    <w:p w:rsidR="00122F11" w:rsidRPr="00F704D4" w:rsidRDefault="00122F11" w:rsidP="00122F11">
      <w:pPr>
        <w:ind w:left="0" w:firstLine="0"/>
        <w:rPr>
          <w:sz w:val="22"/>
          <w:lang w:val="en-GB"/>
        </w:rPr>
      </w:pPr>
    </w:p>
    <w:p w:rsidR="00122F11" w:rsidRDefault="00122F11" w:rsidP="00122F11">
      <w:pPr>
        <w:ind w:left="0" w:firstLine="0"/>
        <w:rPr>
          <w:sz w:val="22"/>
          <w:lang w:val="en-GB"/>
        </w:rPr>
      </w:pPr>
      <w:r w:rsidRPr="00F704D4">
        <w:rPr>
          <w:sz w:val="22"/>
          <w:lang w:val="en-GB"/>
        </w:rPr>
        <w:t xml:space="preserve">Both forms are probably underreported, especially CL. </w:t>
      </w:r>
    </w:p>
    <w:p w:rsidR="00122F11" w:rsidRDefault="00122F11" w:rsidP="00122F11">
      <w:pPr>
        <w:rPr>
          <w:sz w:val="22"/>
          <w:lang w:val="en-GB"/>
        </w:rPr>
      </w:pPr>
    </w:p>
    <w:p w:rsidR="00122F11" w:rsidRPr="00F704D4" w:rsidRDefault="00122F11" w:rsidP="00122F11">
      <w:pPr>
        <w:rPr>
          <w:sz w:val="22"/>
          <w:lang w:val="en-GB"/>
        </w:rPr>
      </w:pPr>
    </w:p>
    <w:p w:rsidR="00122F11" w:rsidRPr="00A6039B" w:rsidRDefault="00122F11" w:rsidP="00122F11">
      <w:pPr>
        <w:rPr>
          <w:b/>
          <w:bCs/>
          <w:sz w:val="22"/>
          <w:lang w:val="en-GB"/>
        </w:rPr>
      </w:pPr>
      <w:r w:rsidRPr="00A6039B">
        <w:rPr>
          <w:b/>
          <w:bCs/>
          <w:sz w:val="22"/>
          <w:lang w:val="en-GB"/>
        </w:rPr>
        <w:t>PARASITOLOGICAL INFORMATION</w:t>
      </w:r>
    </w:p>
    <w:p w:rsidR="00122F11" w:rsidRDefault="00122F11" w:rsidP="00122F11">
      <w:pPr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7"/>
        <w:gridCol w:w="1621"/>
        <w:gridCol w:w="2357"/>
        <w:gridCol w:w="1708"/>
      </w:tblGrid>
      <w:tr w:rsidR="00122F11" w:rsidRPr="002C75B8" w:rsidTr="00A7768B">
        <w:trPr>
          <w:trHeight w:val="385"/>
        </w:trPr>
        <w:tc>
          <w:tcPr>
            <w:tcW w:w="0" w:type="auto"/>
            <w:tcBorders>
              <w:top w:val="single" w:sz="12" w:space="0" w:color="376092"/>
              <w:left w:val="single" w:sz="12" w:space="0" w:color="376092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2F11" w:rsidRPr="002C75B8" w:rsidRDefault="00122F11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2F11" w:rsidRPr="002C75B8" w:rsidRDefault="00122F11" w:rsidP="00A7768B">
            <w:pPr>
              <w:ind w:left="0" w:firstLine="0"/>
              <w:rPr>
                <w:sz w:val="22"/>
                <w:lang w:val="es-E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0" w:type="auto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2F11" w:rsidRPr="002C75B8" w:rsidRDefault="00122F11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12" w:space="0" w:color="37609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2F11" w:rsidRPr="002C75B8" w:rsidRDefault="00122F11" w:rsidP="00A7768B">
            <w:pPr>
              <w:ind w:left="0" w:firstLine="0"/>
              <w:rPr>
                <w:sz w:val="22"/>
                <w:lang w:val="es-E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122F11" w:rsidRPr="002C75B8" w:rsidTr="00A7768B">
        <w:trPr>
          <w:trHeight w:val="313"/>
        </w:trPr>
        <w:tc>
          <w:tcPr>
            <w:tcW w:w="0" w:type="auto"/>
            <w:tcBorders>
              <w:top w:val="single" w:sz="8" w:space="0" w:color="4F81BD"/>
              <w:left w:val="single" w:sz="12" w:space="0" w:color="376092"/>
              <w:bottom w:val="single" w:sz="8" w:space="0" w:color="4F81BD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122F11" w:rsidRPr="00A6039B" w:rsidRDefault="00122F11" w:rsidP="00A7768B">
            <w:pPr>
              <w:ind w:left="0" w:firstLine="0"/>
              <w:rPr>
                <w:sz w:val="22"/>
                <w:lang w:val="es-ES"/>
              </w:rPr>
            </w:pPr>
            <w:r w:rsidRPr="00A6039B">
              <w:rPr>
                <w:sz w:val="22"/>
                <w:lang w:val="en-US"/>
              </w:rPr>
              <w:t xml:space="preserve"> </w:t>
            </w:r>
            <w:r w:rsidRPr="00A6039B">
              <w:rPr>
                <w:i/>
                <w:iCs/>
                <w:sz w:val="22"/>
                <w:lang w:val="en-US"/>
              </w:rPr>
              <w:t>L. infantum</w:t>
            </w:r>
            <w:r w:rsidRPr="00A6039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122F11" w:rsidRPr="00A6039B" w:rsidRDefault="00122F11" w:rsidP="00A7768B">
            <w:pPr>
              <w:ind w:left="0" w:firstLine="0"/>
              <w:rPr>
                <w:sz w:val="22"/>
                <w:lang w:val="es-ES"/>
              </w:rPr>
            </w:pPr>
            <w:r w:rsidRPr="00A6039B">
              <w:rPr>
                <w:sz w:val="22"/>
                <w:lang w:val="en-US"/>
              </w:rPr>
              <w:t>ZVL, CL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122F11" w:rsidRPr="00A6039B" w:rsidRDefault="00122F11" w:rsidP="00A7768B">
            <w:pPr>
              <w:ind w:left="0" w:firstLine="0"/>
              <w:rPr>
                <w:i/>
                <w:iCs/>
                <w:sz w:val="22"/>
                <w:lang w:val="en-US"/>
              </w:rPr>
            </w:pPr>
            <w:r w:rsidRPr="00A6039B">
              <w:rPr>
                <w:i/>
                <w:iCs/>
                <w:sz w:val="22"/>
                <w:lang w:val="en-US"/>
              </w:rPr>
              <w:t xml:space="preserve">P. </w:t>
            </w:r>
            <w:proofErr w:type="spellStart"/>
            <w:r w:rsidRPr="00A6039B">
              <w:rPr>
                <w:i/>
                <w:iCs/>
                <w:sz w:val="22"/>
                <w:lang w:val="en-US"/>
              </w:rPr>
              <w:t>neglectus</w:t>
            </w:r>
            <w:proofErr w:type="spellEnd"/>
            <w:r w:rsidRPr="00A6039B">
              <w:rPr>
                <w:i/>
                <w:iCs/>
                <w:sz w:val="22"/>
                <w:lang w:val="en-US"/>
              </w:rPr>
              <w:t xml:space="preserve">, P. </w:t>
            </w:r>
            <w:proofErr w:type="spellStart"/>
            <w:r w:rsidRPr="00A6039B">
              <w:rPr>
                <w:i/>
                <w:iCs/>
                <w:sz w:val="22"/>
                <w:lang w:val="en-US"/>
              </w:rPr>
              <w:t>tobbi</w:t>
            </w:r>
            <w:proofErr w:type="spellEnd"/>
            <w:r w:rsidRPr="00A6039B">
              <w:rPr>
                <w:i/>
                <w:iCs/>
                <w:sz w:val="22"/>
                <w:lang w:val="en-US"/>
              </w:rPr>
              <w:t>,</w:t>
            </w:r>
          </w:p>
          <w:p w:rsidR="00122F11" w:rsidRPr="00A6039B" w:rsidRDefault="00122F11" w:rsidP="00A7768B">
            <w:pPr>
              <w:ind w:left="0" w:firstLine="0"/>
              <w:rPr>
                <w:sz w:val="22"/>
                <w:lang w:val="es-ES"/>
              </w:rPr>
            </w:pPr>
            <w:r w:rsidRPr="00A6039B">
              <w:rPr>
                <w:i/>
                <w:iCs/>
                <w:sz w:val="22"/>
                <w:lang w:val="en-US"/>
              </w:rPr>
              <w:t xml:space="preserve">P. </w:t>
            </w:r>
            <w:proofErr w:type="spellStart"/>
            <w:r w:rsidRPr="00A6039B">
              <w:rPr>
                <w:i/>
                <w:iCs/>
                <w:sz w:val="22"/>
                <w:lang w:val="en-US"/>
              </w:rPr>
              <w:t>perfiliewi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376092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122F11" w:rsidRPr="00A6039B" w:rsidRDefault="00122F11" w:rsidP="00A7768B">
            <w:pPr>
              <w:ind w:left="0" w:firstLine="0"/>
              <w:rPr>
                <w:i/>
                <w:iCs/>
                <w:sz w:val="22"/>
                <w:lang w:val="es-ES"/>
              </w:rPr>
            </w:pPr>
            <w:proofErr w:type="spellStart"/>
            <w:r w:rsidRPr="00A6039B">
              <w:rPr>
                <w:i/>
                <w:iCs/>
                <w:sz w:val="22"/>
                <w:lang w:val="en-US"/>
              </w:rPr>
              <w:t>Canis</w:t>
            </w:r>
            <w:proofErr w:type="spellEnd"/>
            <w:r w:rsidRPr="00A6039B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A6039B">
              <w:rPr>
                <w:i/>
                <w:iCs/>
                <w:sz w:val="22"/>
                <w:lang w:val="en-US"/>
              </w:rPr>
              <w:t>familiaris</w:t>
            </w:r>
            <w:proofErr w:type="spellEnd"/>
          </w:p>
        </w:tc>
      </w:tr>
      <w:tr w:rsidR="00122F11" w:rsidRPr="002C75B8" w:rsidTr="00A7768B">
        <w:trPr>
          <w:trHeight w:val="313"/>
        </w:trPr>
        <w:tc>
          <w:tcPr>
            <w:tcW w:w="0" w:type="auto"/>
            <w:tcBorders>
              <w:top w:val="single" w:sz="8" w:space="0" w:color="4F81BD"/>
              <w:left w:val="single" w:sz="12" w:space="0" w:color="376092"/>
              <w:bottom w:val="single" w:sz="12" w:space="0" w:color="376092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122F11" w:rsidRPr="00A6039B" w:rsidRDefault="00122F11" w:rsidP="00A7768B">
            <w:pPr>
              <w:rPr>
                <w:i/>
                <w:iCs/>
                <w:sz w:val="22"/>
                <w:lang w:val="en-US"/>
              </w:rPr>
            </w:pPr>
            <w:r w:rsidRPr="00A6039B">
              <w:rPr>
                <w:i/>
                <w:iCs/>
                <w:sz w:val="22"/>
                <w:lang w:val="en-US"/>
              </w:rPr>
              <w:t>L. tropica</w:t>
            </w:r>
          </w:p>
          <w:p w:rsidR="00122F11" w:rsidRPr="00A6039B" w:rsidRDefault="00122F11" w:rsidP="00A7768B">
            <w:pPr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122F11" w:rsidRPr="00A6039B" w:rsidRDefault="00122F11" w:rsidP="00A7768B">
            <w:pPr>
              <w:rPr>
                <w:sz w:val="22"/>
                <w:lang w:val="en-US"/>
              </w:rPr>
            </w:pPr>
            <w:r w:rsidRPr="00A6039B">
              <w:rPr>
                <w:sz w:val="22"/>
                <w:lang w:val="en-US"/>
              </w:rPr>
              <w:t>CL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122F11" w:rsidRPr="00A6039B" w:rsidRDefault="00122F11" w:rsidP="00A7768B">
            <w:pPr>
              <w:rPr>
                <w:i/>
                <w:iCs/>
                <w:sz w:val="22"/>
                <w:lang w:val="en-US"/>
              </w:rPr>
            </w:pPr>
            <w:r w:rsidRPr="00A6039B">
              <w:rPr>
                <w:i/>
                <w:iCs/>
                <w:sz w:val="22"/>
                <w:lang w:val="en-US"/>
              </w:rPr>
              <w:t xml:space="preserve">P. </w:t>
            </w:r>
            <w:proofErr w:type="spellStart"/>
            <w:r w:rsidRPr="00A6039B">
              <w:rPr>
                <w:i/>
                <w:iCs/>
                <w:sz w:val="22"/>
                <w:lang w:val="en-US"/>
              </w:rPr>
              <w:t>sergenti</w:t>
            </w:r>
            <w:proofErr w:type="spellEnd"/>
          </w:p>
          <w:p w:rsidR="00122F11" w:rsidRPr="00A6039B" w:rsidRDefault="00122F11" w:rsidP="00A7768B">
            <w:pPr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12" w:space="0" w:color="376092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122F11" w:rsidRPr="00A6039B" w:rsidRDefault="00122F11" w:rsidP="00A7768B">
            <w:pPr>
              <w:rPr>
                <w:i/>
                <w:iCs/>
                <w:sz w:val="22"/>
                <w:lang w:val="en-US"/>
              </w:rPr>
            </w:pPr>
          </w:p>
        </w:tc>
      </w:tr>
    </w:tbl>
    <w:p w:rsidR="00122F11" w:rsidRPr="00A6039B" w:rsidRDefault="00122F11" w:rsidP="00122F11">
      <w:pPr>
        <w:rPr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Pr="00A6039B" w:rsidRDefault="00122F11" w:rsidP="00122F11">
      <w:pPr>
        <w:rPr>
          <w:b/>
          <w:bCs/>
          <w:sz w:val="22"/>
          <w:lang w:val="en-GB"/>
        </w:rPr>
      </w:pPr>
    </w:p>
    <w:p w:rsidR="00122F11" w:rsidRPr="00A6039B" w:rsidRDefault="00122F11" w:rsidP="00122F11">
      <w:pPr>
        <w:rPr>
          <w:b/>
          <w:bCs/>
          <w:sz w:val="22"/>
          <w:lang w:val="en-GB"/>
        </w:rPr>
      </w:pPr>
      <w:r w:rsidRPr="00A6039B">
        <w:rPr>
          <w:b/>
          <w:bCs/>
          <w:sz w:val="22"/>
          <w:lang w:val="en-GB"/>
        </w:rPr>
        <w:t>MAPS AND TRENDS</w:t>
      </w: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Visceral leishmaniasis</w:t>
      </w:r>
    </w:p>
    <w:p w:rsidR="00122F11" w:rsidRDefault="00122F11" w:rsidP="00122F11">
      <w:pPr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86995</wp:posOffset>
            </wp:positionV>
            <wp:extent cx="3296285" cy="233108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F11" w:rsidRDefault="00122F11" w:rsidP="00122F11">
      <w:pPr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40640</wp:posOffset>
            </wp:positionV>
            <wp:extent cx="3200400" cy="2263140"/>
            <wp:effectExtent l="19050" t="0" r="0" b="0"/>
            <wp:wrapNone/>
            <wp:docPr id="6" name="Picture 6" descr="GR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VLIRm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Cutaneous leishmaniasis</w:t>
      </w: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31750</wp:posOffset>
            </wp:positionV>
            <wp:extent cx="3174365" cy="2244725"/>
            <wp:effectExtent l="19050" t="0" r="6985" b="0"/>
            <wp:wrapNone/>
            <wp:docPr id="8" name="Picture 8" descr="GR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CLIRm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24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31750</wp:posOffset>
            </wp:positionV>
            <wp:extent cx="3187700" cy="225361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Default="00122F11" w:rsidP="00122F11">
      <w:pPr>
        <w:rPr>
          <w:b/>
          <w:bCs/>
          <w:sz w:val="22"/>
          <w:lang w:val="en-GB"/>
        </w:rPr>
      </w:pPr>
    </w:p>
    <w:p w:rsidR="00122F11" w:rsidRPr="00A6039B" w:rsidRDefault="00122F11" w:rsidP="00122F11">
      <w:pPr>
        <w:rPr>
          <w:b/>
          <w:bCs/>
          <w:sz w:val="22"/>
          <w:lang w:val="en-GB"/>
        </w:rPr>
      </w:pPr>
      <w:r w:rsidRPr="00A6039B">
        <w:rPr>
          <w:b/>
          <w:bCs/>
          <w:sz w:val="22"/>
          <w:lang w:val="en-GB"/>
        </w:rPr>
        <w:lastRenderedPageBreak/>
        <w:t>Visceral leishmaniasis trend</w:t>
      </w:r>
    </w:p>
    <w:p w:rsidR="00122F11" w:rsidRPr="00A6039B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372100" cy="217170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Pr="006506A5" w:rsidRDefault="00122F11" w:rsidP="00122F11">
      <w:pPr>
        <w:rPr>
          <w:rFonts w:eastAsia="Times New Roman"/>
          <w:b/>
          <w:bCs/>
          <w:sz w:val="22"/>
          <w:lang w:val="en-GB" w:eastAsia="es-ES"/>
        </w:rPr>
      </w:pPr>
      <w:r w:rsidRPr="006506A5">
        <w:rPr>
          <w:rFonts w:eastAsia="Times New Roman"/>
          <w:b/>
          <w:bCs/>
          <w:sz w:val="22"/>
          <w:lang w:val="en-GB" w:eastAsia="es-ES"/>
        </w:rPr>
        <w:t>Cutaneous leishmaniasis trend</w:t>
      </w:r>
    </w:p>
    <w:p w:rsidR="00122F11" w:rsidRDefault="00122F11" w:rsidP="00122F11">
      <w:pPr>
        <w:rPr>
          <w:rFonts w:eastAsia="Times New Roman"/>
          <w:lang w:val="en-GB" w:eastAsia="es-ES"/>
        </w:rPr>
      </w:pP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82550</wp:posOffset>
            </wp:positionV>
            <wp:extent cx="5143500" cy="2125980"/>
            <wp:effectExtent l="0" t="0" r="0" b="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Default="00122F11" w:rsidP="00122F11">
      <w:pPr>
        <w:rPr>
          <w:rFonts w:eastAsia="Times New Roman"/>
          <w:lang w:val="en-GB" w:eastAsia="es-ES"/>
        </w:rPr>
      </w:pPr>
    </w:p>
    <w:p w:rsidR="00122F11" w:rsidRPr="006506A5" w:rsidRDefault="00122F11" w:rsidP="00122F11">
      <w:pPr>
        <w:rPr>
          <w:rFonts w:eastAsia="Times New Roman"/>
          <w:b/>
          <w:bCs/>
          <w:sz w:val="22"/>
          <w:lang w:val="en-GB" w:eastAsia="es-ES"/>
        </w:rPr>
      </w:pPr>
      <w:r w:rsidRPr="006506A5">
        <w:rPr>
          <w:rFonts w:eastAsia="Times New Roman"/>
          <w:b/>
          <w:bCs/>
          <w:sz w:val="22"/>
          <w:lang w:val="en-GB" w:eastAsia="es-ES"/>
        </w:rPr>
        <w:t>CONTROL</w:t>
      </w:r>
    </w:p>
    <w:p w:rsidR="00122F11" w:rsidRDefault="00122F11" w:rsidP="00122F11">
      <w:pPr>
        <w:rPr>
          <w:bCs/>
          <w:sz w:val="22"/>
          <w:lang w:val="en-GB"/>
        </w:rPr>
      </w:pPr>
    </w:p>
    <w:p w:rsidR="00122F11" w:rsidRPr="00F704D4" w:rsidRDefault="00122F11" w:rsidP="00122F11">
      <w:pPr>
        <w:ind w:left="0" w:firstLine="0"/>
        <w:rPr>
          <w:sz w:val="22"/>
          <w:lang w:val="en-GB"/>
        </w:rPr>
      </w:pPr>
      <w:r w:rsidRPr="00F704D4">
        <w:rPr>
          <w:bCs/>
          <w:sz w:val="22"/>
          <w:lang w:val="en-GB"/>
        </w:rPr>
        <w:t xml:space="preserve">The notification of leishmaniasis is mandatory in the country. There is no </w:t>
      </w:r>
      <w:r w:rsidRPr="00F704D4">
        <w:rPr>
          <w:bCs/>
          <w:sz w:val="22"/>
          <w:lang w:val="en-US"/>
        </w:rPr>
        <w:t xml:space="preserve">national </w:t>
      </w:r>
      <w:r>
        <w:rPr>
          <w:bCs/>
          <w:sz w:val="22"/>
          <w:lang w:val="en-US"/>
        </w:rPr>
        <w:t>l</w:t>
      </w:r>
      <w:r w:rsidRPr="00F704D4">
        <w:rPr>
          <w:bCs/>
          <w:sz w:val="22"/>
          <w:lang w:val="en-US"/>
        </w:rPr>
        <w:t xml:space="preserve">eishmaniasis control program. </w:t>
      </w:r>
      <w:r>
        <w:rPr>
          <w:bCs/>
          <w:sz w:val="22"/>
          <w:lang w:val="en-US"/>
        </w:rPr>
        <w:t xml:space="preserve">Case detection is passive. </w:t>
      </w:r>
      <w:r w:rsidRPr="00F704D4">
        <w:rPr>
          <w:bCs/>
          <w:sz w:val="22"/>
          <w:lang w:val="en-US"/>
        </w:rPr>
        <w:t xml:space="preserve">There is no leishmaniasis vector control program, no </w:t>
      </w:r>
      <w:proofErr w:type="spellStart"/>
      <w:r w:rsidRPr="00F704D4">
        <w:rPr>
          <w:bCs/>
          <w:sz w:val="22"/>
          <w:lang w:val="en-US"/>
        </w:rPr>
        <w:t>bednet</w:t>
      </w:r>
      <w:proofErr w:type="spellEnd"/>
      <w:r w:rsidRPr="00F704D4">
        <w:rPr>
          <w:bCs/>
          <w:sz w:val="22"/>
          <w:lang w:val="en-US"/>
        </w:rPr>
        <w:t xml:space="preserve"> distribution program and no leishmaniasis reservoir control program. </w:t>
      </w:r>
    </w:p>
    <w:p w:rsidR="00122F11" w:rsidRDefault="00122F11" w:rsidP="00122F11">
      <w:pPr>
        <w:spacing w:line="480" w:lineRule="auto"/>
        <w:rPr>
          <w:bCs/>
          <w:sz w:val="22"/>
          <w:lang w:val="en-GB"/>
        </w:rPr>
      </w:pPr>
    </w:p>
    <w:p w:rsidR="00122F11" w:rsidRDefault="00122F11" w:rsidP="00122F11">
      <w:pPr>
        <w:ind w:left="57" w:hanging="57"/>
        <w:rPr>
          <w:bCs/>
          <w:sz w:val="22"/>
          <w:lang w:val="en-US"/>
        </w:rPr>
      </w:pPr>
      <w:r w:rsidRPr="00F704D4">
        <w:rPr>
          <w:b/>
          <w:sz w:val="22"/>
          <w:lang w:val="en-US"/>
        </w:rPr>
        <w:t xml:space="preserve">DIAGNOSIS, TREATMENT </w:t>
      </w:r>
    </w:p>
    <w:p w:rsidR="00122F11" w:rsidRPr="00F704D4" w:rsidRDefault="00122F11" w:rsidP="00122F11">
      <w:pPr>
        <w:ind w:left="57" w:hanging="57"/>
        <w:rPr>
          <w:b/>
          <w:sz w:val="22"/>
          <w:lang w:val="en-US"/>
        </w:rPr>
      </w:pPr>
    </w:p>
    <w:p w:rsidR="00122F11" w:rsidRPr="006506A5" w:rsidRDefault="00122F11" w:rsidP="00122F11">
      <w:pPr>
        <w:ind w:left="57" w:hanging="57"/>
        <w:rPr>
          <w:b/>
          <w:bCs/>
          <w:sz w:val="22"/>
          <w:lang w:val="en-GB"/>
        </w:rPr>
      </w:pPr>
      <w:r w:rsidRPr="006506A5">
        <w:rPr>
          <w:b/>
          <w:bCs/>
          <w:sz w:val="22"/>
          <w:lang w:val="en-GB"/>
        </w:rPr>
        <w:t>Diagnosis</w:t>
      </w:r>
    </w:p>
    <w:p w:rsidR="00122F11" w:rsidRPr="00F704D4" w:rsidRDefault="00122F11" w:rsidP="00122F11">
      <w:pPr>
        <w:ind w:left="0" w:firstLine="0"/>
        <w:rPr>
          <w:sz w:val="22"/>
          <w:lang w:val="en-GB"/>
        </w:rPr>
      </w:pPr>
      <w:r w:rsidRPr="00EF6EC8">
        <w:rPr>
          <w:bCs/>
          <w:sz w:val="22"/>
          <w:lang w:val="en-GB"/>
        </w:rPr>
        <w:t>VL and CL</w:t>
      </w:r>
      <w:r w:rsidRPr="00EF6EC8">
        <w:rPr>
          <w:sz w:val="22"/>
          <w:lang w:val="en-GB"/>
        </w:rPr>
        <w:t>: confirmation by microscopy and serology (ELISA, IFAT). PCR-based techniques are</w:t>
      </w:r>
      <w:r w:rsidRPr="00F704D4">
        <w:rPr>
          <w:sz w:val="22"/>
          <w:lang w:val="en-GB"/>
        </w:rPr>
        <w:t xml:space="preserve"> used for detection, typing and follow up (real-time PCR).</w:t>
      </w:r>
    </w:p>
    <w:p w:rsidR="00122F11" w:rsidRPr="00F704D4" w:rsidRDefault="00122F11" w:rsidP="00122F11">
      <w:pPr>
        <w:ind w:left="57" w:firstLine="0"/>
        <w:rPr>
          <w:sz w:val="22"/>
          <w:lang w:val="en-GB"/>
        </w:rPr>
      </w:pPr>
    </w:p>
    <w:p w:rsidR="00122F11" w:rsidRPr="006506A5" w:rsidRDefault="00122F11" w:rsidP="00122F11">
      <w:pPr>
        <w:ind w:left="57" w:hanging="57"/>
        <w:rPr>
          <w:b/>
          <w:bCs/>
          <w:sz w:val="22"/>
          <w:lang w:val="en-GB"/>
        </w:rPr>
      </w:pPr>
      <w:r w:rsidRPr="006506A5">
        <w:rPr>
          <w:b/>
          <w:bCs/>
          <w:sz w:val="22"/>
          <w:lang w:val="en-GB"/>
        </w:rPr>
        <w:t>Treatment</w:t>
      </w:r>
    </w:p>
    <w:p w:rsidR="00122F11" w:rsidRPr="00EF6EC8" w:rsidRDefault="00122F11" w:rsidP="00122F11">
      <w:pPr>
        <w:ind w:left="0" w:firstLine="0"/>
        <w:rPr>
          <w:sz w:val="22"/>
          <w:lang w:val="en-US"/>
        </w:rPr>
      </w:pPr>
      <w:r w:rsidRPr="00EF6EC8">
        <w:rPr>
          <w:bCs/>
          <w:sz w:val="22"/>
          <w:lang w:val="en-GB"/>
        </w:rPr>
        <w:t>VL</w:t>
      </w:r>
      <w:r w:rsidRPr="00EF6EC8">
        <w:rPr>
          <w:sz w:val="22"/>
          <w:lang w:val="en-GB"/>
        </w:rPr>
        <w:t xml:space="preserve">: antimonials, </w:t>
      </w:r>
      <w:r w:rsidRPr="00EF6EC8">
        <w:rPr>
          <w:bCs/>
          <w:sz w:val="22"/>
          <w:lang w:val="en-GB"/>
        </w:rPr>
        <w:t xml:space="preserve">20 mg </w:t>
      </w:r>
      <w:proofErr w:type="spellStart"/>
      <w:r w:rsidRPr="00EF6EC8">
        <w:rPr>
          <w:bCs/>
          <w:sz w:val="22"/>
          <w:lang w:val="en-GB"/>
        </w:rPr>
        <w:t>Sb</w:t>
      </w:r>
      <w:r w:rsidRPr="00EF6EC8">
        <w:rPr>
          <w:bCs/>
          <w:sz w:val="22"/>
          <w:vertAlign w:val="superscript"/>
          <w:lang w:val="en-GB"/>
        </w:rPr>
        <w:t>v</w:t>
      </w:r>
      <w:proofErr w:type="spellEnd"/>
      <w:r w:rsidRPr="00EF6EC8">
        <w:rPr>
          <w:bCs/>
          <w:sz w:val="22"/>
          <w:lang w:val="en-GB"/>
        </w:rPr>
        <w:t>/kg/day</w:t>
      </w:r>
      <w:r w:rsidRPr="00EF6EC8">
        <w:rPr>
          <w:bCs/>
          <w:sz w:val="22"/>
          <w:vertAlign w:val="superscript"/>
          <w:lang w:val="en-GB"/>
        </w:rPr>
        <w:t xml:space="preserve"> </w:t>
      </w:r>
      <w:r w:rsidRPr="00EF6EC8">
        <w:rPr>
          <w:bCs/>
          <w:sz w:val="22"/>
          <w:lang w:val="en-GB"/>
        </w:rPr>
        <w:t>for 20-30 days</w:t>
      </w:r>
      <w:r w:rsidRPr="00EF6EC8">
        <w:rPr>
          <w:sz w:val="22"/>
          <w:lang w:val="en-US"/>
        </w:rPr>
        <w:t>. The cure rate is &gt;95%. Second-line treatment is liposomal amphotericin B (</w:t>
      </w:r>
      <w:proofErr w:type="spellStart"/>
      <w:r w:rsidRPr="00EF6EC8">
        <w:rPr>
          <w:sz w:val="22"/>
          <w:lang w:val="en-US"/>
        </w:rPr>
        <w:t>Ambisome</w:t>
      </w:r>
      <w:proofErr w:type="spellEnd"/>
      <w:r w:rsidRPr="00EF6EC8">
        <w:rPr>
          <w:sz w:val="22"/>
          <w:lang w:val="en-US"/>
        </w:rPr>
        <w:t xml:space="preserve">), 3 mg/kg/day for 6-10 days; Children: 5 mg/kg/day for 2 days. </w:t>
      </w:r>
    </w:p>
    <w:p w:rsidR="00122F11" w:rsidRDefault="00122F11" w:rsidP="00122F11">
      <w:pPr>
        <w:tabs>
          <w:tab w:val="left" w:pos="2970"/>
        </w:tabs>
        <w:rPr>
          <w:bCs/>
          <w:color w:val="000000"/>
          <w:sz w:val="22"/>
          <w:lang w:val="en-US"/>
        </w:rPr>
      </w:pPr>
      <w:r w:rsidRPr="00EF6EC8">
        <w:rPr>
          <w:color w:val="000000"/>
          <w:sz w:val="22"/>
          <w:lang w:val="en-US"/>
        </w:rPr>
        <w:t>CL</w:t>
      </w:r>
      <w:r w:rsidRPr="00EF6EC8">
        <w:rPr>
          <w:bCs/>
          <w:color w:val="000000"/>
          <w:sz w:val="22"/>
          <w:lang w:val="en-US"/>
        </w:rPr>
        <w:t>: antimonials</w:t>
      </w:r>
      <w:r>
        <w:rPr>
          <w:bCs/>
          <w:color w:val="000000"/>
          <w:sz w:val="22"/>
          <w:lang w:val="en-US"/>
        </w:rPr>
        <w:t xml:space="preserve">, </w:t>
      </w:r>
      <w:r w:rsidRPr="00952E1A">
        <w:rPr>
          <w:bCs/>
          <w:sz w:val="22"/>
          <w:lang w:val="en-GB"/>
        </w:rPr>
        <w:t xml:space="preserve">20 mg </w:t>
      </w:r>
      <w:proofErr w:type="spellStart"/>
      <w:r w:rsidRPr="00952E1A">
        <w:rPr>
          <w:bCs/>
          <w:sz w:val="22"/>
          <w:lang w:val="en-GB"/>
        </w:rPr>
        <w:t>Sb</w:t>
      </w:r>
      <w:r w:rsidRPr="00952E1A">
        <w:rPr>
          <w:bCs/>
          <w:sz w:val="22"/>
          <w:vertAlign w:val="superscript"/>
          <w:lang w:val="en-GB"/>
        </w:rPr>
        <w:t>v</w:t>
      </w:r>
      <w:proofErr w:type="spellEnd"/>
      <w:r w:rsidRPr="00952E1A">
        <w:rPr>
          <w:bCs/>
          <w:sz w:val="22"/>
          <w:lang w:val="en-GB"/>
        </w:rPr>
        <w:t>/kg/day</w:t>
      </w:r>
      <w:r>
        <w:rPr>
          <w:bCs/>
          <w:sz w:val="22"/>
          <w:lang w:val="en-GB"/>
        </w:rPr>
        <w:t xml:space="preserve">. Cure rate is &gt;95%. </w:t>
      </w:r>
      <w:r>
        <w:rPr>
          <w:bCs/>
          <w:color w:val="000000"/>
          <w:sz w:val="22"/>
          <w:lang w:val="en-US"/>
        </w:rPr>
        <w:t xml:space="preserve"> </w:t>
      </w:r>
    </w:p>
    <w:p w:rsidR="00122F11" w:rsidRDefault="00122F11" w:rsidP="00122F11">
      <w:pPr>
        <w:tabs>
          <w:tab w:val="left" w:pos="2970"/>
        </w:tabs>
        <w:ind w:left="57" w:firstLine="0"/>
        <w:rPr>
          <w:bCs/>
          <w:color w:val="000000"/>
          <w:sz w:val="22"/>
          <w:lang w:val="en-US"/>
        </w:rPr>
      </w:pPr>
    </w:p>
    <w:p w:rsidR="00122F11" w:rsidRDefault="00122F11" w:rsidP="00122F11">
      <w:pPr>
        <w:tabs>
          <w:tab w:val="left" w:pos="2970"/>
        </w:tabs>
        <w:ind w:left="0" w:firstLine="0"/>
        <w:rPr>
          <w:b/>
          <w:bCs/>
          <w:sz w:val="22"/>
          <w:lang w:val="en-US"/>
        </w:rPr>
      </w:pPr>
      <w:r w:rsidRPr="00F704D4">
        <w:rPr>
          <w:b/>
          <w:bCs/>
          <w:sz w:val="22"/>
          <w:lang w:val="en-US"/>
        </w:rPr>
        <w:lastRenderedPageBreak/>
        <w:t xml:space="preserve">ACCESS TO CARE </w:t>
      </w:r>
    </w:p>
    <w:p w:rsidR="00122F11" w:rsidRDefault="00122F11" w:rsidP="00122F11">
      <w:pPr>
        <w:tabs>
          <w:tab w:val="left" w:pos="2970"/>
        </w:tabs>
        <w:ind w:left="0" w:firstLine="0"/>
        <w:rPr>
          <w:b/>
          <w:bCs/>
          <w:sz w:val="22"/>
          <w:lang w:val="en-US"/>
        </w:rPr>
      </w:pPr>
    </w:p>
    <w:p w:rsidR="00122F11" w:rsidRDefault="00122F11" w:rsidP="00122F11">
      <w:pPr>
        <w:tabs>
          <w:tab w:val="left" w:pos="2970"/>
        </w:tabs>
        <w:ind w:left="0" w:firstLine="0"/>
        <w:rPr>
          <w:sz w:val="22"/>
          <w:lang w:val="en-US"/>
        </w:rPr>
      </w:pPr>
      <w:r w:rsidRPr="00F704D4">
        <w:rPr>
          <w:sz w:val="22"/>
          <w:lang w:val="en-US"/>
        </w:rPr>
        <w:t xml:space="preserve">Treatment is free for both VL and CL in the public sector. </w:t>
      </w:r>
      <w:r>
        <w:rPr>
          <w:sz w:val="22"/>
          <w:lang w:val="en-US"/>
        </w:rPr>
        <w:t xml:space="preserve">All patients are thought to have access to care. </w:t>
      </w:r>
    </w:p>
    <w:p w:rsidR="00122F11" w:rsidRDefault="00122F11" w:rsidP="00122F11">
      <w:pPr>
        <w:tabs>
          <w:tab w:val="left" w:pos="2970"/>
        </w:tabs>
        <w:ind w:left="0" w:firstLine="0"/>
        <w:rPr>
          <w:sz w:val="22"/>
          <w:lang w:val="en-US"/>
        </w:rPr>
      </w:pPr>
    </w:p>
    <w:p w:rsidR="00122F11" w:rsidRPr="00F704D4" w:rsidRDefault="00122F11" w:rsidP="00122F11">
      <w:pPr>
        <w:tabs>
          <w:tab w:val="left" w:pos="2970"/>
        </w:tabs>
        <w:ind w:left="0" w:firstLine="0"/>
        <w:rPr>
          <w:sz w:val="22"/>
          <w:lang w:val="en-US"/>
        </w:rPr>
      </w:pPr>
    </w:p>
    <w:p w:rsidR="00122F11" w:rsidRPr="00F704D4" w:rsidRDefault="00122F11" w:rsidP="00122F11">
      <w:pPr>
        <w:ind w:left="0" w:firstLine="0"/>
        <w:rPr>
          <w:b/>
          <w:sz w:val="22"/>
          <w:lang w:val="en-GB"/>
        </w:rPr>
      </w:pPr>
      <w:r w:rsidRPr="00F704D4">
        <w:rPr>
          <w:b/>
          <w:sz w:val="22"/>
          <w:lang w:val="en-GB"/>
        </w:rPr>
        <w:t>ACCESS TO DRUGS</w:t>
      </w:r>
    </w:p>
    <w:p w:rsidR="00122F11" w:rsidRPr="00F704D4" w:rsidRDefault="00122F11" w:rsidP="00122F11">
      <w:pPr>
        <w:ind w:left="0" w:firstLine="0"/>
        <w:rPr>
          <w:b/>
          <w:sz w:val="22"/>
          <w:lang w:val="en-GB"/>
        </w:rPr>
      </w:pPr>
    </w:p>
    <w:p w:rsidR="00122F11" w:rsidRDefault="00122F11" w:rsidP="00122F11">
      <w:pPr>
        <w:ind w:left="0" w:firstLine="0"/>
        <w:rPr>
          <w:sz w:val="22"/>
          <w:lang w:val="en-US"/>
        </w:rPr>
      </w:pPr>
      <w:r w:rsidRPr="00F704D4">
        <w:rPr>
          <w:bCs/>
          <w:sz w:val="22"/>
          <w:lang w:val="en-GB"/>
        </w:rPr>
        <w:t xml:space="preserve">Meglumine antimoniate </w:t>
      </w:r>
      <w:r>
        <w:rPr>
          <w:sz w:val="22"/>
          <w:lang w:val="en-US"/>
        </w:rPr>
        <w:t>is included for VL and CL in the N</w:t>
      </w:r>
      <w:r w:rsidRPr="00F704D4">
        <w:rPr>
          <w:sz w:val="22"/>
          <w:lang w:val="en-US"/>
        </w:rPr>
        <w:t>ational Essential Drug List</w:t>
      </w:r>
      <w:r>
        <w:rPr>
          <w:sz w:val="22"/>
          <w:lang w:val="en-US"/>
        </w:rPr>
        <w:t>. L</w:t>
      </w:r>
      <w:r w:rsidRPr="00F704D4">
        <w:rPr>
          <w:sz w:val="22"/>
          <w:lang w:val="en-US"/>
        </w:rPr>
        <w:t>iposomal amphotericin B</w:t>
      </w:r>
      <w:r>
        <w:rPr>
          <w:sz w:val="22"/>
          <w:lang w:val="en-US"/>
        </w:rPr>
        <w:t xml:space="preserve"> is included for VL. AmBisome is registered in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lang w:val="en-US"/>
            </w:rPr>
            <w:t>Greece</w:t>
          </w:r>
        </w:smartTag>
      </w:smartTag>
      <w:r>
        <w:rPr>
          <w:sz w:val="22"/>
          <w:lang w:val="en-US"/>
        </w:rPr>
        <w:t xml:space="preserve">. Meglumine antimoniate (Glucantime) is not registered. </w:t>
      </w:r>
    </w:p>
    <w:p w:rsidR="00122F11" w:rsidRDefault="00122F11" w:rsidP="00122F11">
      <w:pPr>
        <w:ind w:left="0" w:firstLine="0"/>
        <w:rPr>
          <w:sz w:val="22"/>
          <w:lang w:val="en-GB"/>
        </w:rPr>
      </w:pPr>
    </w:p>
    <w:p w:rsidR="00122F11" w:rsidRDefault="00122F11" w:rsidP="00122F11">
      <w:pPr>
        <w:ind w:left="0" w:firstLine="0"/>
        <w:rPr>
          <w:sz w:val="22"/>
          <w:lang w:val="en-GB"/>
        </w:rPr>
      </w:pPr>
    </w:p>
    <w:p w:rsidR="00122F11" w:rsidRPr="00C7229E" w:rsidRDefault="00122F11" w:rsidP="00122F11">
      <w:pPr>
        <w:ind w:left="0" w:firstLine="0"/>
        <w:rPr>
          <w:b/>
          <w:sz w:val="22"/>
          <w:lang w:val="en-GB"/>
        </w:rPr>
      </w:pPr>
      <w:r w:rsidRPr="00C7229E">
        <w:rPr>
          <w:b/>
          <w:sz w:val="22"/>
          <w:lang w:val="en-GB"/>
        </w:rPr>
        <w:t>SOURCES OF INFORMATION</w:t>
      </w:r>
    </w:p>
    <w:p w:rsidR="00122F11" w:rsidRDefault="00122F11" w:rsidP="00122F11">
      <w:pPr>
        <w:ind w:left="0" w:firstLine="0"/>
        <w:rPr>
          <w:sz w:val="22"/>
          <w:lang w:val="en-GB"/>
        </w:rPr>
      </w:pPr>
    </w:p>
    <w:p w:rsidR="00122F11" w:rsidRPr="0080612E" w:rsidRDefault="00122F11" w:rsidP="00122F11">
      <w:pPr>
        <w:numPr>
          <w:ilvl w:val="0"/>
          <w:numId w:val="6"/>
        </w:numPr>
        <w:ind w:right="-1"/>
        <w:rPr>
          <w:bCs/>
          <w:i/>
          <w:iCs/>
          <w:sz w:val="22"/>
          <w:lang w:val="en-GB"/>
        </w:rPr>
      </w:pPr>
      <w:r>
        <w:rPr>
          <w:sz w:val="22"/>
          <w:lang w:val="en-US"/>
        </w:rPr>
        <w:t xml:space="preserve">Dr </w:t>
      </w:r>
      <w:r w:rsidRPr="008666E4">
        <w:rPr>
          <w:sz w:val="22"/>
          <w:lang w:val="en-US"/>
        </w:rPr>
        <w:t xml:space="preserve">Katina </w:t>
      </w:r>
      <w:proofErr w:type="spellStart"/>
      <w:r w:rsidRPr="008666E4">
        <w:rPr>
          <w:sz w:val="22"/>
          <w:lang w:val="en-US"/>
        </w:rPr>
        <w:t>Nicolaidou</w:t>
      </w:r>
      <w:proofErr w:type="spellEnd"/>
      <w:r>
        <w:rPr>
          <w:sz w:val="22"/>
          <w:lang w:val="en-US"/>
        </w:rPr>
        <w:t>.</w:t>
      </w:r>
      <w:r w:rsidRPr="008666E4">
        <w:rPr>
          <w:sz w:val="22"/>
          <w:lang w:val="en-US"/>
        </w:rPr>
        <w:t xml:space="preserve"> Hellenic Pasteur Institute</w:t>
      </w:r>
      <w:r>
        <w:rPr>
          <w:sz w:val="22"/>
          <w:lang w:val="en-US"/>
        </w:rPr>
        <w:t xml:space="preserve">. </w:t>
      </w:r>
      <w:r w:rsidRPr="0080612E">
        <w:rPr>
          <w:bCs/>
          <w:i/>
          <w:iCs/>
          <w:sz w:val="22"/>
          <w:lang w:val="en-GB"/>
        </w:rPr>
        <w:t xml:space="preserve">Leishmaniasis in the European Region, a </w:t>
      </w:r>
      <w:r>
        <w:rPr>
          <w:bCs/>
          <w:i/>
          <w:iCs/>
          <w:sz w:val="22"/>
          <w:lang w:val="en-GB"/>
        </w:rPr>
        <w:t xml:space="preserve">WHO </w:t>
      </w:r>
      <w:r w:rsidRPr="0080612E">
        <w:rPr>
          <w:bCs/>
          <w:i/>
          <w:iCs/>
          <w:sz w:val="22"/>
          <w:lang w:val="en-GB"/>
        </w:rPr>
        <w:t xml:space="preserve">consultative </w:t>
      </w:r>
      <w:proofErr w:type="spellStart"/>
      <w:r w:rsidRPr="0080612E">
        <w:rPr>
          <w:bCs/>
          <w:i/>
          <w:iCs/>
          <w:sz w:val="22"/>
          <w:lang w:val="en-GB"/>
        </w:rPr>
        <w:t>intercountry</w:t>
      </w:r>
      <w:proofErr w:type="spellEnd"/>
      <w:r w:rsidRPr="0080612E">
        <w:rPr>
          <w:bCs/>
          <w:i/>
          <w:iCs/>
          <w:sz w:val="22"/>
          <w:lang w:val="en-GB"/>
        </w:rPr>
        <w:t xml:space="preserve"> meeting, </w:t>
      </w:r>
      <w:smartTag w:uri="urn:schemas-microsoft-com:office:smarttags" w:element="place">
        <w:smartTag w:uri="urn:schemas-microsoft-com:office:smarttags" w:element="City">
          <w:r w:rsidRPr="0080612E">
            <w:rPr>
              <w:bCs/>
              <w:i/>
              <w:iCs/>
              <w:sz w:val="22"/>
              <w:lang w:val="en-GB"/>
            </w:rPr>
            <w:t>Istanbul</w:t>
          </w:r>
        </w:smartTag>
        <w:r w:rsidRPr="0080612E">
          <w:rPr>
            <w:bCs/>
            <w:i/>
            <w:iCs/>
            <w:sz w:val="22"/>
            <w:lang w:val="en-GB"/>
          </w:rPr>
          <w:t xml:space="preserve">, </w:t>
        </w:r>
        <w:smartTag w:uri="urn:schemas-microsoft-com:office:smarttags" w:element="country-region">
          <w:r w:rsidRPr="0080612E">
            <w:rPr>
              <w:bCs/>
              <w:i/>
              <w:iCs/>
              <w:sz w:val="22"/>
              <w:lang w:val="en-GB"/>
            </w:rPr>
            <w:t>Turkey</w:t>
          </w:r>
        </w:smartTag>
      </w:smartTag>
      <w:r w:rsidRPr="0080612E">
        <w:rPr>
          <w:bCs/>
          <w:i/>
          <w:iCs/>
          <w:sz w:val="22"/>
          <w:lang w:val="en-GB"/>
        </w:rPr>
        <w:t>, 17–19 November 2009</w:t>
      </w:r>
      <w:r>
        <w:rPr>
          <w:bCs/>
          <w:i/>
          <w:iCs/>
          <w:sz w:val="22"/>
          <w:lang w:val="en-GB"/>
        </w:rPr>
        <w:t>.</w:t>
      </w:r>
    </w:p>
    <w:p w:rsidR="00122F11" w:rsidRPr="008666E4" w:rsidRDefault="00122F11" w:rsidP="00122F11">
      <w:pPr>
        <w:ind w:left="0" w:firstLine="0"/>
        <w:rPr>
          <w:sz w:val="22"/>
          <w:lang w:val="en-US"/>
        </w:rPr>
      </w:pPr>
    </w:p>
    <w:p w:rsidR="00122F11" w:rsidRPr="008666E4" w:rsidRDefault="00122F11" w:rsidP="00122F11">
      <w:pPr>
        <w:ind w:left="0" w:firstLine="0"/>
        <w:rPr>
          <w:sz w:val="22"/>
          <w:lang w:val="en-US"/>
        </w:rPr>
      </w:pPr>
    </w:p>
    <w:p w:rsidR="00122F11" w:rsidRPr="00122F11" w:rsidRDefault="00122F11" w:rsidP="00122F11">
      <w:pPr>
        <w:pStyle w:val="Heading1"/>
        <w:numPr>
          <w:ilvl w:val="0"/>
          <w:numId w:val="0"/>
        </w:numPr>
        <w:shd w:val="clear" w:color="auto" w:fill="FFFFFF"/>
        <w:jc w:val="both"/>
        <w:rPr>
          <w:b w:val="0"/>
          <w:bCs w:val="0"/>
          <w:color w:val="000000"/>
          <w:sz w:val="22"/>
          <w:szCs w:val="22"/>
          <w:lang w:val="en-GB"/>
        </w:rPr>
      </w:pPr>
      <w:r w:rsidRPr="00122F11">
        <w:rPr>
          <w:b w:val="0"/>
          <w:bCs w:val="0"/>
          <w:color w:val="000000"/>
          <w:sz w:val="22"/>
          <w:szCs w:val="22"/>
          <w:lang w:val="pt-BR"/>
        </w:rPr>
        <w:t xml:space="preserve">1. </w:t>
      </w:r>
      <w:r w:rsidRPr="00122F11">
        <w:rPr>
          <w:b w:val="0"/>
          <w:bCs w:val="0"/>
          <w:color w:val="000000"/>
          <w:sz w:val="22"/>
          <w:szCs w:val="22"/>
        </w:rPr>
        <w:fldChar w:fldCharType="begin"/>
      </w:r>
      <w:r w:rsidRPr="00122F11">
        <w:rPr>
          <w:b w:val="0"/>
          <w:bCs w:val="0"/>
          <w:color w:val="000000"/>
          <w:sz w:val="22"/>
          <w:szCs w:val="22"/>
          <w:lang w:val="pt-BR"/>
        </w:rPr>
        <w:instrText xml:space="preserve"> HYPERLINK "http://www.ncbi.nlm.nih.gov/pubmed?term=%22Sideris%20V%22%5BAuthor%5D" </w:instrText>
      </w:r>
      <w:r w:rsidRPr="00122F11">
        <w:rPr>
          <w:b w:val="0"/>
          <w:bCs w:val="0"/>
          <w:color w:val="000000"/>
          <w:sz w:val="22"/>
          <w:szCs w:val="22"/>
        </w:rPr>
        <w:fldChar w:fldCharType="separate"/>
      </w:r>
      <w:r w:rsidRPr="00122F11">
        <w:rPr>
          <w:rStyle w:val="Hyperlink"/>
          <w:b w:val="0"/>
          <w:bCs w:val="0"/>
          <w:color w:val="000000"/>
          <w:sz w:val="22"/>
          <w:szCs w:val="22"/>
          <w:u w:val="none"/>
          <w:lang w:val="pt-BR"/>
        </w:rPr>
        <w:t>Sideris V</w:t>
      </w:r>
      <w:r w:rsidRPr="00122F11">
        <w:rPr>
          <w:b w:val="0"/>
          <w:bCs w:val="0"/>
          <w:color w:val="000000"/>
          <w:sz w:val="22"/>
          <w:szCs w:val="22"/>
        </w:rPr>
        <w:fldChar w:fldCharType="end"/>
      </w:r>
      <w:r w:rsidRPr="00122F11">
        <w:rPr>
          <w:b w:val="0"/>
          <w:bCs w:val="0"/>
          <w:color w:val="000000"/>
          <w:sz w:val="22"/>
          <w:szCs w:val="22"/>
          <w:lang w:val="pt-BR"/>
        </w:rPr>
        <w:t xml:space="preserve">, </w:t>
      </w:r>
      <w:hyperlink r:id="rId12" w:history="1">
        <w:r w:rsidRPr="00122F11">
          <w:rPr>
            <w:rStyle w:val="Hyperlink"/>
            <w:b w:val="0"/>
            <w:bCs w:val="0"/>
            <w:color w:val="000000"/>
            <w:sz w:val="22"/>
            <w:szCs w:val="22"/>
            <w:u w:val="none"/>
            <w:lang w:val="pt-BR"/>
          </w:rPr>
          <w:t>Papadopoulou G</w:t>
        </w:r>
      </w:hyperlink>
      <w:r w:rsidRPr="00122F11">
        <w:rPr>
          <w:b w:val="0"/>
          <w:bCs w:val="0"/>
          <w:color w:val="000000"/>
          <w:sz w:val="22"/>
          <w:szCs w:val="22"/>
          <w:lang w:val="pt-BR"/>
        </w:rPr>
        <w:t xml:space="preserve">, </w:t>
      </w:r>
      <w:hyperlink r:id="rId13" w:history="1">
        <w:r w:rsidRPr="00122F11">
          <w:rPr>
            <w:rStyle w:val="Hyperlink"/>
            <w:b w:val="0"/>
            <w:bCs w:val="0"/>
            <w:color w:val="000000"/>
            <w:sz w:val="22"/>
            <w:szCs w:val="22"/>
            <w:u w:val="none"/>
            <w:lang w:val="pt-BR"/>
          </w:rPr>
          <w:t>Dotsika E</w:t>
        </w:r>
      </w:hyperlink>
      <w:r w:rsidRPr="00122F11">
        <w:rPr>
          <w:b w:val="0"/>
          <w:bCs w:val="0"/>
          <w:color w:val="000000"/>
          <w:sz w:val="22"/>
          <w:szCs w:val="22"/>
          <w:lang w:val="pt-BR"/>
        </w:rPr>
        <w:t xml:space="preserve">, </w:t>
      </w:r>
      <w:hyperlink r:id="rId14" w:history="1">
        <w:r w:rsidRPr="00122F11">
          <w:rPr>
            <w:rStyle w:val="Hyperlink"/>
            <w:b w:val="0"/>
            <w:bCs w:val="0"/>
            <w:color w:val="000000"/>
            <w:sz w:val="22"/>
            <w:szCs w:val="22"/>
            <w:u w:val="none"/>
            <w:lang w:val="pt-BR"/>
          </w:rPr>
          <w:t>Karagouni E</w:t>
        </w:r>
      </w:hyperlink>
      <w:r w:rsidRPr="00122F11">
        <w:rPr>
          <w:b w:val="0"/>
          <w:bCs w:val="0"/>
          <w:color w:val="000000"/>
          <w:sz w:val="22"/>
          <w:szCs w:val="22"/>
        </w:rPr>
        <w:t xml:space="preserve"> (1999)</w:t>
      </w:r>
      <w:r w:rsidRPr="00122F11">
        <w:rPr>
          <w:b w:val="0"/>
          <w:bCs w:val="0"/>
          <w:color w:val="000000"/>
          <w:sz w:val="22"/>
          <w:szCs w:val="22"/>
          <w:lang w:val="pt-BR"/>
        </w:rPr>
        <w:t xml:space="preserve">. </w:t>
      </w:r>
      <w:proofErr w:type="gramStart"/>
      <w:r w:rsidRPr="00122F11">
        <w:rPr>
          <w:b w:val="0"/>
          <w:bCs w:val="0"/>
          <w:color w:val="000000"/>
          <w:sz w:val="22"/>
          <w:szCs w:val="22"/>
          <w:lang w:val="en-GB"/>
        </w:rPr>
        <w:t>Asymptomatic</w:t>
      </w:r>
      <w:r>
        <w:rPr>
          <w:b w:val="0"/>
          <w:bCs w:val="0"/>
          <w:color w:val="000000"/>
          <w:sz w:val="22"/>
          <w:szCs w:val="22"/>
          <w:lang w:val="en-GB"/>
        </w:rPr>
        <w:t xml:space="preserve"> </w:t>
      </w:r>
      <w:r w:rsidRPr="00122F11">
        <w:rPr>
          <w:rStyle w:val="highlight"/>
          <w:b w:val="0"/>
          <w:bCs w:val="0"/>
          <w:color w:val="000000"/>
          <w:sz w:val="22"/>
          <w:szCs w:val="22"/>
          <w:lang w:val="en-GB"/>
        </w:rPr>
        <w:t>canine</w:t>
      </w:r>
      <w:r w:rsidRPr="00122F11">
        <w:rPr>
          <w:b w:val="0"/>
          <w:bCs w:val="0"/>
          <w:color w:val="000000"/>
          <w:sz w:val="22"/>
          <w:szCs w:val="22"/>
          <w:lang w:val="en-GB"/>
        </w:rPr>
        <w:t xml:space="preserve"> </w:t>
      </w:r>
      <w:r w:rsidRPr="00122F11">
        <w:rPr>
          <w:rStyle w:val="highlight"/>
          <w:b w:val="0"/>
          <w:bCs w:val="0"/>
          <w:color w:val="000000"/>
          <w:sz w:val="22"/>
          <w:szCs w:val="22"/>
          <w:lang w:val="en-GB"/>
        </w:rPr>
        <w:t>leishmaniasis</w:t>
      </w:r>
      <w:r w:rsidRPr="00122F11">
        <w:rPr>
          <w:b w:val="0"/>
          <w:bCs w:val="0"/>
          <w:color w:val="000000"/>
          <w:sz w:val="22"/>
          <w:szCs w:val="22"/>
          <w:lang w:val="en-GB"/>
        </w:rPr>
        <w:t xml:space="preserve"> in Greater Athens area, </w:t>
      </w:r>
      <w:r w:rsidRPr="00122F11">
        <w:rPr>
          <w:rStyle w:val="highlight"/>
          <w:b w:val="0"/>
          <w:bCs w:val="0"/>
          <w:color w:val="000000"/>
          <w:sz w:val="22"/>
          <w:szCs w:val="22"/>
          <w:lang w:val="en-GB"/>
        </w:rPr>
        <w:t>Greece</w:t>
      </w:r>
      <w:r w:rsidRPr="00122F11">
        <w:rPr>
          <w:b w:val="0"/>
          <w:bCs w:val="0"/>
          <w:color w:val="000000"/>
          <w:sz w:val="22"/>
          <w:szCs w:val="22"/>
          <w:lang w:val="en-GB"/>
        </w:rPr>
        <w:t>.</w:t>
      </w:r>
      <w:proofErr w:type="gramEnd"/>
      <w:r w:rsidRPr="00122F11">
        <w:rPr>
          <w:b w:val="0"/>
          <w:bCs w:val="0"/>
          <w:color w:val="000000"/>
          <w:sz w:val="22"/>
          <w:szCs w:val="22"/>
          <w:lang w:val="en-GB"/>
        </w:rPr>
        <w:t xml:space="preserve"> </w:t>
      </w:r>
      <w:hyperlink r:id="rId15" w:anchor="#" w:tooltip="European journal of epidemiology." w:history="1">
        <w:proofErr w:type="spellStart"/>
        <w:r w:rsidRPr="00122F11">
          <w:rPr>
            <w:rStyle w:val="Hyperlink"/>
            <w:b w:val="0"/>
            <w:bCs w:val="0"/>
            <w:color w:val="000000"/>
            <w:sz w:val="22"/>
            <w:szCs w:val="22"/>
            <w:u w:val="none"/>
            <w:lang w:val="en-GB"/>
          </w:rPr>
          <w:t>Eur</w:t>
        </w:r>
        <w:proofErr w:type="spellEnd"/>
        <w:r w:rsidRPr="00122F11">
          <w:rPr>
            <w:rStyle w:val="Hyperlink"/>
            <w:b w:val="0"/>
            <w:bCs w:val="0"/>
            <w:color w:val="000000"/>
            <w:sz w:val="22"/>
            <w:szCs w:val="22"/>
            <w:u w:val="none"/>
            <w:lang w:val="en-GB"/>
          </w:rPr>
          <w:t xml:space="preserve"> J Epidemiol.</w:t>
        </w:r>
      </w:hyperlink>
      <w:r w:rsidRPr="00122F11">
        <w:rPr>
          <w:b w:val="0"/>
          <w:bCs w:val="0"/>
          <w:color w:val="000000"/>
          <w:sz w:val="22"/>
          <w:szCs w:val="22"/>
          <w:lang w:val="en-GB"/>
        </w:rPr>
        <w:t>15(3):271-6.</w:t>
      </w:r>
    </w:p>
    <w:p w:rsidR="00122F11" w:rsidRPr="00122F11" w:rsidRDefault="00122F11" w:rsidP="00122F11">
      <w:pPr>
        <w:shd w:val="clear" w:color="auto" w:fill="FFFFFF"/>
        <w:ind w:left="0" w:firstLine="0"/>
        <w:rPr>
          <w:rFonts w:eastAsia="SimSun"/>
          <w:color w:val="000000"/>
          <w:sz w:val="22"/>
          <w:lang w:val="en-GB" w:eastAsia="zh-CN"/>
        </w:rPr>
      </w:pPr>
      <w:r w:rsidRPr="00122F11">
        <w:rPr>
          <w:rFonts w:eastAsia="SimSun"/>
          <w:color w:val="000000"/>
          <w:sz w:val="22"/>
          <w:lang w:val="en-GB" w:eastAsia="zh-CN"/>
        </w:rPr>
        <w:t xml:space="preserve">2. </w:t>
      </w:r>
      <w:proofErr w:type="spellStart"/>
      <w:r w:rsidRPr="00122F11">
        <w:rPr>
          <w:rFonts w:eastAsia="SimSun"/>
          <w:color w:val="000000"/>
          <w:sz w:val="22"/>
          <w:lang w:val="en-GB" w:eastAsia="zh-CN"/>
        </w:rPr>
        <w:t>Papadopoulou</w:t>
      </w:r>
      <w:proofErr w:type="spellEnd"/>
      <w:r w:rsidRPr="00122F11">
        <w:rPr>
          <w:rFonts w:eastAsia="SimSun"/>
          <w:color w:val="000000"/>
          <w:sz w:val="22"/>
          <w:lang w:val="en-GB" w:eastAsia="zh-CN"/>
        </w:rPr>
        <w:t xml:space="preserve"> C, </w:t>
      </w:r>
      <w:proofErr w:type="spellStart"/>
      <w:r w:rsidRPr="00122F11">
        <w:rPr>
          <w:rFonts w:eastAsia="SimSun"/>
          <w:color w:val="000000"/>
          <w:sz w:val="22"/>
          <w:lang w:val="en-GB" w:eastAsia="zh-CN"/>
        </w:rPr>
        <w:t>Kostoula</w:t>
      </w:r>
      <w:proofErr w:type="spellEnd"/>
      <w:r w:rsidRPr="00122F11">
        <w:rPr>
          <w:rFonts w:eastAsia="SimSun"/>
          <w:color w:val="000000"/>
          <w:sz w:val="22"/>
          <w:lang w:val="en-GB" w:eastAsia="zh-CN"/>
        </w:rPr>
        <w:t xml:space="preserve"> A, </w:t>
      </w:r>
      <w:proofErr w:type="spellStart"/>
      <w:r w:rsidRPr="00122F11">
        <w:rPr>
          <w:rFonts w:eastAsia="SimSun"/>
          <w:color w:val="000000"/>
          <w:sz w:val="22"/>
          <w:lang w:val="en-GB" w:eastAsia="zh-CN"/>
        </w:rPr>
        <w:t>Dimitriou</w:t>
      </w:r>
      <w:proofErr w:type="spellEnd"/>
      <w:r w:rsidRPr="00122F11">
        <w:rPr>
          <w:rFonts w:eastAsia="SimSun"/>
          <w:color w:val="000000"/>
          <w:sz w:val="22"/>
          <w:lang w:val="en-GB" w:eastAsia="zh-CN"/>
        </w:rPr>
        <w:t xml:space="preserve"> D, </w:t>
      </w:r>
      <w:proofErr w:type="spellStart"/>
      <w:r w:rsidRPr="00122F11">
        <w:rPr>
          <w:rFonts w:eastAsia="SimSun"/>
          <w:color w:val="000000"/>
          <w:sz w:val="22"/>
          <w:lang w:val="en-GB" w:eastAsia="zh-CN"/>
        </w:rPr>
        <w:t>Panagiou</w:t>
      </w:r>
      <w:proofErr w:type="spellEnd"/>
      <w:r w:rsidRPr="00122F11">
        <w:rPr>
          <w:rFonts w:eastAsia="SimSun"/>
          <w:color w:val="000000"/>
          <w:sz w:val="22"/>
          <w:lang w:val="en-GB" w:eastAsia="zh-CN"/>
        </w:rPr>
        <w:t xml:space="preserve"> A, </w:t>
      </w:r>
      <w:proofErr w:type="spellStart"/>
      <w:r w:rsidRPr="00122F11">
        <w:rPr>
          <w:rFonts w:eastAsia="SimSun"/>
          <w:color w:val="000000"/>
          <w:sz w:val="22"/>
          <w:lang w:val="en-GB" w:eastAsia="zh-CN"/>
        </w:rPr>
        <w:t>Bobojianni</w:t>
      </w:r>
      <w:proofErr w:type="spellEnd"/>
      <w:r w:rsidRPr="00122F11">
        <w:rPr>
          <w:rFonts w:eastAsia="SimSun"/>
          <w:color w:val="000000"/>
          <w:sz w:val="22"/>
          <w:lang w:val="en-GB" w:eastAsia="zh-CN"/>
        </w:rPr>
        <w:t xml:space="preserve"> C et al (2005). </w:t>
      </w:r>
      <w:hyperlink r:id="rId16" w:history="1">
        <w:proofErr w:type="gramStart"/>
        <w:r w:rsidRPr="00122F11">
          <w:rPr>
            <w:rFonts w:eastAsia="SimSun"/>
            <w:color w:val="000000"/>
            <w:sz w:val="22"/>
            <w:lang w:val="en-GB" w:eastAsia="zh-CN"/>
          </w:rPr>
          <w:t xml:space="preserve">Human and canine leishmaniasis in asymptomatic and symptomatic population in </w:t>
        </w:r>
        <w:proofErr w:type="spellStart"/>
        <w:r w:rsidRPr="00122F11">
          <w:rPr>
            <w:rFonts w:eastAsia="SimSun"/>
            <w:color w:val="000000"/>
            <w:sz w:val="22"/>
            <w:lang w:val="en-GB" w:eastAsia="zh-CN"/>
          </w:rPr>
          <w:t>Northwestern</w:t>
        </w:r>
        <w:proofErr w:type="spellEnd"/>
        <w:r w:rsidRPr="00122F11">
          <w:rPr>
            <w:rFonts w:eastAsia="SimSun"/>
            <w:color w:val="000000"/>
            <w:sz w:val="22"/>
            <w:lang w:val="en-GB" w:eastAsia="zh-CN"/>
          </w:rPr>
          <w:t xml:space="preserve"> Greece.</w:t>
        </w:r>
        <w:proofErr w:type="gramEnd"/>
      </w:hyperlink>
      <w:r w:rsidRPr="00122F11">
        <w:rPr>
          <w:rFonts w:eastAsia="SimSun"/>
          <w:color w:val="000000"/>
          <w:sz w:val="22"/>
          <w:lang w:val="en-GB" w:eastAsia="zh-CN"/>
        </w:rPr>
        <w:t xml:space="preserve"> J Infect 50(1):53-60.</w:t>
      </w:r>
    </w:p>
    <w:p w:rsidR="00122F11" w:rsidRPr="00122F11" w:rsidRDefault="00122F11" w:rsidP="00122F11">
      <w:pPr>
        <w:ind w:left="0" w:firstLine="0"/>
        <w:rPr>
          <w:sz w:val="22"/>
          <w:lang w:val="en-US"/>
        </w:rPr>
      </w:pPr>
    </w:p>
    <w:p w:rsidR="00122F11" w:rsidRPr="00122F11" w:rsidRDefault="00122F11" w:rsidP="00122F11">
      <w:pPr>
        <w:ind w:left="0" w:firstLine="0"/>
        <w:rPr>
          <w:sz w:val="22"/>
          <w:lang w:val="en-US"/>
        </w:rPr>
      </w:pPr>
      <w:r w:rsidRPr="00122F11">
        <w:rPr>
          <w:sz w:val="22"/>
          <w:lang w:val="en-US"/>
        </w:rPr>
        <w:t xml:space="preserve">3. Antoniou M, </w:t>
      </w:r>
      <w:proofErr w:type="spellStart"/>
      <w:r w:rsidRPr="00122F11">
        <w:rPr>
          <w:sz w:val="22"/>
          <w:lang w:val="en-US"/>
        </w:rPr>
        <w:t>Messaritakis</w:t>
      </w:r>
      <w:proofErr w:type="spellEnd"/>
      <w:r w:rsidRPr="00122F11">
        <w:rPr>
          <w:sz w:val="22"/>
          <w:lang w:val="en-US"/>
        </w:rPr>
        <w:t xml:space="preserve"> I, Christodoulou V, </w:t>
      </w:r>
      <w:proofErr w:type="spellStart"/>
      <w:r w:rsidRPr="00122F11">
        <w:rPr>
          <w:sz w:val="22"/>
          <w:lang w:val="en-US"/>
        </w:rPr>
        <w:t>Ascoksilaki</w:t>
      </w:r>
      <w:proofErr w:type="spellEnd"/>
      <w:r w:rsidRPr="00122F11">
        <w:rPr>
          <w:sz w:val="22"/>
          <w:lang w:val="en-US"/>
        </w:rPr>
        <w:t xml:space="preserve"> I, </w:t>
      </w:r>
      <w:proofErr w:type="spellStart"/>
      <w:r w:rsidRPr="00122F11">
        <w:rPr>
          <w:sz w:val="22"/>
          <w:lang w:val="en-US"/>
        </w:rPr>
        <w:t>Kanavakis</w:t>
      </w:r>
      <w:proofErr w:type="spellEnd"/>
      <w:r w:rsidRPr="00122F11">
        <w:rPr>
          <w:sz w:val="22"/>
          <w:lang w:val="en-US"/>
        </w:rPr>
        <w:t xml:space="preserve"> N et al (2009). </w:t>
      </w:r>
      <w:proofErr w:type="gramStart"/>
      <w:r w:rsidRPr="00122F11">
        <w:rPr>
          <w:sz w:val="22"/>
          <w:lang w:val="en-US"/>
        </w:rPr>
        <w:t>Increasing incidence of zoonotic visceral leishmaniasis on Crete, Greece.</w:t>
      </w:r>
      <w:proofErr w:type="gramEnd"/>
      <w:r w:rsidRPr="00122F11">
        <w:rPr>
          <w:sz w:val="22"/>
          <w:lang w:val="en-US"/>
        </w:rPr>
        <w:t xml:space="preserve"> </w:t>
      </w:r>
      <w:proofErr w:type="spellStart"/>
      <w:r w:rsidRPr="00122F11">
        <w:rPr>
          <w:sz w:val="22"/>
          <w:lang w:val="en-US"/>
        </w:rPr>
        <w:t>Emerg</w:t>
      </w:r>
      <w:proofErr w:type="spellEnd"/>
      <w:r w:rsidRPr="00122F11">
        <w:rPr>
          <w:sz w:val="22"/>
          <w:lang w:val="en-US"/>
        </w:rPr>
        <w:t xml:space="preserve"> Infect </w:t>
      </w:r>
      <w:proofErr w:type="spellStart"/>
      <w:r w:rsidRPr="00122F11">
        <w:rPr>
          <w:sz w:val="22"/>
          <w:lang w:val="en-US"/>
        </w:rPr>
        <w:t>Dis</w:t>
      </w:r>
      <w:proofErr w:type="spellEnd"/>
      <w:r w:rsidRPr="00122F11">
        <w:rPr>
          <w:sz w:val="22"/>
          <w:lang w:val="en-US"/>
        </w:rPr>
        <w:t xml:space="preserve"> 15(6):932-4.</w:t>
      </w:r>
    </w:p>
    <w:p w:rsidR="00122F11" w:rsidRPr="00122F11" w:rsidRDefault="00122F11" w:rsidP="00122F11">
      <w:pPr>
        <w:ind w:left="0" w:firstLine="0"/>
        <w:rPr>
          <w:sz w:val="22"/>
          <w:lang w:val="en-US"/>
        </w:rPr>
      </w:pPr>
    </w:p>
    <w:p w:rsidR="00122F11" w:rsidRPr="00122F11" w:rsidRDefault="00122F11" w:rsidP="00122F11">
      <w:pPr>
        <w:ind w:left="0" w:firstLine="0"/>
        <w:rPr>
          <w:sz w:val="22"/>
          <w:lang w:val="en-GB"/>
        </w:rPr>
      </w:pPr>
      <w:r w:rsidRPr="00122F11">
        <w:rPr>
          <w:sz w:val="22"/>
          <w:lang w:val="da-DK"/>
        </w:rPr>
        <w:t xml:space="preserve">4. </w:t>
      </w:r>
      <w:proofErr w:type="spellStart"/>
      <w:r w:rsidRPr="00122F11">
        <w:rPr>
          <w:sz w:val="22"/>
        </w:rPr>
        <w:t>Kyriakou</w:t>
      </w:r>
      <w:proofErr w:type="spellEnd"/>
      <w:r w:rsidRPr="00122F11">
        <w:rPr>
          <w:sz w:val="22"/>
        </w:rPr>
        <w:t xml:space="preserve"> DS, </w:t>
      </w:r>
      <w:proofErr w:type="spellStart"/>
      <w:r w:rsidRPr="00122F11">
        <w:rPr>
          <w:sz w:val="22"/>
        </w:rPr>
        <w:t>Alexandrakis</w:t>
      </w:r>
      <w:proofErr w:type="spellEnd"/>
      <w:r w:rsidRPr="00122F11">
        <w:rPr>
          <w:sz w:val="22"/>
        </w:rPr>
        <w:t xml:space="preserve"> MG, </w:t>
      </w:r>
      <w:proofErr w:type="spellStart"/>
      <w:r w:rsidRPr="00122F11">
        <w:rPr>
          <w:sz w:val="22"/>
        </w:rPr>
        <w:t>Passam</w:t>
      </w:r>
      <w:proofErr w:type="spellEnd"/>
      <w:r w:rsidRPr="00122F11">
        <w:rPr>
          <w:sz w:val="22"/>
        </w:rPr>
        <w:t xml:space="preserve"> FH, </w:t>
      </w:r>
      <w:proofErr w:type="spellStart"/>
      <w:r w:rsidRPr="00122F11">
        <w:rPr>
          <w:sz w:val="22"/>
        </w:rPr>
        <w:t>Kourelis</w:t>
      </w:r>
      <w:proofErr w:type="spellEnd"/>
      <w:r w:rsidRPr="00122F11">
        <w:rPr>
          <w:sz w:val="22"/>
        </w:rPr>
        <w:t xml:space="preserve"> TV, </w:t>
      </w:r>
      <w:proofErr w:type="spellStart"/>
      <w:r w:rsidRPr="00122F11">
        <w:rPr>
          <w:sz w:val="22"/>
        </w:rPr>
        <w:t>Foundouli</w:t>
      </w:r>
      <w:proofErr w:type="spellEnd"/>
      <w:r w:rsidRPr="00122F11">
        <w:rPr>
          <w:sz w:val="22"/>
        </w:rPr>
        <w:t xml:space="preserve"> P et al (2003)</w:t>
      </w:r>
      <w:r w:rsidRPr="00122F11">
        <w:rPr>
          <w:sz w:val="22"/>
          <w:lang w:val="da-DK"/>
        </w:rPr>
        <w:t xml:space="preserve">. </w:t>
      </w:r>
      <w:proofErr w:type="gramStart"/>
      <w:r w:rsidRPr="00122F11">
        <w:rPr>
          <w:sz w:val="22"/>
          <w:lang w:val="en-GB"/>
        </w:rPr>
        <w:t xml:space="preserve">Quick detection of Leishmania in peripheral blood by flow </w:t>
      </w:r>
      <w:proofErr w:type="spellStart"/>
      <w:r w:rsidRPr="00122F11">
        <w:rPr>
          <w:sz w:val="22"/>
          <w:lang w:val="en-GB"/>
        </w:rPr>
        <w:t>cytometry</w:t>
      </w:r>
      <w:proofErr w:type="spellEnd"/>
      <w:r w:rsidRPr="00122F11">
        <w:rPr>
          <w:sz w:val="22"/>
          <w:lang w:val="en-GB"/>
        </w:rPr>
        <w:t>.</w:t>
      </w:r>
      <w:proofErr w:type="gramEnd"/>
      <w:r w:rsidRPr="00122F11">
        <w:rPr>
          <w:sz w:val="22"/>
          <w:lang w:val="en-GB"/>
        </w:rPr>
        <w:t xml:space="preserve"> Is </w:t>
      </w:r>
      <w:proofErr w:type="spellStart"/>
      <w:r w:rsidRPr="00122F11">
        <w:rPr>
          <w:sz w:val="22"/>
          <w:lang w:val="en-GB"/>
        </w:rPr>
        <w:t>prestorage</w:t>
      </w:r>
      <w:proofErr w:type="spellEnd"/>
      <w:r w:rsidRPr="00122F11">
        <w:rPr>
          <w:sz w:val="22"/>
          <w:lang w:val="en-GB"/>
        </w:rPr>
        <w:t xml:space="preserve"> </w:t>
      </w:r>
      <w:proofErr w:type="spellStart"/>
      <w:r w:rsidRPr="00122F11">
        <w:rPr>
          <w:sz w:val="22"/>
          <w:lang w:val="en-GB"/>
        </w:rPr>
        <w:t>leucodepletion</w:t>
      </w:r>
      <w:proofErr w:type="spellEnd"/>
      <w:r w:rsidRPr="00122F11">
        <w:rPr>
          <w:sz w:val="22"/>
          <w:lang w:val="en-GB"/>
        </w:rPr>
        <w:t xml:space="preserve"> necessary for leishmaniasis prevention in endemic areas? </w:t>
      </w:r>
      <w:proofErr w:type="spellStart"/>
      <w:r w:rsidRPr="00122F11">
        <w:rPr>
          <w:sz w:val="22"/>
          <w:lang w:val="en-GB"/>
        </w:rPr>
        <w:t>Transfus</w:t>
      </w:r>
      <w:proofErr w:type="spellEnd"/>
      <w:r w:rsidRPr="00122F11">
        <w:rPr>
          <w:sz w:val="22"/>
          <w:lang w:val="en-GB"/>
        </w:rPr>
        <w:t xml:space="preserve"> Med 13:59–62.</w:t>
      </w:r>
    </w:p>
    <w:p w:rsidR="00122F11" w:rsidRPr="00122F11" w:rsidRDefault="00122F11" w:rsidP="00122F11">
      <w:pPr>
        <w:ind w:left="57"/>
        <w:rPr>
          <w:sz w:val="22"/>
          <w:lang w:val="en-GB"/>
        </w:rPr>
      </w:pPr>
    </w:p>
    <w:p w:rsidR="00122F11" w:rsidRPr="00122F11" w:rsidRDefault="00122F11" w:rsidP="00122F11">
      <w:pPr>
        <w:shd w:val="clear" w:color="auto" w:fill="FFFFFF"/>
        <w:spacing w:line="432" w:lineRule="atLeast"/>
        <w:ind w:left="420" w:firstLine="0"/>
        <w:jc w:val="left"/>
        <w:rPr>
          <w:rFonts w:eastAsia="SimSun"/>
          <w:sz w:val="22"/>
          <w:lang w:val="en-GB" w:eastAsia="zh-CN"/>
        </w:rPr>
      </w:pPr>
    </w:p>
    <w:p w:rsidR="00122F11" w:rsidRPr="00122F11" w:rsidRDefault="00122F11" w:rsidP="00122F11">
      <w:pPr>
        <w:shd w:val="clear" w:color="auto" w:fill="FFFFFF"/>
        <w:spacing w:line="432" w:lineRule="atLeast"/>
        <w:rPr>
          <w:sz w:val="18"/>
          <w:szCs w:val="18"/>
          <w:lang w:val="en-GB"/>
        </w:rPr>
      </w:pPr>
    </w:p>
    <w:p w:rsidR="00122F11" w:rsidRPr="00122F11" w:rsidRDefault="00122F11" w:rsidP="00122F11">
      <w:pPr>
        <w:shd w:val="clear" w:color="auto" w:fill="FFFFFF"/>
        <w:spacing w:line="432" w:lineRule="atLeast"/>
        <w:rPr>
          <w:sz w:val="18"/>
          <w:szCs w:val="18"/>
          <w:lang w:val="pt-BR"/>
        </w:rPr>
      </w:pPr>
    </w:p>
    <w:p w:rsidR="00122F11" w:rsidRPr="00122F11" w:rsidRDefault="00122F11" w:rsidP="00122F11">
      <w:pPr>
        <w:shd w:val="clear" w:color="auto" w:fill="FFFFFF"/>
        <w:spacing w:before="100" w:beforeAutospacing="1" w:after="100" w:afterAutospacing="1" w:line="432" w:lineRule="atLeast"/>
        <w:ind w:left="420" w:firstLine="0"/>
        <w:jc w:val="left"/>
        <w:rPr>
          <w:rFonts w:eastAsia="SimSun"/>
          <w:sz w:val="21"/>
          <w:szCs w:val="21"/>
          <w:lang w:val="en-GB" w:eastAsia="zh-CN"/>
        </w:rPr>
      </w:pPr>
    </w:p>
    <w:p w:rsidR="002F7C1A" w:rsidRPr="00122F11" w:rsidRDefault="002F7C1A"/>
    <w:sectPr w:rsidR="002F7C1A" w:rsidRPr="00122F11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82F2FE4"/>
    <w:multiLevelType w:val="hybridMultilevel"/>
    <w:tmpl w:val="D708F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B26E9"/>
    <w:multiLevelType w:val="hybridMultilevel"/>
    <w:tmpl w:val="2FC621DC"/>
    <w:lvl w:ilvl="0" w:tplc="490267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B8A1F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DC06A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448DF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DE44B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DB499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2E9B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F9296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97840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2F11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22F11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D0669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11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uiPriority w:val="9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122F11"/>
    <w:rPr>
      <w:color w:val="0000FF"/>
      <w:u w:val="single"/>
    </w:rPr>
  </w:style>
  <w:style w:type="character" w:customStyle="1" w:styleId="highlight">
    <w:name w:val="highlight"/>
    <w:rsid w:val="00122F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11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cbi.nlm.nih.gov/pubmed?term=%22Dotsika%20E%22%5BAuthor%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?term=%22Papadopoulou%20G%22%5BAuthor%5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560384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/10395058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ncbi.nlm.nih.gov/pubmed?term=%22Karagouni%20E%22%5BAuthor%5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288808664259926"/>
          <c:y val="4.1284403669724766E-2"/>
          <c:w val="0.87906137184115518"/>
          <c:h val="0.7247706422018351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5"/>
                <c:pt idx="0">
                  <c:v>50</c:v>
                </c:pt>
                <c:pt idx="1">
                  <c:v>48</c:v>
                </c:pt>
                <c:pt idx="2">
                  <c:v>35</c:v>
                </c:pt>
                <c:pt idx="3">
                  <c:v>48</c:v>
                </c:pt>
                <c:pt idx="4">
                  <c:v>30</c:v>
                </c:pt>
              </c:numCache>
            </c:numRef>
          </c:val>
        </c:ser>
        <c:gapDepth val="0"/>
        <c:shape val="box"/>
        <c:axId val="579488768"/>
        <c:axId val="579531520"/>
        <c:axId val="0"/>
      </c:bar3DChart>
      <c:catAx>
        <c:axId val="5794887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9531520"/>
        <c:crosses val="autoZero"/>
        <c:auto val="1"/>
        <c:lblAlgn val="ctr"/>
        <c:lblOffset val="100"/>
        <c:tickLblSkip val="1"/>
        <c:tickMarkSkip val="1"/>
      </c:catAx>
      <c:valAx>
        <c:axId val="5795315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9488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754716981132073"/>
          <c:y val="4.2253521126760563E-2"/>
          <c:w val="0.87358490566037761"/>
          <c:h val="0.718309859154929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gapDepth val="0"/>
        <c:shape val="box"/>
        <c:axId val="571659776"/>
        <c:axId val="571661312"/>
        <c:axId val="0"/>
      </c:bar3DChart>
      <c:catAx>
        <c:axId val="5716597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1661312"/>
        <c:crosses val="autoZero"/>
        <c:auto val="1"/>
        <c:lblAlgn val="ctr"/>
        <c:lblOffset val="100"/>
        <c:tickLblSkip val="1"/>
        <c:tickMarkSkip val="1"/>
      </c:catAx>
      <c:valAx>
        <c:axId val="5716613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1659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2012-04-01T21:00:00Z</dcterms:created>
  <dcterms:modified xsi:type="dcterms:W3CDTF">2012-04-01T21:02:00Z</dcterms:modified>
</cp:coreProperties>
</file>