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ED" w:rsidRDefault="00EF30ED" w:rsidP="00EF30ED">
      <w:pPr>
        <w:ind w:left="0" w:firstLine="0"/>
        <w:rPr>
          <w:b/>
          <w:sz w:val="22"/>
          <w:u w:val="single"/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C258EC">
            <w:rPr>
              <w:b/>
              <w:sz w:val="22"/>
              <w:u w:val="single"/>
              <w:lang w:val="en-US"/>
            </w:rPr>
            <w:t>GHANA</w:t>
          </w:r>
        </w:smartTag>
      </w:smartTag>
      <w:r w:rsidRPr="00C258EC">
        <w:rPr>
          <w:b/>
          <w:sz w:val="22"/>
          <w:u w:val="single"/>
          <w:lang w:val="en-US"/>
        </w:rPr>
        <w:t xml:space="preserve">    </w:t>
      </w:r>
    </w:p>
    <w:p w:rsidR="00EF30ED" w:rsidRDefault="00EF30ED" w:rsidP="00EF30ED">
      <w:pPr>
        <w:ind w:left="0" w:firstLine="0"/>
        <w:rPr>
          <w:b/>
          <w:sz w:val="22"/>
          <w:u w:val="single"/>
          <w:lang w:val="en-US"/>
        </w:rPr>
      </w:pPr>
    </w:p>
    <w:p w:rsidR="00EF30ED" w:rsidRDefault="00EF30ED" w:rsidP="00EF30ED">
      <w:pPr>
        <w:spacing w:line="480" w:lineRule="auto"/>
        <w:ind w:left="0" w:firstLine="0"/>
        <w:rPr>
          <w:b/>
          <w:sz w:val="22"/>
          <w:u w:val="single"/>
          <w:lang w:val="en-US"/>
        </w:rPr>
      </w:pPr>
      <w:r>
        <w:rPr>
          <w:b/>
          <w:noProof/>
          <w:sz w:val="22"/>
          <w:u w:val="single"/>
          <w:lang w:val="en-US"/>
        </w:rPr>
        <w:drawing>
          <wp:inline distT="0" distB="0" distL="0" distR="0">
            <wp:extent cx="2804160" cy="1866900"/>
            <wp:effectExtent l="19050" t="0" r="0" b="0"/>
            <wp:docPr id="1" name="Imagen 2" descr="GH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H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 w:rsidRPr="00C258EC">
        <w:rPr>
          <w:b/>
          <w:sz w:val="22"/>
          <w:lang w:val="en-US"/>
        </w:rPr>
        <w:t>BASIC COUNTRY DATA</w:t>
      </w:r>
    </w:p>
    <w:p w:rsidR="00EF30ED" w:rsidRPr="00C258EC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sz w:val="22"/>
          <w:lang w:val="en-US"/>
        </w:rPr>
      </w:pPr>
      <w:r w:rsidRPr="00C258EC">
        <w:rPr>
          <w:sz w:val="22"/>
          <w:lang w:val="en-US"/>
        </w:rPr>
        <w:t>Total Population:</w:t>
      </w:r>
      <w:r>
        <w:rPr>
          <w:sz w:val="22"/>
          <w:lang w:val="en-US"/>
        </w:rPr>
        <w:t xml:space="preserve"> </w:t>
      </w:r>
      <w:r w:rsidRPr="00C258EC">
        <w:rPr>
          <w:sz w:val="22"/>
          <w:lang w:val="en-US"/>
        </w:rPr>
        <w:t>2</w:t>
      </w:r>
      <w:r>
        <w:rPr>
          <w:sz w:val="22"/>
          <w:lang w:val="en-US"/>
        </w:rPr>
        <w:t>4,391,823</w:t>
      </w:r>
      <w:r w:rsidRPr="00C258EC">
        <w:rPr>
          <w:sz w:val="22"/>
          <w:lang w:val="en-US"/>
        </w:rPr>
        <w:t xml:space="preserve"> </w:t>
      </w:r>
    </w:p>
    <w:p w:rsidR="00EF30ED" w:rsidRPr="00C258EC" w:rsidRDefault="00EF30ED" w:rsidP="00EF30ED">
      <w:pPr>
        <w:ind w:left="0" w:firstLine="0"/>
        <w:rPr>
          <w:sz w:val="22"/>
          <w:lang w:val="en-US"/>
        </w:rPr>
      </w:pPr>
      <w:r w:rsidRPr="00C258EC">
        <w:rPr>
          <w:sz w:val="22"/>
          <w:lang w:val="en-US"/>
        </w:rPr>
        <w:t>Population 0-14 years:</w:t>
      </w:r>
      <w:r>
        <w:rPr>
          <w:sz w:val="22"/>
          <w:lang w:val="en-US"/>
        </w:rPr>
        <w:t xml:space="preserve"> </w:t>
      </w:r>
      <w:r w:rsidRPr="00C258EC">
        <w:rPr>
          <w:sz w:val="22"/>
          <w:lang w:val="en-US"/>
        </w:rPr>
        <w:t xml:space="preserve">39% </w:t>
      </w:r>
    </w:p>
    <w:p w:rsidR="00EF30ED" w:rsidRPr="00C258EC" w:rsidRDefault="00EF30ED" w:rsidP="00EF30ED">
      <w:pPr>
        <w:ind w:left="0" w:firstLine="0"/>
        <w:rPr>
          <w:sz w:val="22"/>
          <w:lang w:val="en-US"/>
        </w:rPr>
      </w:pPr>
      <w:r w:rsidRPr="00C258EC">
        <w:rPr>
          <w:sz w:val="22"/>
          <w:lang w:val="en-US"/>
        </w:rPr>
        <w:t>Rural population:</w:t>
      </w:r>
      <w:r>
        <w:rPr>
          <w:sz w:val="22"/>
          <w:lang w:val="en-US"/>
        </w:rPr>
        <w:t xml:space="preserve"> 49</w:t>
      </w:r>
      <w:r w:rsidRPr="00C258EC">
        <w:rPr>
          <w:sz w:val="22"/>
          <w:lang w:val="en-US"/>
        </w:rPr>
        <w:t xml:space="preserve">% </w:t>
      </w:r>
    </w:p>
    <w:p w:rsidR="00EF30ED" w:rsidRPr="00677241" w:rsidRDefault="00EF30ED" w:rsidP="00EF30ED">
      <w:pPr>
        <w:ind w:left="0" w:firstLine="0"/>
        <w:rPr>
          <w:sz w:val="22"/>
          <w:lang w:val="en-US"/>
        </w:rPr>
      </w:pPr>
      <w:r>
        <w:rPr>
          <w:sz w:val="22"/>
          <w:lang w:val="en-US"/>
        </w:rPr>
        <w:t xml:space="preserve">Population living under </w:t>
      </w:r>
      <w:r w:rsidRPr="004F0938">
        <w:rPr>
          <w:sz w:val="22"/>
          <w:lang w:val="en-US"/>
        </w:rPr>
        <w:t>USD 1</w:t>
      </w:r>
      <w:r>
        <w:rPr>
          <w:sz w:val="22"/>
          <w:lang w:val="en-US"/>
        </w:rPr>
        <w:t>.25</w:t>
      </w:r>
      <w:r w:rsidRPr="004F0938">
        <w:rPr>
          <w:sz w:val="22"/>
          <w:lang w:val="en-US"/>
        </w:rPr>
        <w:t xml:space="preserve"> </w:t>
      </w:r>
      <w:r>
        <w:rPr>
          <w:sz w:val="22"/>
          <w:lang w:val="en-US"/>
        </w:rPr>
        <w:t>a</w:t>
      </w:r>
      <w:r w:rsidRPr="004F0938">
        <w:rPr>
          <w:sz w:val="22"/>
          <w:lang w:val="en-US"/>
        </w:rPr>
        <w:t xml:space="preserve"> day</w:t>
      </w:r>
      <w:r>
        <w:rPr>
          <w:sz w:val="22"/>
          <w:lang w:val="en-US"/>
        </w:rPr>
        <w:t>: 30%</w:t>
      </w:r>
    </w:p>
    <w:p w:rsidR="00EF30ED" w:rsidRDefault="00EF30ED" w:rsidP="00EF30ED">
      <w:pPr>
        <w:ind w:left="0" w:firstLine="0"/>
        <w:rPr>
          <w:sz w:val="22"/>
          <w:lang w:val="en-US"/>
        </w:rPr>
      </w:pPr>
      <w:r w:rsidRPr="00677241">
        <w:rPr>
          <w:sz w:val="22"/>
          <w:lang w:val="en-US"/>
        </w:rPr>
        <w:t xml:space="preserve">Population </w:t>
      </w:r>
      <w:r>
        <w:rPr>
          <w:sz w:val="22"/>
          <w:lang w:val="en-US"/>
        </w:rPr>
        <w:t xml:space="preserve">living under the national poverty line: 28.5% </w:t>
      </w:r>
    </w:p>
    <w:p w:rsidR="00EF30ED" w:rsidRPr="00C258EC" w:rsidRDefault="00EF30ED" w:rsidP="00EF30ED">
      <w:pPr>
        <w:ind w:left="0" w:firstLine="0"/>
        <w:rPr>
          <w:sz w:val="22"/>
          <w:lang w:val="en-US" w:eastAsia="es-CO"/>
        </w:rPr>
      </w:pPr>
      <w:r w:rsidRPr="00C258EC">
        <w:rPr>
          <w:sz w:val="22"/>
          <w:lang w:val="en-US"/>
        </w:rPr>
        <w:t xml:space="preserve">Income status: </w:t>
      </w:r>
      <w:r w:rsidRPr="00C258EC">
        <w:rPr>
          <w:sz w:val="22"/>
          <w:lang w:val="en-US" w:eastAsia="es-CO"/>
        </w:rPr>
        <w:t>Low</w:t>
      </w:r>
      <w:r>
        <w:rPr>
          <w:sz w:val="22"/>
          <w:lang w:val="en-US" w:eastAsia="es-CO"/>
        </w:rPr>
        <w:t>er middle</w:t>
      </w:r>
      <w:r w:rsidRPr="00C258EC">
        <w:rPr>
          <w:sz w:val="22"/>
          <w:lang w:val="en-US" w:eastAsia="es-CO"/>
        </w:rPr>
        <w:t xml:space="preserve"> income economy </w:t>
      </w:r>
    </w:p>
    <w:p w:rsidR="00EF30ED" w:rsidRPr="00C258EC" w:rsidRDefault="00EF30ED" w:rsidP="00EF30ED">
      <w:pPr>
        <w:ind w:left="0" w:firstLine="0"/>
        <w:rPr>
          <w:b/>
          <w:bCs/>
          <w:sz w:val="22"/>
          <w:lang w:val="en-US"/>
        </w:rPr>
      </w:pPr>
      <w:r w:rsidRPr="00C258EC">
        <w:rPr>
          <w:sz w:val="22"/>
          <w:lang w:val="en-US"/>
        </w:rPr>
        <w:t>Ranking:</w:t>
      </w:r>
      <w:r w:rsidRPr="00C258EC">
        <w:rPr>
          <w:i/>
          <w:iCs/>
          <w:color w:val="003399"/>
          <w:sz w:val="22"/>
          <w:lang w:val="en-US" w:eastAsia="es-CO"/>
        </w:rPr>
        <w:t xml:space="preserve"> </w:t>
      </w:r>
      <w:r w:rsidRPr="00C258EC">
        <w:rPr>
          <w:bCs/>
          <w:sz w:val="22"/>
          <w:lang w:val="en-US"/>
        </w:rPr>
        <w:t xml:space="preserve">Medium </w:t>
      </w:r>
      <w:r>
        <w:rPr>
          <w:bCs/>
          <w:sz w:val="22"/>
          <w:lang w:val="en-US"/>
        </w:rPr>
        <w:t>h</w:t>
      </w:r>
      <w:r w:rsidRPr="00C258EC">
        <w:rPr>
          <w:bCs/>
          <w:sz w:val="22"/>
          <w:lang w:val="en-US"/>
        </w:rPr>
        <w:t xml:space="preserve">uman </w:t>
      </w:r>
      <w:r>
        <w:rPr>
          <w:bCs/>
          <w:sz w:val="22"/>
          <w:lang w:val="en-US"/>
        </w:rPr>
        <w:t>d</w:t>
      </w:r>
      <w:r w:rsidRPr="00C258EC">
        <w:rPr>
          <w:bCs/>
          <w:sz w:val="22"/>
          <w:lang w:val="en-US"/>
        </w:rPr>
        <w:t xml:space="preserve">evelopment </w:t>
      </w:r>
      <w:r>
        <w:rPr>
          <w:bCs/>
          <w:sz w:val="22"/>
          <w:lang w:val="en-US"/>
        </w:rPr>
        <w:t>(ranking 135)</w:t>
      </w:r>
    </w:p>
    <w:p w:rsidR="00EF30ED" w:rsidRPr="00C258EC" w:rsidRDefault="00EF30ED" w:rsidP="00EF30ED">
      <w:pPr>
        <w:ind w:left="0" w:firstLine="0"/>
        <w:rPr>
          <w:sz w:val="22"/>
          <w:lang w:val="en-US"/>
        </w:rPr>
      </w:pPr>
      <w:r w:rsidRPr="00C258EC">
        <w:rPr>
          <w:sz w:val="22"/>
          <w:lang w:val="en-US"/>
        </w:rPr>
        <w:t>Per capita total expenditure on health at average exchange rate (US dollar):</w:t>
      </w:r>
      <w:r>
        <w:rPr>
          <w:sz w:val="22"/>
          <w:lang w:val="en-US"/>
        </w:rPr>
        <w:t xml:space="preserve"> </w:t>
      </w:r>
      <w:r w:rsidRPr="00C258EC">
        <w:rPr>
          <w:sz w:val="22"/>
          <w:lang w:val="en-US"/>
        </w:rPr>
        <w:t>5</w:t>
      </w:r>
      <w:r>
        <w:rPr>
          <w:sz w:val="22"/>
          <w:lang w:val="en-US"/>
        </w:rPr>
        <w:t>3</w:t>
      </w:r>
      <w:r w:rsidRPr="00C258EC">
        <w:rPr>
          <w:sz w:val="22"/>
          <w:lang w:val="en-US"/>
        </w:rPr>
        <w:t xml:space="preserve"> </w:t>
      </w:r>
    </w:p>
    <w:p w:rsidR="00EF30ED" w:rsidRPr="00C258EC" w:rsidRDefault="00EF30ED" w:rsidP="00EF30ED">
      <w:pPr>
        <w:ind w:left="0" w:firstLine="0"/>
        <w:rPr>
          <w:sz w:val="22"/>
          <w:lang w:val="en-US"/>
        </w:rPr>
      </w:pPr>
      <w:r w:rsidRPr="00C258EC">
        <w:rPr>
          <w:sz w:val="22"/>
          <w:lang w:val="en-US"/>
        </w:rPr>
        <w:t>Life expectancy at birth (years):</w:t>
      </w:r>
      <w:r>
        <w:rPr>
          <w:sz w:val="22"/>
          <w:lang w:val="en-US"/>
        </w:rPr>
        <w:t xml:space="preserve"> 63</w:t>
      </w:r>
    </w:p>
    <w:p w:rsidR="00EF30ED" w:rsidRPr="00C258EC" w:rsidRDefault="00EF30ED" w:rsidP="00EF30ED">
      <w:pPr>
        <w:ind w:left="0" w:firstLine="0"/>
        <w:rPr>
          <w:sz w:val="22"/>
          <w:lang w:val="en-US"/>
        </w:rPr>
      </w:pPr>
      <w:r w:rsidRPr="00C258EC">
        <w:rPr>
          <w:sz w:val="22"/>
          <w:lang w:val="en-US"/>
        </w:rPr>
        <w:t>Health</w:t>
      </w:r>
      <w:r>
        <w:rPr>
          <w:sz w:val="22"/>
          <w:lang w:val="en-US"/>
        </w:rPr>
        <w:t>y</w:t>
      </w:r>
      <w:r w:rsidRPr="00C258EC">
        <w:rPr>
          <w:sz w:val="22"/>
          <w:lang w:val="en-US"/>
        </w:rPr>
        <w:t xml:space="preserve"> life expectancy at birth (years):</w:t>
      </w:r>
      <w:r>
        <w:rPr>
          <w:sz w:val="22"/>
          <w:lang w:val="en-US"/>
        </w:rPr>
        <w:t xml:space="preserve"> </w:t>
      </w:r>
      <w:r w:rsidRPr="00C258EC">
        <w:rPr>
          <w:sz w:val="22"/>
          <w:lang w:val="en-US"/>
        </w:rPr>
        <w:t xml:space="preserve">50 </w:t>
      </w:r>
    </w:p>
    <w:p w:rsidR="00EF30ED" w:rsidRPr="00C258EC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b/>
          <w:sz w:val="22"/>
          <w:lang w:val="en-US"/>
        </w:rPr>
      </w:pPr>
      <w:r w:rsidRPr="00C258EC">
        <w:rPr>
          <w:b/>
          <w:sz w:val="22"/>
          <w:lang w:val="en-US"/>
        </w:rPr>
        <w:t xml:space="preserve">BACKGROUND INFORMATION </w:t>
      </w:r>
    </w:p>
    <w:p w:rsidR="00EF30ED" w:rsidRPr="00C258EC" w:rsidRDefault="00EF30ED" w:rsidP="00EF30ED">
      <w:pPr>
        <w:ind w:left="0" w:firstLine="0"/>
        <w:rPr>
          <w:sz w:val="22"/>
          <w:lang w:val="en-GB"/>
        </w:rPr>
      </w:pPr>
    </w:p>
    <w:p w:rsidR="00EF30ED" w:rsidRDefault="00EF30ED" w:rsidP="00EF30ED">
      <w:pPr>
        <w:pStyle w:val="Default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C258EC">
            <w:rPr>
              <w:rFonts w:ascii="Arial" w:hAnsi="Arial" w:cs="Arial"/>
              <w:sz w:val="22"/>
              <w:szCs w:val="22"/>
            </w:rPr>
            <w:t>Ghana</w:t>
          </w:r>
        </w:smartTag>
      </w:smartTag>
      <w:r w:rsidRPr="00C258EC">
        <w:rPr>
          <w:rFonts w:ascii="Arial" w:hAnsi="Arial" w:cs="Arial"/>
          <w:sz w:val="22"/>
          <w:szCs w:val="22"/>
        </w:rPr>
        <w:t xml:space="preserve"> has three ecological zones</w:t>
      </w:r>
      <w:r>
        <w:rPr>
          <w:rFonts w:ascii="Arial" w:hAnsi="Arial" w:cs="Arial"/>
          <w:sz w:val="22"/>
          <w:szCs w:val="22"/>
        </w:rPr>
        <w:t xml:space="preserve">: </w:t>
      </w:r>
      <w:r w:rsidRPr="00C258EC">
        <w:rPr>
          <w:rFonts w:ascii="Arial" w:hAnsi="Arial" w:cs="Arial"/>
          <w:sz w:val="22"/>
          <w:szCs w:val="22"/>
        </w:rPr>
        <w:t xml:space="preserve">an arid northern Savanna, a forest middle belt and </w:t>
      </w:r>
      <w:r>
        <w:rPr>
          <w:rFonts w:ascii="Arial" w:hAnsi="Arial" w:cs="Arial"/>
          <w:sz w:val="22"/>
          <w:szCs w:val="22"/>
        </w:rPr>
        <w:t xml:space="preserve">a </w:t>
      </w:r>
      <w:r w:rsidRPr="00C258EC">
        <w:rPr>
          <w:rFonts w:ascii="Arial" w:hAnsi="Arial" w:cs="Arial"/>
          <w:sz w:val="22"/>
          <w:szCs w:val="22"/>
        </w:rPr>
        <w:t xml:space="preserve">coastal savanna zone. Epidemiologically, the northern zone lies within the leishmaniasis belt in </w:t>
      </w:r>
      <w:smartTag w:uri="urn:schemas-microsoft-com:office:smarttags" w:element="place">
        <w:r w:rsidRPr="00C258EC">
          <w:rPr>
            <w:rFonts w:ascii="Arial" w:hAnsi="Arial" w:cs="Arial"/>
            <w:sz w:val="22"/>
            <w:szCs w:val="22"/>
          </w:rPr>
          <w:t>Africa</w:t>
        </w:r>
      </w:smartTag>
      <w:r w:rsidRPr="00C258EC">
        <w:rPr>
          <w:rFonts w:ascii="Arial" w:hAnsi="Arial" w:cs="Arial"/>
          <w:sz w:val="22"/>
          <w:szCs w:val="22"/>
        </w:rPr>
        <w:t xml:space="preserve">, but </w:t>
      </w:r>
      <w:r>
        <w:rPr>
          <w:rFonts w:ascii="Arial" w:hAnsi="Arial" w:cs="Arial"/>
          <w:sz w:val="22"/>
          <w:szCs w:val="22"/>
        </w:rPr>
        <w:t xml:space="preserve">no cases have been reported from this area. Most </w:t>
      </w:r>
      <w:r w:rsidRPr="00C258EC">
        <w:rPr>
          <w:rFonts w:ascii="Arial" w:hAnsi="Arial" w:cs="Arial"/>
          <w:sz w:val="22"/>
          <w:szCs w:val="22"/>
        </w:rPr>
        <w:t xml:space="preserve">case reports are from a focal outbreak </w:t>
      </w:r>
      <w:r>
        <w:rPr>
          <w:rFonts w:ascii="Arial" w:hAnsi="Arial" w:cs="Arial"/>
          <w:sz w:val="22"/>
          <w:szCs w:val="22"/>
        </w:rPr>
        <w:t xml:space="preserve">in </w:t>
      </w:r>
      <w:r w:rsidRPr="00C258EC">
        <w:rPr>
          <w:rFonts w:ascii="Arial" w:hAnsi="Arial" w:cs="Arial"/>
          <w:sz w:val="22"/>
          <w:szCs w:val="22"/>
        </w:rPr>
        <w:t>a moist semi-decid</w:t>
      </w:r>
      <w:r>
        <w:rPr>
          <w:rFonts w:ascii="Arial" w:hAnsi="Arial" w:cs="Arial"/>
          <w:sz w:val="22"/>
          <w:szCs w:val="22"/>
        </w:rPr>
        <w:t>u</w:t>
      </w:r>
      <w:r w:rsidRPr="00C258EC">
        <w:rPr>
          <w:rFonts w:ascii="Arial" w:hAnsi="Arial" w:cs="Arial"/>
          <w:sz w:val="22"/>
          <w:szCs w:val="22"/>
        </w:rPr>
        <w:t>ous forest area</w:t>
      </w:r>
      <w:r>
        <w:rPr>
          <w:rFonts w:ascii="Arial" w:hAnsi="Arial" w:cs="Arial"/>
          <w:sz w:val="22"/>
          <w:szCs w:val="22"/>
        </w:rPr>
        <w:t>, outside the leishmaniasis belt [1].</w:t>
      </w:r>
    </w:p>
    <w:p w:rsidR="00EF30ED" w:rsidRDefault="00EF30ED" w:rsidP="00EF30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58EC">
        <w:rPr>
          <w:rFonts w:ascii="Arial" w:hAnsi="Arial" w:cs="Arial"/>
          <w:sz w:val="22"/>
          <w:szCs w:val="22"/>
        </w:rPr>
        <w:t xml:space="preserve"> </w:t>
      </w:r>
    </w:p>
    <w:p w:rsidR="00EF30ED" w:rsidRDefault="00EF30ED" w:rsidP="00EF30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58EC">
        <w:rPr>
          <w:rFonts w:ascii="Arial" w:hAnsi="Arial" w:cs="Arial"/>
          <w:sz w:val="22"/>
          <w:szCs w:val="22"/>
        </w:rPr>
        <w:t xml:space="preserve">The first cases of </w:t>
      </w:r>
      <w:r>
        <w:rPr>
          <w:rFonts w:ascii="Arial" w:hAnsi="Arial" w:cs="Arial"/>
          <w:sz w:val="22"/>
          <w:szCs w:val="22"/>
        </w:rPr>
        <w:t xml:space="preserve">CL </w:t>
      </w:r>
      <w:r w:rsidRPr="00C258EC">
        <w:rPr>
          <w:rFonts w:ascii="Arial" w:hAnsi="Arial" w:cs="Arial"/>
          <w:sz w:val="22"/>
          <w:szCs w:val="22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C258EC">
            <w:rPr>
              <w:rFonts w:ascii="Arial" w:hAnsi="Arial" w:cs="Arial"/>
              <w:sz w:val="22"/>
              <w:szCs w:val="22"/>
            </w:rPr>
            <w:t>Ghana</w:t>
          </w:r>
        </w:smartTag>
      </w:smartTag>
      <w:r w:rsidRPr="00C258EC">
        <w:rPr>
          <w:rFonts w:ascii="Arial" w:hAnsi="Arial" w:cs="Arial"/>
          <w:sz w:val="22"/>
          <w:szCs w:val="22"/>
        </w:rPr>
        <w:t xml:space="preserve"> were reported in the Ho district in 1999-2001</w:t>
      </w:r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when healt</w:t>
      </w:r>
      <w:r>
        <w:rPr>
          <w:rFonts w:ascii="Arial" w:hAnsi="Arial" w:cs="Arial"/>
          <w:sz w:val="22"/>
          <w:szCs w:val="22"/>
        </w:rPr>
        <w:t xml:space="preserve">h centers in two sub districts registered </w:t>
      </w:r>
      <w:r w:rsidRPr="00C258EC">
        <w:rPr>
          <w:rFonts w:ascii="Arial" w:hAnsi="Arial" w:cs="Arial"/>
          <w:sz w:val="22"/>
          <w:szCs w:val="22"/>
        </w:rPr>
        <w:t>cases of chronic skin ulcers</w:t>
      </w:r>
      <w:r>
        <w:rPr>
          <w:rFonts w:ascii="Arial" w:hAnsi="Arial" w:cs="Arial"/>
          <w:sz w:val="22"/>
          <w:szCs w:val="22"/>
        </w:rPr>
        <w:t xml:space="preserve"> [1]</w:t>
      </w:r>
      <w:r w:rsidRPr="00C258EC">
        <w:rPr>
          <w:rFonts w:ascii="Arial" w:hAnsi="Arial" w:cs="Arial"/>
          <w:sz w:val="22"/>
          <w:szCs w:val="22"/>
        </w:rPr>
        <w:t>. A survey of towns in the Ho district</w:t>
      </w:r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during 2002</w:t>
      </w:r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identified suspected lesions in 12.2–32.3% of local school children</w:t>
      </w:r>
      <w:r>
        <w:rPr>
          <w:rFonts w:ascii="Arial" w:hAnsi="Arial" w:cs="Arial"/>
          <w:sz w:val="22"/>
          <w:szCs w:val="22"/>
        </w:rPr>
        <w:t xml:space="preserve"> [1]</w:t>
      </w:r>
      <w:r w:rsidRPr="00C258EC">
        <w:rPr>
          <w:rFonts w:ascii="Arial" w:hAnsi="Arial" w:cs="Arial"/>
          <w:sz w:val="22"/>
          <w:szCs w:val="22"/>
        </w:rPr>
        <w:t>. The disease became know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in the area under the name ‘</w:t>
      </w:r>
      <w:proofErr w:type="spellStart"/>
      <w:r w:rsidRPr="00C258EC">
        <w:rPr>
          <w:rFonts w:ascii="Arial" w:hAnsi="Arial" w:cs="Arial"/>
          <w:sz w:val="22"/>
          <w:szCs w:val="22"/>
        </w:rPr>
        <w:t>Agbamekan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which means ‘a gift from a visitor or somebody who h</w:t>
      </w:r>
      <w:r>
        <w:rPr>
          <w:rFonts w:ascii="Arial" w:hAnsi="Arial" w:cs="Arial"/>
          <w:sz w:val="22"/>
          <w:szCs w:val="22"/>
        </w:rPr>
        <w:t>ad travelled and just came back’</w:t>
      </w:r>
      <w:r w:rsidRPr="00C258E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In neighboring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Togo</w:t>
        </w:r>
      </w:smartTag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there were no reported cases</w:t>
      </w:r>
      <w:r>
        <w:rPr>
          <w:rFonts w:ascii="Arial" w:hAnsi="Arial" w:cs="Arial"/>
          <w:sz w:val="22"/>
          <w:szCs w:val="22"/>
        </w:rPr>
        <w:t xml:space="preserve">, but CL was frequently </w:t>
      </w:r>
      <w:r w:rsidRPr="00C258EC">
        <w:rPr>
          <w:rFonts w:ascii="Arial" w:hAnsi="Arial" w:cs="Arial"/>
          <w:sz w:val="22"/>
          <w:szCs w:val="22"/>
        </w:rPr>
        <w:t xml:space="preserve">observed in </w:t>
      </w:r>
      <w:smartTag w:uri="urn:schemas-microsoft-com:office:smarttags" w:element="country-region">
        <w:smartTag w:uri="urn:schemas-microsoft-com:office:smarttags" w:element="place">
          <w:r w:rsidRPr="00C258EC">
            <w:rPr>
              <w:rFonts w:ascii="Arial" w:hAnsi="Arial" w:cs="Arial"/>
              <w:sz w:val="22"/>
              <w:szCs w:val="22"/>
            </w:rPr>
            <w:t>Burkina Faso</w:t>
          </w:r>
        </w:smartTag>
      </w:smartTag>
      <w:r>
        <w:rPr>
          <w:rFonts w:ascii="Arial" w:hAnsi="Arial" w:cs="Arial"/>
          <w:sz w:val="22"/>
          <w:szCs w:val="22"/>
        </w:rPr>
        <w:t xml:space="preserve"> in the same period [2]. </w:t>
      </w:r>
      <w:r w:rsidRPr="00C258EC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2002, an active case search found 2,348 infected individuals in the Ho district, and in </w:t>
      </w:r>
      <w:r w:rsidRPr="00C258EC">
        <w:rPr>
          <w:rFonts w:ascii="Arial" w:hAnsi="Arial" w:cs="Arial"/>
          <w:sz w:val="22"/>
          <w:szCs w:val="22"/>
        </w:rPr>
        <w:t>2003, an outbreak of over 6</w:t>
      </w:r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000 cases was reported in </w:t>
      </w:r>
      <w:r>
        <w:rPr>
          <w:rFonts w:ascii="Arial" w:hAnsi="Arial" w:cs="Arial"/>
          <w:sz w:val="22"/>
          <w:szCs w:val="22"/>
        </w:rPr>
        <w:t xml:space="preserve">this same </w:t>
      </w:r>
      <w:r w:rsidRPr="00C258EC">
        <w:rPr>
          <w:rFonts w:ascii="Arial" w:hAnsi="Arial" w:cs="Arial"/>
          <w:sz w:val="22"/>
          <w:szCs w:val="22"/>
        </w:rPr>
        <w:t>district</w:t>
      </w:r>
      <w:r>
        <w:rPr>
          <w:rFonts w:ascii="Arial" w:hAnsi="Arial" w:cs="Arial"/>
          <w:sz w:val="22"/>
          <w:szCs w:val="22"/>
        </w:rPr>
        <w:t xml:space="preserve"> [1].</w:t>
      </w:r>
      <w:r w:rsidRPr="00C258EC">
        <w:rPr>
          <w:rFonts w:ascii="Arial" w:hAnsi="Arial" w:cs="Arial"/>
          <w:sz w:val="22"/>
          <w:szCs w:val="22"/>
        </w:rPr>
        <w:t xml:space="preserve"> After that, the case load decreased to 105 cases in 2004 and 14 cases in 2005. </w:t>
      </w:r>
      <w:r>
        <w:rPr>
          <w:rFonts w:ascii="Arial" w:hAnsi="Arial" w:cs="Arial"/>
          <w:sz w:val="22"/>
          <w:szCs w:val="22"/>
        </w:rPr>
        <w:t>R</w:t>
      </w:r>
      <w:r w:rsidRPr="00C258EC">
        <w:rPr>
          <w:rFonts w:ascii="Arial" w:hAnsi="Arial" w:cs="Arial"/>
          <w:sz w:val="22"/>
          <w:szCs w:val="22"/>
        </w:rPr>
        <w:t xml:space="preserve">eported cases </w:t>
      </w:r>
      <w:r>
        <w:rPr>
          <w:rFonts w:ascii="Arial" w:hAnsi="Arial" w:cs="Arial"/>
          <w:sz w:val="22"/>
          <w:szCs w:val="22"/>
        </w:rPr>
        <w:t xml:space="preserve">remained very low </w:t>
      </w:r>
      <w:r w:rsidRPr="00C258EC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decreased to zero i</w:t>
      </w:r>
      <w:r w:rsidRPr="00C258EC">
        <w:rPr>
          <w:rFonts w:ascii="Arial" w:hAnsi="Arial" w:cs="Arial"/>
          <w:sz w:val="22"/>
          <w:szCs w:val="22"/>
        </w:rPr>
        <w:t>n 2008 and 2009</w:t>
      </w:r>
      <w:r>
        <w:rPr>
          <w:rFonts w:ascii="Arial" w:hAnsi="Arial" w:cs="Arial"/>
          <w:sz w:val="22"/>
          <w:szCs w:val="22"/>
        </w:rPr>
        <w:t xml:space="preserve">. </w:t>
      </w:r>
      <w:r w:rsidRPr="00C258EC">
        <w:rPr>
          <w:rFonts w:ascii="Arial" w:hAnsi="Arial" w:cs="Arial"/>
          <w:sz w:val="22"/>
          <w:szCs w:val="22"/>
        </w:rPr>
        <w:t>It is unknow</w:t>
      </w:r>
      <w:r>
        <w:rPr>
          <w:rFonts w:ascii="Arial" w:hAnsi="Arial" w:cs="Arial"/>
          <w:sz w:val="22"/>
          <w:szCs w:val="22"/>
        </w:rPr>
        <w:t>n</w:t>
      </w:r>
      <w:r w:rsidRPr="00C258EC">
        <w:rPr>
          <w:rFonts w:ascii="Arial" w:hAnsi="Arial" w:cs="Arial"/>
          <w:sz w:val="22"/>
          <w:szCs w:val="22"/>
        </w:rPr>
        <w:t xml:space="preserve"> why t</w:t>
      </w:r>
      <w:r>
        <w:rPr>
          <w:rFonts w:ascii="Arial" w:hAnsi="Arial" w:cs="Arial"/>
          <w:sz w:val="22"/>
          <w:szCs w:val="22"/>
        </w:rPr>
        <w:t>h</w:t>
      </w:r>
      <w:r w:rsidRPr="00C258EC">
        <w:rPr>
          <w:rFonts w:ascii="Arial" w:hAnsi="Arial" w:cs="Arial"/>
          <w:sz w:val="22"/>
          <w:szCs w:val="22"/>
        </w:rPr>
        <w:t xml:space="preserve">e case load decreased </w:t>
      </w:r>
      <w:r>
        <w:rPr>
          <w:rFonts w:ascii="Arial" w:hAnsi="Arial" w:cs="Arial"/>
          <w:sz w:val="22"/>
          <w:szCs w:val="22"/>
        </w:rPr>
        <w:t xml:space="preserve">to this extent. A possible explanation is that, as </w:t>
      </w:r>
      <w:r w:rsidRPr="00C258EC">
        <w:rPr>
          <w:rFonts w:ascii="Arial" w:hAnsi="Arial" w:cs="Arial"/>
          <w:sz w:val="22"/>
          <w:szCs w:val="22"/>
        </w:rPr>
        <w:t xml:space="preserve">no treatment </w:t>
      </w:r>
      <w:r>
        <w:rPr>
          <w:rFonts w:ascii="Arial" w:hAnsi="Arial" w:cs="Arial"/>
          <w:sz w:val="22"/>
          <w:szCs w:val="22"/>
        </w:rPr>
        <w:t xml:space="preserve">is </w:t>
      </w:r>
      <w:r w:rsidRPr="00C258EC">
        <w:rPr>
          <w:rFonts w:ascii="Arial" w:hAnsi="Arial" w:cs="Arial"/>
          <w:sz w:val="22"/>
          <w:szCs w:val="22"/>
        </w:rPr>
        <w:t>avail</w:t>
      </w:r>
      <w:r>
        <w:rPr>
          <w:rFonts w:ascii="Arial" w:hAnsi="Arial" w:cs="Arial"/>
          <w:sz w:val="22"/>
          <w:szCs w:val="22"/>
        </w:rPr>
        <w:t>ab</w:t>
      </w:r>
      <w:r w:rsidRPr="00C258E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 w:rsidRPr="00C258EC">
        <w:rPr>
          <w:rFonts w:ascii="Arial" w:hAnsi="Arial" w:cs="Arial"/>
          <w:sz w:val="22"/>
          <w:szCs w:val="22"/>
        </w:rPr>
        <w:t xml:space="preserve"> in </w:t>
      </w:r>
      <w:smartTag w:uri="urn:schemas-microsoft-com:office:smarttags" w:element="country-region">
        <w:r w:rsidRPr="00C258EC">
          <w:rPr>
            <w:rFonts w:ascii="Arial" w:hAnsi="Arial" w:cs="Arial"/>
            <w:sz w:val="22"/>
            <w:szCs w:val="22"/>
          </w:rPr>
          <w:t>Ghana</w:t>
        </w:r>
      </w:smartTag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case detection </w:t>
      </w:r>
      <w:r>
        <w:rPr>
          <w:rFonts w:ascii="Arial" w:hAnsi="Arial" w:cs="Arial"/>
          <w:sz w:val="22"/>
          <w:szCs w:val="22"/>
        </w:rPr>
        <w:t xml:space="preserve">by health workers </w:t>
      </w:r>
      <w:r w:rsidRPr="00C258EC">
        <w:rPr>
          <w:rFonts w:ascii="Arial" w:hAnsi="Arial" w:cs="Arial"/>
          <w:sz w:val="22"/>
          <w:szCs w:val="22"/>
        </w:rPr>
        <w:t xml:space="preserve">and self-reporting declined. </w:t>
      </w:r>
      <w:r>
        <w:rPr>
          <w:rFonts w:ascii="Arial" w:hAnsi="Arial" w:cs="Arial"/>
          <w:sz w:val="22"/>
          <w:szCs w:val="22"/>
        </w:rPr>
        <w:t xml:space="preserve">The </w:t>
      </w:r>
      <w:r w:rsidRPr="00C258EC">
        <w:rPr>
          <w:rFonts w:ascii="Arial" w:hAnsi="Arial" w:cs="Arial"/>
          <w:sz w:val="22"/>
          <w:szCs w:val="22"/>
        </w:rPr>
        <w:t xml:space="preserve">self-healing nature of </w:t>
      </w:r>
      <w:r>
        <w:rPr>
          <w:rFonts w:ascii="Arial" w:hAnsi="Arial" w:cs="Arial"/>
          <w:sz w:val="22"/>
          <w:szCs w:val="22"/>
        </w:rPr>
        <w:t>the disease a</w:t>
      </w:r>
      <w:r w:rsidRPr="00C258EC">
        <w:rPr>
          <w:rFonts w:ascii="Arial" w:hAnsi="Arial" w:cs="Arial"/>
          <w:sz w:val="22"/>
          <w:szCs w:val="22"/>
        </w:rPr>
        <w:t xml:space="preserve">nd the epidemic </w:t>
      </w:r>
      <w:r>
        <w:rPr>
          <w:rFonts w:ascii="Arial" w:hAnsi="Arial" w:cs="Arial"/>
          <w:sz w:val="22"/>
          <w:szCs w:val="22"/>
        </w:rPr>
        <w:t>pattern found in West-</w:t>
      </w:r>
      <w:r w:rsidRPr="00C258EC">
        <w:rPr>
          <w:rFonts w:ascii="Arial" w:hAnsi="Arial" w:cs="Arial"/>
          <w:sz w:val="22"/>
          <w:szCs w:val="22"/>
        </w:rPr>
        <w:t xml:space="preserve">African countries </w:t>
      </w:r>
      <w:r>
        <w:rPr>
          <w:rFonts w:ascii="Arial" w:hAnsi="Arial" w:cs="Arial"/>
          <w:sz w:val="22"/>
          <w:szCs w:val="22"/>
        </w:rPr>
        <w:t>with an in</w:t>
      </w:r>
      <w:r w:rsidRPr="00C258EC">
        <w:rPr>
          <w:rFonts w:ascii="Arial" w:hAnsi="Arial" w:cs="Arial"/>
          <w:sz w:val="22"/>
          <w:szCs w:val="22"/>
        </w:rPr>
        <w:t>creas</w:t>
      </w:r>
      <w:r>
        <w:rPr>
          <w:rFonts w:ascii="Arial" w:hAnsi="Arial" w:cs="Arial"/>
          <w:sz w:val="22"/>
          <w:szCs w:val="22"/>
        </w:rPr>
        <w:t xml:space="preserve">e </w:t>
      </w:r>
      <w:r w:rsidRPr="00C258EC">
        <w:rPr>
          <w:rFonts w:ascii="Arial" w:hAnsi="Arial" w:cs="Arial"/>
          <w:sz w:val="22"/>
          <w:szCs w:val="22"/>
        </w:rPr>
        <w:t>in frequency over a few years</w:t>
      </w:r>
      <w:r>
        <w:rPr>
          <w:rFonts w:ascii="Arial" w:hAnsi="Arial" w:cs="Arial"/>
          <w:sz w:val="22"/>
          <w:szCs w:val="22"/>
        </w:rPr>
        <w:t>,</w:t>
      </w:r>
      <w:r w:rsidRPr="00C258EC">
        <w:rPr>
          <w:rFonts w:ascii="Arial" w:hAnsi="Arial" w:cs="Arial"/>
          <w:sz w:val="22"/>
          <w:szCs w:val="22"/>
        </w:rPr>
        <w:t xml:space="preserve"> followed </w:t>
      </w:r>
      <w:r w:rsidRPr="00C258EC">
        <w:rPr>
          <w:rFonts w:ascii="Arial" w:hAnsi="Arial" w:cs="Arial"/>
          <w:sz w:val="22"/>
          <w:szCs w:val="22"/>
        </w:rPr>
        <w:lastRenderedPageBreak/>
        <w:t>by a drastic reduction in incidence</w:t>
      </w:r>
      <w:r>
        <w:rPr>
          <w:rFonts w:ascii="Arial" w:hAnsi="Arial" w:cs="Arial"/>
          <w:sz w:val="22"/>
          <w:szCs w:val="22"/>
        </w:rPr>
        <w:t>, may also have played a role, as well as an in</w:t>
      </w:r>
      <w:r w:rsidRPr="00C258EC">
        <w:rPr>
          <w:rFonts w:ascii="Arial" w:hAnsi="Arial" w:cs="Arial"/>
          <w:sz w:val="22"/>
          <w:szCs w:val="22"/>
        </w:rPr>
        <w:t>secticide spr</w:t>
      </w:r>
      <w:r>
        <w:rPr>
          <w:rFonts w:ascii="Arial" w:hAnsi="Arial" w:cs="Arial"/>
          <w:sz w:val="22"/>
          <w:szCs w:val="22"/>
        </w:rPr>
        <w:t>a</w:t>
      </w:r>
      <w:r w:rsidRPr="00C258EC">
        <w:rPr>
          <w:rFonts w:ascii="Arial" w:hAnsi="Arial" w:cs="Arial"/>
          <w:sz w:val="22"/>
          <w:szCs w:val="22"/>
        </w:rPr>
        <w:t xml:space="preserve">ying </w:t>
      </w:r>
      <w:r>
        <w:rPr>
          <w:rFonts w:ascii="Arial" w:hAnsi="Arial" w:cs="Arial"/>
          <w:sz w:val="22"/>
          <w:szCs w:val="22"/>
        </w:rPr>
        <w:t xml:space="preserve">campaign that took place after the outbreak [2]. </w:t>
      </w:r>
    </w:p>
    <w:p w:rsidR="00EF30ED" w:rsidRDefault="00EF30ED" w:rsidP="00EF30E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30ED" w:rsidRDefault="00EF30ED" w:rsidP="00EF30E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the outbreak in 2003, entomological research was performed and the reservoir host was searched for identification, </w:t>
      </w:r>
      <w:proofErr w:type="gramStart"/>
      <w:r>
        <w:rPr>
          <w:rFonts w:ascii="Arial" w:hAnsi="Arial" w:cs="Arial"/>
          <w:sz w:val="22"/>
          <w:szCs w:val="22"/>
        </w:rPr>
        <w:t>but vector nor</w:t>
      </w:r>
      <w:proofErr w:type="gramEnd"/>
      <w:r>
        <w:rPr>
          <w:rFonts w:ascii="Arial" w:hAnsi="Arial" w:cs="Arial"/>
          <w:sz w:val="22"/>
          <w:szCs w:val="22"/>
        </w:rPr>
        <w:t xml:space="preserve"> reservoir could be discriminated [2]. </w:t>
      </w:r>
    </w:p>
    <w:p w:rsidR="00EF30ED" w:rsidRDefault="00EF30ED" w:rsidP="00EF30E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30ED" w:rsidRDefault="00EF30ED" w:rsidP="00EF30ED">
      <w:pPr>
        <w:ind w:left="0" w:firstLine="0"/>
        <w:rPr>
          <w:sz w:val="22"/>
          <w:lang w:val="en-GB"/>
        </w:rPr>
      </w:pPr>
      <w:r w:rsidRPr="00C258EC">
        <w:rPr>
          <w:sz w:val="22"/>
          <w:lang w:val="en-GB"/>
        </w:rPr>
        <w:t>No cases of VL ha</w:t>
      </w:r>
      <w:r>
        <w:rPr>
          <w:sz w:val="22"/>
          <w:lang w:val="en-GB"/>
        </w:rPr>
        <w:t>ve</w:t>
      </w:r>
      <w:r w:rsidRPr="00C258EC">
        <w:rPr>
          <w:sz w:val="22"/>
          <w:lang w:val="en-GB"/>
        </w:rPr>
        <w:t xml:space="preserve"> been </w:t>
      </w:r>
      <w:r>
        <w:rPr>
          <w:sz w:val="22"/>
          <w:lang w:val="en-GB"/>
        </w:rPr>
        <w:t xml:space="preserve">reported in Ghana.  </w:t>
      </w:r>
    </w:p>
    <w:p w:rsidR="00EF30ED" w:rsidRDefault="00EF30ED" w:rsidP="00EF30ED">
      <w:pPr>
        <w:ind w:left="0" w:firstLine="0"/>
        <w:rPr>
          <w:sz w:val="22"/>
          <w:lang w:val="en-GB"/>
        </w:rPr>
      </w:pPr>
    </w:p>
    <w:p w:rsidR="00EF30ED" w:rsidRDefault="00EF30ED" w:rsidP="00EF30ED">
      <w:pPr>
        <w:ind w:left="0" w:firstLine="0"/>
        <w:rPr>
          <w:sz w:val="22"/>
          <w:lang w:val="en-GB"/>
        </w:rPr>
      </w:pPr>
      <w:r>
        <w:rPr>
          <w:sz w:val="22"/>
          <w:lang w:val="en-GB"/>
        </w:rPr>
        <w:t xml:space="preserve">One </w:t>
      </w:r>
      <w:r w:rsidRPr="00C258EC">
        <w:rPr>
          <w:sz w:val="22"/>
          <w:lang w:val="en-GB"/>
        </w:rPr>
        <w:t xml:space="preserve">case of </w:t>
      </w:r>
      <w:r>
        <w:rPr>
          <w:sz w:val="22"/>
          <w:lang w:val="en-GB"/>
        </w:rPr>
        <w:t xml:space="preserve">HIV/CL </w:t>
      </w:r>
      <w:r w:rsidRPr="00C258EC">
        <w:rPr>
          <w:sz w:val="22"/>
          <w:lang w:val="en-GB"/>
        </w:rPr>
        <w:t>co</w:t>
      </w:r>
      <w:r>
        <w:rPr>
          <w:sz w:val="22"/>
          <w:lang w:val="en-GB"/>
        </w:rPr>
        <w:t>-</w:t>
      </w:r>
      <w:r w:rsidRPr="00C258EC">
        <w:rPr>
          <w:sz w:val="22"/>
          <w:lang w:val="en-GB"/>
        </w:rPr>
        <w:t>infection has been reported in 2005. The pa</w:t>
      </w:r>
      <w:r>
        <w:rPr>
          <w:sz w:val="22"/>
          <w:lang w:val="en-GB"/>
        </w:rPr>
        <w:t xml:space="preserve">tient </w:t>
      </w:r>
      <w:r w:rsidRPr="00C258EC">
        <w:rPr>
          <w:sz w:val="22"/>
          <w:lang w:val="en-GB"/>
        </w:rPr>
        <w:t>was lost to follow up</w:t>
      </w:r>
      <w:r>
        <w:rPr>
          <w:sz w:val="22"/>
          <w:lang w:val="en-GB"/>
        </w:rPr>
        <w:t xml:space="preserve"> [3]</w:t>
      </w:r>
      <w:r w:rsidRPr="00C258EC">
        <w:rPr>
          <w:sz w:val="22"/>
          <w:lang w:val="en-GB"/>
        </w:rPr>
        <w:t xml:space="preserve">. </w:t>
      </w:r>
    </w:p>
    <w:p w:rsidR="00EF30ED" w:rsidRPr="00C258EC" w:rsidRDefault="00EF30ED" w:rsidP="00EF30ED">
      <w:pPr>
        <w:ind w:left="0" w:firstLine="0"/>
        <w:rPr>
          <w:sz w:val="22"/>
          <w:lang w:val="en-GB"/>
        </w:rPr>
      </w:pPr>
    </w:p>
    <w:p w:rsidR="00EF30ED" w:rsidRDefault="00EF30ED" w:rsidP="00EF30ED">
      <w:pPr>
        <w:ind w:left="0" w:firstLine="0"/>
        <w:rPr>
          <w:b/>
          <w:sz w:val="22"/>
          <w:lang w:val="en-GB"/>
        </w:rPr>
      </w:pPr>
    </w:p>
    <w:p w:rsidR="00EF30ED" w:rsidRDefault="00EF30ED" w:rsidP="00EF30ED">
      <w:pPr>
        <w:ind w:left="0" w:firstLine="0"/>
        <w:rPr>
          <w:b/>
          <w:sz w:val="22"/>
          <w:lang w:val="en-GB"/>
        </w:rPr>
      </w:pPr>
      <w:r>
        <w:rPr>
          <w:b/>
          <w:sz w:val="22"/>
          <w:lang w:val="en-GB"/>
        </w:rPr>
        <w:t>PARASITOLOGICAL INFORMATION</w:t>
      </w:r>
    </w:p>
    <w:p w:rsidR="00EF30ED" w:rsidRDefault="00EF30ED" w:rsidP="00EF30ED">
      <w:pPr>
        <w:ind w:left="0" w:firstLine="0"/>
        <w:rPr>
          <w:b/>
          <w:sz w:val="22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367"/>
        <w:gridCol w:w="1621"/>
        <w:gridCol w:w="1842"/>
        <w:gridCol w:w="1426"/>
      </w:tblGrid>
      <w:tr w:rsidR="00EF30ED" w:rsidRPr="002C75B8" w:rsidTr="00A7768B">
        <w:trPr>
          <w:trHeight w:val="385"/>
        </w:trPr>
        <w:tc>
          <w:tcPr>
            <w:tcW w:w="0" w:type="auto"/>
            <w:tcBorders>
              <w:top w:val="single" w:sz="12" w:space="0" w:color="376092"/>
              <w:left w:val="single" w:sz="12" w:space="0" w:color="376092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30ED" w:rsidRPr="002C75B8" w:rsidRDefault="00EF30ED" w:rsidP="00A7768B">
            <w:pPr>
              <w:ind w:left="0" w:firstLine="0"/>
              <w:rPr>
                <w:lang w:val="es-ES"/>
              </w:rPr>
            </w:pPr>
            <w:r w:rsidRPr="002C75B8">
              <w:rPr>
                <w:b/>
                <w:bCs/>
                <w:i/>
                <w:iCs/>
                <w:sz w:val="22"/>
              </w:rPr>
              <w:t xml:space="preserve">Leishmania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  <w:r w:rsidRPr="002C75B8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376092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30ED" w:rsidRPr="002C75B8" w:rsidRDefault="00EF30ED" w:rsidP="00A7768B">
            <w:pPr>
              <w:ind w:left="0" w:firstLine="0"/>
              <w:rPr>
                <w:lang w:val="es-ES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Clinical</w:t>
            </w:r>
            <w:proofErr w:type="spellEnd"/>
            <w:r w:rsidRPr="002C75B8">
              <w:rPr>
                <w:b/>
                <w:bCs/>
                <w:sz w:val="22"/>
              </w:rPr>
              <w:t xml:space="preserve"> </w:t>
            </w:r>
            <w:proofErr w:type="spellStart"/>
            <w:r w:rsidRPr="002C75B8">
              <w:rPr>
                <w:b/>
                <w:bCs/>
                <w:sz w:val="22"/>
              </w:rPr>
              <w:t>form</w:t>
            </w:r>
            <w:proofErr w:type="spellEnd"/>
          </w:p>
        </w:tc>
        <w:tc>
          <w:tcPr>
            <w:tcW w:w="0" w:type="auto"/>
            <w:tcBorders>
              <w:top w:val="single" w:sz="12" w:space="0" w:color="376092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30ED" w:rsidRPr="002C75B8" w:rsidRDefault="00EF30ED" w:rsidP="00A7768B">
            <w:pPr>
              <w:ind w:left="0" w:firstLine="0"/>
              <w:rPr>
                <w:lang w:val="es-ES"/>
              </w:rPr>
            </w:pPr>
            <w:r w:rsidRPr="002C75B8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single" w:sz="12" w:space="0" w:color="376092"/>
              <w:left w:val="single" w:sz="8" w:space="0" w:color="4F81BD"/>
              <w:bottom w:val="single" w:sz="8" w:space="0" w:color="4F81BD"/>
              <w:right w:val="single" w:sz="12" w:space="0" w:color="37609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30ED" w:rsidRPr="002C75B8" w:rsidRDefault="00EF30ED" w:rsidP="00A7768B">
            <w:pPr>
              <w:ind w:left="0" w:firstLine="0"/>
              <w:rPr>
                <w:lang w:val="es-ES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EF30ED" w:rsidRPr="00172534" w:rsidTr="00A7768B">
        <w:trPr>
          <w:trHeight w:val="313"/>
        </w:trPr>
        <w:tc>
          <w:tcPr>
            <w:tcW w:w="0" w:type="auto"/>
            <w:tcBorders>
              <w:top w:val="single" w:sz="8" w:space="0" w:color="4F81BD"/>
              <w:left w:val="single" w:sz="12" w:space="0" w:color="376092"/>
              <w:bottom w:val="single" w:sz="12" w:space="0" w:color="376092"/>
              <w:right w:val="single" w:sz="8" w:space="0" w:color="4F81BD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EF30ED" w:rsidRPr="002C75B8" w:rsidRDefault="00EF30ED" w:rsidP="00A7768B">
            <w:pPr>
              <w:rPr>
                <w:lang w:val="en-US"/>
              </w:rPr>
            </w:pPr>
            <w:r w:rsidRPr="00E87597">
              <w:rPr>
                <w:i/>
                <w:iCs/>
                <w:lang w:val="en-US"/>
              </w:rPr>
              <w:t>L. major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12" w:space="0" w:color="376092"/>
              <w:right w:val="single" w:sz="8" w:space="0" w:color="4F81BD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EF30ED" w:rsidRPr="002C75B8" w:rsidRDefault="00EF30ED" w:rsidP="00A7768B">
            <w:pPr>
              <w:rPr>
                <w:lang w:val="en-US"/>
              </w:rPr>
            </w:pPr>
            <w:r w:rsidRPr="00E87597">
              <w:rPr>
                <w:lang w:val="en-US"/>
              </w:rPr>
              <w:t>CL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12" w:space="0" w:color="376092"/>
              <w:right w:val="single" w:sz="8" w:space="0" w:color="4F81BD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EF30ED" w:rsidRPr="00172534" w:rsidRDefault="00EF30ED" w:rsidP="00A7768B">
            <w:pPr>
              <w:rPr>
                <w:i/>
                <w:lang w:val="en-US"/>
              </w:rPr>
            </w:pPr>
            <w:r w:rsidRPr="00172534">
              <w:rPr>
                <w:i/>
                <w:sz w:val="22"/>
                <w:lang w:val="en-US"/>
              </w:rPr>
              <w:t xml:space="preserve">P. </w:t>
            </w:r>
            <w:proofErr w:type="spellStart"/>
            <w:r w:rsidRPr="00172534">
              <w:rPr>
                <w:i/>
                <w:sz w:val="22"/>
                <w:lang w:val="en-US"/>
              </w:rPr>
              <w:t>duboscqi</w:t>
            </w:r>
            <w:proofErr w:type="spellEnd"/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12" w:space="0" w:color="376092"/>
              <w:right w:val="single" w:sz="12" w:space="0" w:color="376092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EF30ED" w:rsidRPr="00172534" w:rsidRDefault="00EF30ED" w:rsidP="00A7768B">
            <w:pPr>
              <w:rPr>
                <w:iCs/>
                <w:lang w:val="en-US"/>
              </w:rPr>
            </w:pPr>
            <w:r w:rsidRPr="00172534">
              <w:rPr>
                <w:iCs/>
                <w:sz w:val="22"/>
                <w:lang w:val="en-US"/>
              </w:rPr>
              <w:t>Unknown</w:t>
            </w:r>
          </w:p>
        </w:tc>
      </w:tr>
    </w:tbl>
    <w:p w:rsidR="00EF30ED" w:rsidRDefault="00EF30ED" w:rsidP="00EF30ED">
      <w:pPr>
        <w:ind w:left="0" w:firstLine="0"/>
        <w:rPr>
          <w:b/>
          <w:sz w:val="22"/>
          <w:lang w:val="en-GB"/>
        </w:rPr>
      </w:pPr>
    </w:p>
    <w:p w:rsidR="00EF30ED" w:rsidRDefault="00EF30ED" w:rsidP="00EF30ED">
      <w:pPr>
        <w:ind w:left="0" w:firstLine="0"/>
        <w:rPr>
          <w:b/>
          <w:sz w:val="22"/>
          <w:lang w:val="en-GB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MAPS AND TRENDS</w:t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Cutaneous leishmaniasis</w:t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>
        <w:rPr>
          <w:b/>
          <w:noProof/>
          <w:sz w:val="22"/>
          <w:lang w:val="en-US"/>
        </w:rPr>
        <w:drawing>
          <wp:inline distT="0" distB="0" distL="0" distR="0">
            <wp:extent cx="2971800" cy="2103120"/>
            <wp:effectExtent l="19050" t="0" r="0" b="0"/>
            <wp:docPr id="2" name="Imagen 1" descr="GHC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HCLmod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Cutaneous leishmaniasis trend</w:t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5372100" cy="2171700"/>
            <wp:effectExtent l="0" t="0" r="0" b="0"/>
            <wp:wrapNone/>
            <wp:docPr id="3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b/>
          <w:sz w:val="22"/>
          <w:lang w:val="en-US"/>
        </w:rPr>
      </w:pPr>
      <w:r w:rsidRPr="00C258EC">
        <w:rPr>
          <w:b/>
          <w:sz w:val="22"/>
          <w:lang w:val="en-US"/>
        </w:rPr>
        <w:lastRenderedPageBreak/>
        <w:t>CONTROL</w:t>
      </w:r>
    </w:p>
    <w:p w:rsidR="00EF30ED" w:rsidRPr="00C258EC" w:rsidRDefault="00EF30ED" w:rsidP="00EF30ED">
      <w:pPr>
        <w:ind w:left="0" w:firstLine="0"/>
        <w:rPr>
          <w:sz w:val="22"/>
          <w:lang w:val="en-GB"/>
        </w:rPr>
      </w:pPr>
    </w:p>
    <w:p w:rsidR="00EF30ED" w:rsidRPr="005C5C09" w:rsidRDefault="00EF30ED" w:rsidP="00EF30ED">
      <w:pPr>
        <w:ind w:left="0" w:firstLine="0"/>
        <w:rPr>
          <w:bCs/>
          <w:sz w:val="22"/>
          <w:lang w:val="en-US"/>
        </w:rPr>
      </w:pPr>
      <w:r w:rsidRPr="00FF73DD">
        <w:rPr>
          <w:bCs/>
          <w:sz w:val="22"/>
          <w:lang w:val="en-GB"/>
        </w:rPr>
        <w:t>The notification of leishmaniasis is mandatory in the country</w:t>
      </w:r>
      <w:r>
        <w:rPr>
          <w:bCs/>
          <w:sz w:val="22"/>
          <w:lang w:val="en-GB"/>
        </w:rPr>
        <w:t>. T</w:t>
      </w:r>
      <w:r w:rsidRPr="00FF73DD">
        <w:rPr>
          <w:bCs/>
          <w:sz w:val="22"/>
          <w:lang w:val="en-GB"/>
        </w:rPr>
        <w:t xml:space="preserve">here is no </w:t>
      </w:r>
      <w:r w:rsidRPr="00FF73DD">
        <w:rPr>
          <w:bCs/>
          <w:sz w:val="22"/>
          <w:lang w:val="en-US"/>
        </w:rPr>
        <w:t xml:space="preserve">national </w:t>
      </w:r>
      <w:r>
        <w:rPr>
          <w:bCs/>
          <w:sz w:val="22"/>
          <w:lang w:val="en-US"/>
        </w:rPr>
        <w:t>l</w:t>
      </w:r>
      <w:r w:rsidRPr="00FF73DD">
        <w:rPr>
          <w:bCs/>
          <w:sz w:val="22"/>
          <w:lang w:val="en-US"/>
        </w:rPr>
        <w:t>eishmaniasis control program</w:t>
      </w:r>
      <w:r>
        <w:rPr>
          <w:bCs/>
          <w:sz w:val="22"/>
          <w:lang w:val="en-US"/>
        </w:rPr>
        <w:t>. However, t</w:t>
      </w:r>
      <w:r w:rsidRPr="005C5C09">
        <w:rPr>
          <w:bCs/>
          <w:sz w:val="22"/>
          <w:lang w:val="en-US"/>
        </w:rPr>
        <w:t xml:space="preserve">raining of health workers </w:t>
      </w:r>
      <w:r>
        <w:rPr>
          <w:bCs/>
          <w:sz w:val="22"/>
          <w:lang w:val="en-US"/>
        </w:rPr>
        <w:t xml:space="preserve">and community-based volunteers in order </w:t>
      </w:r>
      <w:r w:rsidRPr="005C5C09">
        <w:rPr>
          <w:bCs/>
          <w:sz w:val="22"/>
          <w:lang w:val="en-US"/>
        </w:rPr>
        <w:t>to improve case detection</w:t>
      </w:r>
      <w:r>
        <w:rPr>
          <w:bCs/>
          <w:sz w:val="22"/>
          <w:lang w:val="en-US"/>
        </w:rPr>
        <w:t xml:space="preserve">, </w:t>
      </w:r>
      <w:r w:rsidRPr="005C5C09">
        <w:rPr>
          <w:bCs/>
          <w:sz w:val="22"/>
          <w:lang w:val="en-US"/>
        </w:rPr>
        <w:t>reportin</w:t>
      </w:r>
      <w:r>
        <w:rPr>
          <w:bCs/>
          <w:sz w:val="22"/>
          <w:lang w:val="en-US"/>
        </w:rPr>
        <w:t xml:space="preserve">g and prevention has taken place. Insecticide spraying was performed </w:t>
      </w:r>
      <w:r w:rsidRPr="005C5C09">
        <w:rPr>
          <w:bCs/>
          <w:sz w:val="22"/>
          <w:lang w:val="en-US"/>
        </w:rPr>
        <w:t xml:space="preserve">in the endemic communities </w:t>
      </w:r>
      <w:r>
        <w:rPr>
          <w:bCs/>
          <w:sz w:val="22"/>
          <w:lang w:val="en-US"/>
        </w:rPr>
        <w:t>of</w:t>
      </w:r>
      <w:r w:rsidRPr="005C5C09">
        <w:rPr>
          <w:bCs/>
          <w:sz w:val="22"/>
          <w:lang w:val="en-US"/>
        </w:rPr>
        <w:t xml:space="preserve"> Ho, </w:t>
      </w:r>
      <w:proofErr w:type="spellStart"/>
      <w:r w:rsidRPr="005C5C09">
        <w:rPr>
          <w:bCs/>
          <w:sz w:val="22"/>
          <w:lang w:val="en-US"/>
        </w:rPr>
        <w:t>Hohoe</w:t>
      </w:r>
      <w:proofErr w:type="spellEnd"/>
      <w:r w:rsidRPr="005C5C09">
        <w:rPr>
          <w:bCs/>
          <w:sz w:val="22"/>
          <w:lang w:val="en-US"/>
        </w:rPr>
        <w:t xml:space="preserve"> and </w:t>
      </w:r>
      <w:proofErr w:type="spellStart"/>
      <w:r w:rsidRPr="005C5C09">
        <w:rPr>
          <w:bCs/>
          <w:sz w:val="22"/>
          <w:lang w:val="en-US"/>
        </w:rPr>
        <w:t>Kpando</w:t>
      </w:r>
      <w:proofErr w:type="spellEnd"/>
      <w:r w:rsidRPr="005C5C09">
        <w:rPr>
          <w:bCs/>
          <w:sz w:val="22"/>
          <w:lang w:val="en-US"/>
        </w:rPr>
        <w:t xml:space="preserve"> districts</w:t>
      </w:r>
      <w:r>
        <w:rPr>
          <w:bCs/>
          <w:sz w:val="22"/>
          <w:lang w:val="en-US"/>
        </w:rPr>
        <w:t>,</w:t>
      </w:r>
      <w:r w:rsidRPr="005C5C09">
        <w:rPr>
          <w:bCs/>
          <w:sz w:val="22"/>
          <w:lang w:val="en-US"/>
        </w:rPr>
        <w:t xml:space="preserve"> in the Volta Region</w:t>
      </w:r>
      <w:r>
        <w:rPr>
          <w:bCs/>
          <w:sz w:val="22"/>
          <w:lang w:val="en-US"/>
        </w:rPr>
        <w:t>, after the outbreak in 2003</w:t>
      </w:r>
      <w:r w:rsidRPr="005C5C09">
        <w:rPr>
          <w:bCs/>
          <w:sz w:val="22"/>
          <w:lang w:val="en-US"/>
        </w:rPr>
        <w:t xml:space="preserve">. </w:t>
      </w:r>
      <w:r>
        <w:rPr>
          <w:bCs/>
          <w:sz w:val="22"/>
          <w:lang w:val="en-US"/>
        </w:rPr>
        <w:t xml:space="preserve">Case detection is passive. </w:t>
      </w:r>
      <w:r w:rsidRPr="005C5C09">
        <w:rPr>
          <w:bCs/>
          <w:sz w:val="22"/>
          <w:lang w:val="en-US"/>
        </w:rPr>
        <w:t xml:space="preserve">There is no leishmaniasis reservoir control program. </w:t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DIAGNOSIS, TREATMENT</w:t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Pr="00870803" w:rsidRDefault="00EF30ED" w:rsidP="00EF30ED">
      <w:pPr>
        <w:ind w:left="0" w:firstLine="0"/>
        <w:rPr>
          <w:sz w:val="22"/>
          <w:lang w:val="en-US"/>
        </w:rPr>
      </w:pPr>
      <w:r w:rsidRPr="00870803">
        <w:rPr>
          <w:sz w:val="22"/>
          <w:lang w:val="en-US"/>
        </w:rPr>
        <w:t>Not available</w:t>
      </w:r>
      <w:r>
        <w:rPr>
          <w:sz w:val="22"/>
          <w:lang w:val="en-US"/>
        </w:rPr>
        <w:t>.</w:t>
      </w:r>
    </w:p>
    <w:p w:rsidR="00EF30ED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b/>
          <w:sz w:val="22"/>
          <w:lang w:val="en-US"/>
        </w:rPr>
      </w:pPr>
    </w:p>
    <w:p w:rsidR="00EF30ED" w:rsidRDefault="00EF30ED" w:rsidP="00EF30ED">
      <w:pPr>
        <w:ind w:left="0" w:firstLine="0"/>
        <w:rPr>
          <w:bCs/>
          <w:sz w:val="22"/>
          <w:lang w:val="en-US"/>
        </w:rPr>
      </w:pPr>
      <w:r>
        <w:rPr>
          <w:b/>
          <w:sz w:val="22"/>
          <w:lang w:val="en-US"/>
        </w:rPr>
        <w:t xml:space="preserve">ACCESS TO CARE </w:t>
      </w:r>
      <w:r w:rsidRPr="00C258EC">
        <w:rPr>
          <w:bCs/>
          <w:sz w:val="22"/>
          <w:lang w:val="en-US"/>
        </w:rPr>
        <w:t xml:space="preserve"> </w:t>
      </w:r>
    </w:p>
    <w:p w:rsidR="00EF30ED" w:rsidRDefault="00EF30ED" w:rsidP="00EF30ED">
      <w:pPr>
        <w:ind w:left="0" w:firstLine="0"/>
        <w:rPr>
          <w:bCs/>
          <w:sz w:val="22"/>
          <w:highlight w:val="yellow"/>
          <w:lang w:val="en-US"/>
        </w:rPr>
      </w:pPr>
    </w:p>
    <w:p w:rsidR="00EF30ED" w:rsidRDefault="00EF30ED" w:rsidP="00EF30ED">
      <w:pPr>
        <w:ind w:left="0" w:firstLine="0"/>
        <w:rPr>
          <w:bCs/>
          <w:sz w:val="22"/>
          <w:lang w:val="en-US"/>
        </w:rPr>
      </w:pPr>
      <w:r>
        <w:rPr>
          <w:bCs/>
          <w:sz w:val="22"/>
          <w:lang w:val="en-US"/>
        </w:rPr>
        <w:t>No treatment for leishmaniasis is available in Ghana. Self-</w:t>
      </w:r>
      <w:r w:rsidRPr="00C258EC">
        <w:rPr>
          <w:bCs/>
          <w:sz w:val="22"/>
          <w:lang w:val="en-US"/>
        </w:rPr>
        <w:t>medication</w:t>
      </w:r>
      <w:r>
        <w:rPr>
          <w:bCs/>
          <w:sz w:val="22"/>
          <w:lang w:val="en-US"/>
        </w:rPr>
        <w:t xml:space="preserve"> </w:t>
      </w:r>
      <w:r w:rsidRPr="00C258EC">
        <w:rPr>
          <w:bCs/>
          <w:sz w:val="22"/>
          <w:lang w:val="en-US"/>
        </w:rPr>
        <w:t xml:space="preserve">was </w:t>
      </w:r>
      <w:r>
        <w:rPr>
          <w:bCs/>
          <w:sz w:val="22"/>
          <w:lang w:val="en-US"/>
        </w:rPr>
        <w:t xml:space="preserve">frequently </w:t>
      </w:r>
      <w:r w:rsidRPr="00C258EC">
        <w:rPr>
          <w:bCs/>
          <w:sz w:val="22"/>
          <w:lang w:val="en-US"/>
        </w:rPr>
        <w:t>observed dur</w:t>
      </w:r>
      <w:r>
        <w:rPr>
          <w:bCs/>
          <w:sz w:val="22"/>
          <w:lang w:val="en-US"/>
        </w:rPr>
        <w:t>i</w:t>
      </w:r>
      <w:r w:rsidRPr="00C258EC">
        <w:rPr>
          <w:bCs/>
          <w:sz w:val="22"/>
          <w:lang w:val="en-US"/>
        </w:rPr>
        <w:t>ng outbreak</w:t>
      </w:r>
      <w:r>
        <w:rPr>
          <w:bCs/>
          <w:sz w:val="22"/>
          <w:lang w:val="en-US"/>
        </w:rPr>
        <w:t xml:space="preserve">s. </w:t>
      </w:r>
    </w:p>
    <w:p w:rsidR="00EF30ED" w:rsidRDefault="00EF30ED" w:rsidP="00EF30ED">
      <w:pPr>
        <w:ind w:left="0" w:firstLine="0"/>
        <w:rPr>
          <w:bCs/>
          <w:sz w:val="22"/>
          <w:lang w:val="en-US"/>
        </w:rPr>
      </w:pPr>
    </w:p>
    <w:p w:rsidR="00EF30ED" w:rsidRDefault="00EF30ED" w:rsidP="00EF30ED">
      <w:pPr>
        <w:ind w:left="0" w:firstLine="0"/>
        <w:rPr>
          <w:bCs/>
          <w:sz w:val="22"/>
          <w:lang w:val="en-US"/>
        </w:rPr>
      </w:pPr>
    </w:p>
    <w:p w:rsidR="00EF30ED" w:rsidRPr="009C0E63" w:rsidRDefault="00EF30ED" w:rsidP="00EF30ED">
      <w:pPr>
        <w:ind w:left="0" w:firstLine="0"/>
        <w:rPr>
          <w:b/>
          <w:bCs/>
          <w:sz w:val="22"/>
          <w:lang w:val="en-US"/>
        </w:rPr>
      </w:pPr>
      <w:r w:rsidRPr="009C0E63">
        <w:rPr>
          <w:b/>
          <w:bCs/>
          <w:sz w:val="22"/>
          <w:lang w:val="en-US"/>
        </w:rPr>
        <w:t>ACCESS TO DRUGS</w:t>
      </w:r>
    </w:p>
    <w:p w:rsidR="00EF30ED" w:rsidRDefault="00EF30ED" w:rsidP="00EF30ED">
      <w:pPr>
        <w:ind w:left="0" w:firstLine="0"/>
        <w:rPr>
          <w:bCs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No drugs for leishmaniasis are registered in Ghana. </w:t>
      </w:r>
      <w:proofErr w:type="spellStart"/>
      <w:r>
        <w:rPr>
          <w:bCs/>
          <w:sz w:val="22"/>
          <w:lang w:val="en-US"/>
        </w:rPr>
        <w:t>Pentamidine</w:t>
      </w:r>
      <w:proofErr w:type="spellEnd"/>
      <w:r>
        <w:rPr>
          <w:bCs/>
          <w:sz w:val="22"/>
          <w:lang w:val="en-US"/>
        </w:rPr>
        <w:t xml:space="preserve"> is included in the national Essential Drug list for leishmaniasis. </w:t>
      </w:r>
    </w:p>
    <w:p w:rsidR="00EF30ED" w:rsidRPr="00C258EC" w:rsidRDefault="00EF30ED" w:rsidP="00EF30ED">
      <w:pPr>
        <w:ind w:left="0" w:firstLine="0"/>
        <w:rPr>
          <w:b/>
          <w:bCs/>
          <w:sz w:val="22"/>
          <w:lang w:val="en-US"/>
        </w:rPr>
      </w:pPr>
    </w:p>
    <w:p w:rsidR="00EF30ED" w:rsidRPr="00C258EC" w:rsidRDefault="00EF30ED" w:rsidP="00EF30ED">
      <w:pPr>
        <w:ind w:left="0" w:firstLine="0"/>
        <w:rPr>
          <w:rFonts w:eastAsia="SimSun"/>
          <w:color w:val="898989"/>
          <w:sz w:val="22"/>
          <w:lang w:val="en-US" w:eastAsia="zh-CN"/>
        </w:rPr>
      </w:pPr>
    </w:p>
    <w:p w:rsidR="00EF30ED" w:rsidRPr="00B165B8" w:rsidRDefault="00EF30ED" w:rsidP="00EF30ED">
      <w:pPr>
        <w:ind w:left="0" w:firstLine="0"/>
        <w:rPr>
          <w:rFonts w:eastAsia="SimSun"/>
          <w:b/>
          <w:sz w:val="22"/>
          <w:lang w:val="en-US" w:eastAsia="zh-CN"/>
        </w:rPr>
      </w:pPr>
      <w:r w:rsidRPr="00B165B8">
        <w:rPr>
          <w:rFonts w:eastAsia="SimSun"/>
          <w:b/>
          <w:sz w:val="22"/>
          <w:lang w:val="en-US" w:eastAsia="zh-CN"/>
        </w:rPr>
        <w:t>SOURCES OF INFORMATION</w:t>
      </w:r>
    </w:p>
    <w:p w:rsidR="00EF30ED" w:rsidRPr="008155FD" w:rsidRDefault="00EF30ED" w:rsidP="00EF30ED">
      <w:pPr>
        <w:rPr>
          <w:sz w:val="22"/>
          <w:lang w:val="en-US"/>
        </w:rPr>
      </w:pPr>
    </w:p>
    <w:p w:rsidR="00EF30ED" w:rsidRPr="0080612E" w:rsidRDefault="00EF30ED" w:rsidP="00EF30ED">
      <w:pPr>
        <w:pStyle w:val="Sinespaciado"/>
        <w:ind w:left="720"/>
        <w:jc w:val="both"/>
        <w:rPr>
          <w:rFonts w:ascii="Arial" w:hAnsi="Arial" w:cs="Arial"/>
          <w:lang w:val="en-GB"/>
        </w:rPr>
      </w:pPr>
      <w:r w:rsidRPr="0080612E">
        <w:rPr>
          <w:rFonts w:ascii="Arial" w:hAnsi="Arial" w:cs="Arial"/>
          <w:lang w:val="en-US"/>
        </w:rPr>
        <w:t xml:space="preserve">• Dr </w:t>
      </w:r>
      <w:proofErr w:type="spellStart"/>
      <w:r w:rsidRPr="0080612E">
        <w:rPr>
          <w:rFonts w:ascii="Arial" w:hAnsi="Arial" w:cs="Arial"/>
          <w:lang w:val="en-US"/>
        </w:rPr>
        <w:t>Atsu</w:t>
      </w:r>
      <w:proofErr w:type="spellEnd"/>
      <w:r w:rsidRPr="0080612E">
        <w:rPr>
          <w:rFonts w:ascii="Arial" w:hAnsi="Arial" w:cs="Arial"/>
          <w:lang w:val="en-US"/>
        </w:rPr>
        <w:t xml:space="preserve"> </w:t>
      </w:r>
      <w:proofErr w:type="spellStart"/>
      <w:r w:rsidRPr="0080612E">
        <w:rPr>
          <w:rFonts w:ascii="Arial" w:hAnsi="Arial" w:cs="Arial"/>
          <w:lang w:val="en-US"/>
        </w:rPr>
        <w:t>Seake-Kwawu</w:t>
      </w:r>
      <w:proofErr w:type="spellEnd"/>
      <w:r>
        <w:rPr>
          <w:rFonts w:ascii="Arial" w:hAnsi="Arial" w:cs="Arial"/>
          <w:lang w:val="en-US"/>
        </w:rPr>
        <w:t>.</w:t>
      </w:r>
      <w:r w:rsidRPr="0080612E">
        <w:rPr>
          <w:rFonts w:ascii="Arial" w:hAnsi="Arial" w:cs="Arial"/>
          <w:lang w:val="en-US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ountry-region">
          <w:r w:rsidRPr="0080612E">
            <w:rPr>
              <w:rFonts w:ascii="Arial" w:hAnsi="Arial" w:cs="Arial"/>
              <w:lang w:val="en-US"/>
            </w:rPr>
            <w:t>Ghana</w:t>
          </w:r>
        </w:smartTag>
      </w:smartTag>
      <w:r w:rsidRPr="0080612E">
        <w:rPr>
          <w:rFonts w:ascii="Arial" w:hAnsi="Arial" w:cs="Arial"/>
          <w:lang w:val="en-US"/>
        </w:rPr>
        <w:t xml:space="preserve"> Health Service</w:t>
      </w:r>
      <w:r w:rsidRPr="0080612E">
        <w:rPr>
          <w:rFonts w:ascii="Arial" w:hAnsi="Arial" w:cs="Arial"/>
          <w:i/>
          <w:iCs/>
          <w:lang w:val="en-US"/>
        </w:rPr>
        <w:t>.</w:t>
      </w:r>
      <w:proofErr w:type="gramEnd"/>
      <w:r w:rsidRPr="0080612E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80612E">
        <w:rPr>
          <w:rFonts w:ascii="Arial" w:hAnsi="Arial" w:cs="Arial"/>
          <w:i/>
          <w:iCs/>
          <w:lang w:val="en-GB"/>
        </w:rPr>
        <w:t xml:space="preserve">Consultative Meeting on </w:t>
      </w:r>
      <w:r>
        <w:rPr>
          <w:rFonts w:ascii="Arial" w:hAnsi="Arial" w:cs="Arial"/>
          <w:i/>
          <w:iCs/>
          <w:lang w:val="en-GB"/>
        </w:rPr>
        <w:t>t</w:t>
      </w:r>
      <w:r w:rsidRPr="0080612E">
        <w:rPr>
          <w:rFonts w:ascii="Arial" w:hAnsi="Arial" w:cs="Arial"/>
          <w:i/>
          <w:iCs/>
          <w:lang w:val="en-GB"/>
        </w:rPr>
        <w:t>he Control of Leishmaniasis in the African Region</w:t>
      </w:r>
      <w:r>
        <w:rPr>
          <w:rFonts w:ascii="Arial" w:hAnsi="Arial" w:cs="Arial"/>
          <w:i/>
          <w:iCs/>
          <w:lang w:val="en-GB"/>
        </w:rPr>
        <w:t>.</w:t>
      </w:r>
      <w:proofErr w:type="gramEnd"/>
      <w:r w:rsidRPr="0080612E">
        <w:rPr>
          <w:rFonts w:ascii="Arial" w:hAnsi="Arial" w:cs="Arial"/>
          <w:i/>
          <w:iCs/>
          <w:lang w:val="en-GB"/>
        </w:rPr>
        <w:t xml:space="preserve"> WHO/AFRO Addis Ababa, 23-25 Feb 2010</w:t>
      </w:r>
      <w:r>
        <w:rPr>
          <w:rFonts w:ascii="Arial" w:hAnsi="Arial" w:cs="Arial"/>
          <w:i/>
          <w:iCs/>
          <w:lang w:val="en-GB"/>
        </w:rPr>
        <w:t>.</w:t>
      </w:r>
    </w:p>
    <w:p w:rsidR="00EF30ED" w:rsidRPr="0080612E" w:rsidRDefault="00EF30ED" w:rsidP="00EF30ED">
      <w:pPr>
        <w:ind w:left="0" w:firstLine="0"/>
        <w:rPr>
          <w:sz w:val="22"/>
          <w:lang w:val="en-GB"/>
        </w:rPr>
      </w:pPr>
    </w:p>
    <w:p w:rsidR="00EF30ED" w:rsidRDefault="00EF30ED" w:rsidP="00EF30ED">
      <w:pPr>
        <w:ind w:left="0" w:firstLine="0"/>
        <w:rPr>
          <w:lang w:val="en-GB"/>
        </w:rPr>
      </w:pPr>
    </w:p>
    <w:p w:rsidR="00EF30ED" w:rsidRPr="005F77FB" w:rsidRDefault="00EF30ED" w:rsidP="00EF30ED">
      <w:pPr>
        <w:ind w:left="0" w:firstLine="0"/>
        <w:rPr>
          <w:lang w:val="en-GB"/>
        </w:rPr>
      </w:pPr>
    </w:p>
    <w:p w:rsidR="00EF30ED" w:rsidRPr="006511DC" w:rsidRDefault="00EF30ED" w:rsidP="00EF30ED">
      <w:pPr>
        <w:shd w:val="clear" w:color="auto" w:fill="FFFFFF"/>
        <w:ind w:left="0" w:firstLine="0"/>
        <w:rPr>
          <w:color w:val="000000"/>
          <w:sz w:val="22"/>
          <w:lang w:val="en-GB"/>
        </w:rPr>
      </w:pPr>
      <w:r w:rsidRPr="006511DC">
        <w:rPr>
          <w:color w:val="000000"/>
          <w:sz w:val="22"/>
          <w:lang w:val="en-GB"/>
        </w:rPr>
        <w:t>1</w:t>
      </w:r>
      <w:r>
        <w:rPr>
          <w:color w:val="000000"/>
          <w:sz w:val="22"/>
          <w:lang w:val="en-GB"/>
        </w:rPr>
        <w:t>.</w:t>
      </w:r>
      <w:r w:rsidRPr="006511DC">
        <w:rPr>
          <w:color w:val="000000"/>
          <w:sz w:val="22"/>
          <w:lang w:val="en-GB"/>
        </w:rPr>
        <w:t xml:space="preserve"> </w:t>
      </w:r>
      <w:hyperlink r:id="rId8" w:history="1">
        <w:proofErr w:type="spellStart"/>
        <w:r w:rsidRPr="006511DC">
          <w:rPr>
            <w:rFonts w:eastAsia="SimSun"/>
            <w:color w:val="000000"/>
            <w:sz w:val="22"/>
            <w:lang w:val="en-GB" w:eastAsia="zh-CN"/>
          </w:rPr>
          <w:t>Fryauff</w:t>
        </w:r>
        <w:proofErr w:type="spellEnd"/>
        <w:r w:rsidRPr="006511DC">
          <w:rPr>
            <w:rFonts w:eastAsia="SimSun"/>
            <w:color w:val="000000"/>
            <w:sz w:val="22"/>
            <w:lang w:val="en-GB" w:eastAsia="zh-CN"/>
          </w:rPr>
          <w:t xml:space="preserve"> DJ</w:t>
        </w:r>
      </w:hyperlink>
      <w:r w:rsidRPr="006511DC">
        <w:rPr>
          <w:rFonts w:eastAsia="SimSun"/>
          <w:color w:val="000000"/>
          <w:sz w:val="22"/>
          <w:lang w:val="en-GB" w:eastAsia="zh-CN"/>
        </w:rPr>
        <w:t xml:space="preserve">, </w:t>
      </w:r>
      <w:hyperlink r:id="rId9" w:history="1">
        <w:proofErr w:type="spellStart"/>
        <w:r w:rsidRPr="006511DC">
          <w:rPr>
            <w:rFonts w:eastAsia="SimSun"/>
            <w:color w:val="000000"/>
            <w:sz w:val="22"/>
            <w:lang w:val="en-GB" w:eastAsia="zh-CN"/>
          </w:rPr>
          <w:t>Hanafi</w:t>
        </w:r>
        <w:proofErr w:type="spellEnd"/>
        <w:r w:rsidRPr="006511DC">
          <w:rPr>
            <w:rFonts w:eastAsia="SimSun"/>
            <w:color w:val="000000"/>
            <w:sz w:val="22"/>
            <w:lang w:val="en-GB" w:eastAsia="zh-CN"/>
          </w:rPr>
          <w:t xml:space="preserve"> HA</w:t>
        </w:r>
      </w:hyperlink>
      <w:r w:rsidRPr="006511DC">
        <w:rPr>
          <w:rFonts w:eastAsia="SimSun"/>
          <w:color w:val="000000"/>
          <w:sz w:val="22"/>
          <w:lang w:val="en-GB" w:eastAsia="zh-CN"/>
        </w:rPr>
        <w:t xml:space="preserve">, </w:t>
      </w:r>
      <w:hyperlink r:id="rId10" w:history="1">
        <w:proofErr w:type="spellStart"/>
        <w:r w:rsidRPr="006511DC">
          <w:rPr>
            <w:rFonts w:eastAsia="SimSun"/>
            <w:color w:val="000000"/>
            <w:sz w:val="22"/>
            <w:lang w:val="en-GB" w:eastAsia="zh-CN"/>
          </w:rPr>
          <w:t>Klena</w:t>
        </w:r>
        <w:proofErr w:type="spellEnd"/>
        <w:r w:rsidRPr="006511DC">
          <w:rPr>
            <w:rFonts w:eastAsia="SimSun"/>
            <w:color w:val="000000"/>
            <w:sz w:val="22"/>
            <w:lang w:val="en-GB" w:eastAsia="zh-CN"/>
          </w:rPr>
          <w:t xml:space="preserve"> JD</w:t>
        </w:r>
      </w:hyperlink>
      <w:r w:rsidRPr="006511DC">
        <w:rPr>
          <w:rFonts w:eastAsia="SimSun"/>
          <w:color w:val="000000"/>
          <w:sz w:val="22"/>
          <w:lang w:val="en-GB" w:eastAsia="zh-CN"/>
        </w:rPr>
        <w:t xml:space="preserve">, </w:t>
      </w:r>
      <w:hyperlink r:id="rId11" w:history="1">
        <w:proofErr w:type="spellStart"/>
        <w:r w:rsidRPr="006511DC">
          <w:rPr>
            <w:rFonts w:eastAsia="SimSun"/>
            <w:color w:val="000000"/>
            <w:sz w:val="22"/>
            <w:lang w:val="en-GB" w:eastAsia="zh-CN"/>
          </w:rPr>
          <w:t>Hoel</w:t>
        </w:r>
        <w:proofErr w:type="spellEnd"/>
        <w:r w:rsidRPr="006511DC">
          <w:rPr>
            <w:rFonts w:eastAsia="SimSun"/>
            <w:color w:val="000000"/>
            <w:sz w:val="22"/>
            <w:lang w:val="en-GB" w:eastAsia="zh-CN"/>
          </w:rPr>
          <w:t xml:space="preserve"> DF</w:t>
        </w:r>
      </w:hyperlink>
      <w:r w:rsidRPr="006511DC">
        <w:rPr>
          <w:rFonts w:eastAsia="SimSun"/>
          <w:color w:val="000000"/>
          <w:sz w:val="22"/>
          <w:lang w:val="en-GB" w:eastAsia="zh-CN"/>
        </w:rPr>
        <w:t xml:space="preserve">, </w:t>
      </w:r>
      <w:hyperlink r:id="rId12" w:history="1">
        <w:proofErr w:type="spellStart"/>
        <w:r w:rsidRPr="006511DC">
          <w:rPr>
            <w:rFonts w:eastAsia="SimSun"/>
            <w:color w:val="000000"/>
            <w:sz w:val="22"/>
            <w:lang w:val="en-GB" w:eastAsia="zh-CN"/>
          </w:rPr>
          <w:t>Appawu</w:t>
        </w:r>
        <w:proofErr w:type="spellEnd"/>
        <w:r w:rsidRPr="006511DC">
          <w:rPr>
            <w:rFonts w:eastAsia="SimSun"/>
            <w:color w:val="000000"/>
            <w:sz w:val="22"/>
            <w:lang w:val="en-GB" w:eastAsia="zh-CN"/>
          </w:rPr>
          <w:t xml:space="preserve"> M</w:t>
        </w:r>
      </w:hyperlink>
      <w:r w:rsidRPr="006511DC">
        <w:rPr>
          <w:rFonts w:eastAsia="SimSun"/>
          <w:color w:val="000000"/>
          <w:sz w:val="22"/>
          <w:lang w:val="en-GB" w:eastAsia="zh-CN"/>
        </w:rPr>
        <w:t xml:space="preserve"> </w:t>
      </w:r>
      <w:r>
        <w:rPr>
          <w:rFonts w:eastAsia="SimSun"/>
          <w:color w:val="000000"/>
          <w:sz w:val="22"/>
          <w:lang w:val="en-GB" w:eastAsia="zh-CN"/>
        </w:rPr>
        <w:t>et al (2006)</w:t>
      </w:r>
      <w:r w:rsidRPr="006511DC">
        <w:rPr>
          <w:rFonts w:eastAsia="SimSun"/>
          <w:color w:val="000000"/>
          <w:sz w:val="22"/>
          <w:lang w:val="en-GB" w:eastAsia="zh-CN"/>
        </w:rPr>
        <w:t>.</w:t>
      </w:r>
      <w:r w:rsidRPr="006511DC">
        <w:rPr>
          <w:color w:val="000000"/>
          <w:sz w:val="22"/>
          <w:lang w:val="en-GB"/>
        </w:rPr>
        <w:t xml:space="preserve"> Short Report: ITS-1 DNA Sequence confirmation of Leishmania Major as a cause of cutaneous leishmaniasis from an outbreak focus in the Ho district, </w:t>
      </w:r>
      <w:proofErr w:type="spellStart"/>
      <w:r w:rsidRPr="006511DC">
        <w:rPr>
          <w:color w:val="000000"/>
          <w:sz w:val="22"/>
          <w:lang w:val="en-GB"/>
        </w:rPr>
        <w:t>Southeastern</w:t>
      </w:r>
      <w:proofErr w:type="spellEnd"/>
      <w:r w:rsidRPr="006511DC">
        <w:rPr>
          <w:color w:val="000000"/>
          <w:sz w:val="22"/>
          <w:lang w:val="en-GB"/>
        </w:rPr>
        <w:t xml:space="preserve"> Ghana. Am J </w:t>
      </w:r>
      <w:proofErr w:type="spellStart"/>
      <w:r w:rsidRPr="006511DC">
        <w:rPr>
          <w:color w:val="000000"/>
          <w:sz w:val="22"/>
          <w:lang w:val="en-GB"/>
        </w:rPr>
        <w:t>Trop</w:t>
      </w:r>
      <w:proofErr w:type="spellEnd"/>
      <w:r w:rsidRPr="006511DC">
        <w:rPr>
          <w:color w:val="000000"/>
          <w:sz w:val="22"/>
          <w:lang w:val="en-GB"/>
        </w:rPr>
        <w:t xml:space="preserve"> Med</w:t>
      </w:r>
      <w:r>
        <w:rPr>
          <w:color w:val="000000"/>
          <w:sz w:val="22"/>
          <w:lang w:val="en-GB"/>
        </w:rPr>
        <w:t xml:space="preserve"> </w:t>
      </w:r>
      <w:proofErr w:type="spellStart"/>
      <w:r w:rsidRPr="006511DC">
        <w:rPr>
          <w:color w:val="000000"/>
          <w:sz w:val="22"/>
          <w:lang w:val="en-GB"/>
        </w:rPr>
        <w:t>Hyg</w:t>
      </w:r>
      <w:proofErr w:type="spellEnd"/>
      <w:r w:rsidRPr="006511DC">
        <w:rPr>
          <w:color w:val="000000"/>
          <w:sz w:val="22"/>
          <w:lang w:val="en-GB"/>
        </w:rPr>
        <w:t xml:space="preserve"> 75(3)</w:t>
      </w:r>
      <w:r>
        <w:rPr>
          <w:color w:val="000000"/>
          <w:sz w:val="22"/>
          <w:lang w:val="en-GB"/>
        </w:rPr>
        <w:t>:</w:t>
      </w:r>
      <w:r w:rsidRPr="006511DC">
        <w:rPr>
          <w:color w:val="000000"/>
          <w:sz w:val="22"/>
          <w:lang w:val="en-GB"/>
        </w:rPr>
        <w:t>502–</w:t>
      </w:r>
      <w:proofErr w:type="gramStart"/>
      <w:r w:rsidRPr="006511DC">
        <w:rPr>
          <w:color w:val="000000"/>
          <w:sz w:val="22"/>
          <w:lang w:val="en-GB"/>
        </w:rPr>
        <w:t>504</w:t>
      </w:r>
      <w:r>
        <w:rPr>
          <w:color w:val="000000"/>
          <w:sz w:val="22"/>
          <w:lang w:val="en-GB"/>
        </w:rPr>
        <w:t>.</w:t>
      </w:r>
      <w:proofErr w:type="gramEnd"/>
    </w:p>
    <w:p w:rsidR="00EF30ED" w:rsidRPr="006511DC" w:rsidRDefault="00EF30ED" w:rsidP="00EF30ED">
      <w:pPr>
        <w:shd w:val="clear" w:color="auto" w:fill="FFFFFF"/>
        <w:rPr>
          <w:color w:val="000000"/>
          <w:sz w:val="22"/>
          <w:lang w:val="en-GB"/>
        </w:rPr>
      </w:pPr>
    </w:p>
    <w:p w:rsidR="00EF30ED" w:rsidRPr="006511DC" w:rsidRDefault="00EF30ED" w:rsidP="00EF30ED">
      <w:pPr>
        <w:ind w:left="0" w:firstLine="0"/>
        <w:rPr>
          <w:sz w:val="22"/>
          <w:lang w:val="en-GB"/>
        </w:rPr>
      </w:pPr>
      <w:r w:rsidRPr="006511DC">
        <w:rPr>
          <w:sz w:val="22"/>
          <w:lang w:val="en-GB"/>
        </w:rPr>
        <w:t>2</w:t>
      </w:r>
      <w:r>
        <w:rPr>
          <w:sz w:val="22"/>
          <w:lang w:val="en-GB"/>
        </w:rPr>
        <w:t>.</w:t>
      </w:r>
      <w:r w:rsidRPr="006511DC">
        <w:rPr>
          <w:sz w:val="22"/>
          <w:lang w:val="en-GB"/>
        </w:rPr>
        <w:t xml:space="preserve"> </w:t>
      </w:r>
      <w:proofErr w:type="spellStart"/>
      <w:r w:rsidRPr="006511DC">
        <w:rPr>
          <w:sz w:val="22"/>
          <w:lang w:val="en-GB"/>
        </w:rPr>
        <w:t>Boakye</w:t>
      </w:r>
      <w:proofErr w:type="spellEnd"/>
      <w:r w:rsidRPr="006511DC">
        <w:rPr>
          <w:sz w:val="22"/>
          <w:lang w:val="en-GB"/>
        </w:rPr>
        <w:t xml:space="preserve"> DA, Wilson MD, </w:t>
      </w:r>
      <w:proofErr w:type="spellStart"/>
      <w:r w:rsidRPr="006511DC">
        <w:rPr>
          <w:sz w:val="22"/>
          <w:lang w:val="en-GB"/>
        </w:rPr>
        <w:t>Kweku</w:t>
      </w:r>
      <w:proofErr w:type="spellEnd"/>
      <w:r w:rsidRPr="006511DC">
        <w:rPr>
          <w:sz w:val="22"/>
          <w:lang w:val="en-GB"/>
        </w:rPr>
        <w:t xml:space="preserve"> M</w:t>
      </w:r>
      <w:r>
        <w:rPr>
          <w:sz w:val="22"/>
          <w:lang w:val="en-GB"/>
        </w:rPr>
        <w:t xml:space="preserve"> (2005)</w:t>
      </w:r>
      <w:r w:rsidRPr="006511DC">
        <w:rPr>
          <w:sz w:val="22"/>
          <w:lang w:val="en-GB"/>
        </w:rPr>
        <w:t xml:space="preserve">. </w:t>
      </w:r>
      <w:proofErr w:type="gramStart"/>
      <w:r w:rsidRPr="006511DC">
        <w:rPr>
          <w:sz w:val="22"/>
          <w:lang w:val="en-GB"/>
        </w:rPr>
        <w:t>A Review of Leishmaniasis in West Africa.</w:t>
      </w:r>
      <w:proofErr w:type="gramEnd"/>
      <w:r w:rsidRPr="006511DC">
        <w:rPr>
          <w:sz w:val="22"/>
          <w:lang w:val="en-GB"/>
        </w:rPr>
        <w:t xml:space="preserve"> Ghana Med J 39 (3): 94-97. </w:t>
      </w:r>
    </w:p>
    <w:p w:rsidR="00EF30ED" w:rsidRPr="006511DC" w:rsidRDefault="00EF30ED" w:rsidP="00EF30ED">
      <w:pPr>
        <w:ind w:left="0" w:firstLine="0"/>
        <w:rPr>
          <w:sz w:val="22"/>
          <w:lang w:val="en-GB"/>
        </w:rPr>
      </w:pPr>
    </w:p>
    <w:p w:rsidR="00EF30ED" w:rsidRPr="006511DC" w:rsidRDefault="00EF30ED" w:rsidP="00EF30ED">
      <w:pPr>
        <w:ind w:left="0" w:firstLine="0"/>
        <w:rPr>
          <w:sz w:val="22"/>
        </w:rPr>
      </w:pPr>
      <w:r w:rsidRPr="006511DC">
        <w:rPr>
          <w:sz w:val="22"/>
          <w:lang w:val="en-GB"/>
        </w:rPr>
        <w:t>3</w:t>
      </w:r>
      <w:r>
        <w:rPr>
          <w:sz w:val="22"/>
          <w:lang w:val="en-GB"/>
        </w:rPr>
        <w:t>.</w:t>
      </w:r>
      <w:r w:rsidRPr="006511DC">
        <w:rPr>
          <w:sz w:val="22"/>
          <w:lang w:val="en-GB"/>
        </w:rPr>
        <w:t xml:space="preserve"> </w:t>
      </w:r>
      <w:proofErr w:type="spellStart"/>
      <w:r w:rsidRPr="006511DC">
        <w:rPr>
          <w:sz w:val="22"/>
          <w:lang w:val="en-GB"/>
        </w:rPr>
        <w:t>Lartey</w:t>
      </w:r>
      <w:proofErr w:type="spellEnd"/>
      <w:r w:rsidRPr="006511DC">
        <w:rPr>
          <w:sz w:val="22"/>
          <w:lang w:val="en-GB"/>
        </w:rPr>
        <w:t xml:space="preserve"> M, </w:t>
      </w:r>
      <w:proofErr w:type="spellStart"/>
      <w:r w:rsidRPr="006511DC">
        <w:rPr>
          <w:sz w:val="22"/>
          <w:lang w:val="en-GB"/>
        </w:rPr>
        <w:t>Adusei</w:t>
      </w:r>
      <w:proofErr w:type="spellEnd"/>
      <w:r w:rsidRPr="006511DC">
        <w:rPr>
          <w:sz w:val="22"/>
          <w:lang w:val="en-GB"/>
        </w:rPr>
        <w:t xml:space="preserve"> L, Hanson-</w:t>
      </w:r>
      <w:proofErr w:type="spellStart"/>
      <w:r w:rsidRPr="006511DC">
        <w:rPr>
          <w:sz w:val="22"/>
          <w:lang w:val="en-GB"/>
        </w:rPr>
        <w:t>Nortey</w:t>
      </w:r>
      <w:proofErr w:type="spellEnd"/>
      <w:r w:rsidRPr="006511DC">
        <w:rPr>
          <w:sz w:val="22"/>
          <w:lang w:val="en-GB"/>
        </w:rPr>
        <w:t xml:space="preserve"> L, </w:t>
      </w:r>
      <w:proofErr w:type="spellStart"/>
      <w:r w:rsidRPr="006511DC">
        <w:rPr>
          <w:sz w:val="22"/>
          <w:lang w:val="en-GB"/>
        </w:rPr>
        <w:t>Addy</w:t>
      </w:r>
      <w:proofErr w:type="spellEnd"/>
      <w:r w:rsidRPr="006511DC">
        <w:rPr>
          <w:sz w:val="22"/>
          <w:lang w:val="en-GB"/>
        </w:rPr>
        <w:t xml:space="preserve"> JH</w:t>
      </w:r>
      <w:r>
        <w:rPr>
          <w:sz w:val="22"/>
          <w:lang w:val="en-GB"/>
        </w:rPr>
        <w:t xml:space="preserve"> (2006)</w:t>
      </w:r>
      <w:r w:rsidRPr="006511DC">
        <w:rPr>
          <w:sz w:val="22"/>
          <w:lang w:val="en-GB"/>
        </w:rPr>
        <w:t xml:space="preserve">. </w:t>
      </w:r>
      <w:proofErr w:type="gramStart"/>
      <w:r w:rsidRPr="006511DC">
        <w:rPr>
          <w:sz w:val="22"/>
          <w:lang w:val="en-GB"/>
        </w:rPr>
        <w:t>Coinfection of cutaneous leishmaniasis and HIV infection.</w:t>
      </w:r>
      <w:proofErr w:type="gramEnd"/>
      <w:r w:rsidRPr="006511DC">
        <w:rPr>
          <w:sz w:val="22"/>
          <w:lang w:val="en-GB"/>
        </w:rPr>
        <w:t xml:space="preserve"> </w:t>
      </w:r>
      <w:r w:rsidRPr="006511DC">
        <w:rPr>
          <w:sz w:val="22"/>
        </w:rPr>
        <w:t xml:space="preserve">Ghana </w:t>
      </w:r>
      <w:proofErr w:type="spellStart"/>
      <w:r w:rsidRPr="006511DC">
        <w:rPr>
          <w:sz w:val="22"/>
        </w:rPr>
        <w:t>Med</w:t>
      </w:r>
      <w:proofErr w:type="spellEnd"/>
      <w:r w:rsidRPr="006511DC">
        <w:rPr>
          <w:sz w:val="22"/>
        </w:rPr>
        <w:t xml:space="preserve"> J 40 (3): 110-112.</w:t>
      </w:r>
    </w:p>
    <w:p w:rsidR="00EF30ED" w:rsidRPr="00C258EC" w:rsidRDefault="00EF30ED" w:rsidP="00EF30ED">
      <w:pPr>
        <w:rPr>
          <w:b/>
          <w:bCs/>
          <w:sz w:val="22"/>
          <w:lang w:val="en-US"/>
        </w:rPr>
      </w:pPr>
    </w:p>
    <w:p w:rsidR="00EF30ED" w:rsidRPr="00C258EC" w:rsidRDefault="00EF30ED" w:rsidP="00EF30ED">
      <w:pPr>
        <w:rPr>
          <w:rFonts w:eastAsia="SimSun"/>
          <w:color w:val="898989"/>
          <w:sz w:val="22"/>
          <w:lang w:val="en-US" w:eastAsia="zh-CN"/>
        </w:rPr>
      </w:pPr>
    </w:p>
    <w:p w:rsidR="002F7C1A" w:rsidRDefault="002F7C1A" w:rsidP="00EF30ED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30ED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6A9E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EF30ED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ED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sz w:val="22"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spacing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spacing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spacing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spacing w:after="200" w:line="276" w:lineRule="auto"/>
      <w:ind w:firstLine="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Sinespaciado">
    <w:name w:val="Sin espaciado"/>
    <w:link w:val="SinespaciadoCar"/>
    <w:qFormat/>
    <w:rsid w:val="00EF30E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DefaultParagraphFont"/>
    <w:link w:val="Sinespaciado"/>
    <w:rsid w:val="00EF30ED"/>
    <w:rPr>
      <w:rFonts w:ascii="Calibri" w:eastAsia="Times New Roman" w:hAnsi="Calibri" w:cs="Times New Roman"/>
      <w:lang w:val="es-ES"/>
    </w:rPr>
  </w:style>
  <w:style w:type="paragraph" w:customStyle="1" w:styleId="Default">
    <w:name w:val="Default"/>
    <w:rsid w:val="00EF3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ED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Fryauff%20DJ%22%5BAuthor%5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www.ncbi.nlm.nih.gov/pubmed?term=%22Appawu%20M%22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cbi.nlm.nih.gov/pubmed?term=%22Hoel%20DF%22%5BAuthor%5D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cbi.nlm.nih.gov/pubmed?term=%22Klena%20JD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Hanafi%20HA%22%5BAuthor%5D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25"/>
      <c:hPercent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288808664259926"/>
          <c:y val="5.0458715596330292E-2"/>
          <c:w val="0.87906137184115518"/>
          <c:h val="0.646788990825688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4F81BD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Sheet1!$B$1:$Q$1</c:f>
              <c:strCache>
                <c:ptCount val="7"/>
                <c:pt idx="0">
                  <c:v>1999-2002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7"/>
                <c:pt idx="0">
                  <c:v>2426</c:v>
                </c:pt>
                <c:pt idx="1">
                  <c:v>6450</c:v>
                </c:pt>
                <c:pt idx="2">
                  <c:v>105</c:v>
                </c:pt>
                <c:pt idx="3">
                  <c:v>14</c:v>
                </c:pt>
                <c:pt idx="4">
                  <c:v>0</c:v>
                </c:pt>
                <c:pt idx="5">
                  <c:v>17</c:v>
                </c:pt>
                <c:pt idx="6">
                  <c:v>0</c:v>
                </c:pt>
              </c:numCache>
            </c:numRef>
          </c:val>
        </c:ser>
        <c:gapDepth val="0"/>
        <c:shape val="box"/>
        <c:axId val="572923904"/>
        <c:axId val="572925824"/>
        <c:axId val="0"/>
      </c:bar3DChart>
      <c:catAx>
        <c:axId val="5729239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2925824"/>
        <c:crosses val="autoZero"/>
        <c:auto val="1"/>
        <c:lblAlgn val="ctr"/>
        <c:lblOffset val="100"/>
        <c:tickLblSkip val="1"/>
        <c:tickMarkSkip val="1"/>
      </c:catAx>
      <c:valAx>
        <c:axId val="572925824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2923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39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2012-04-01T20:58:00Z</dcterms:created>
  <dcterms:modified xsi:type="dcterms:W3CDTF">2012-04-01T21:00:00Z</dcterms:modified>
</cp:coreProperties>
</file>