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2" w:rsidRPr="008D193E" w:rsidRDefault="00675392" w:rsidP="00675392">
      <w:pPr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8D193E">
            <w:rPr>
              <w:b/>
              <w:sz w:val="22"/>
              <w:u w:val="single"/>
              <w:lang w:val="en-US"/>
            </w:rPr>
            <w:t>GEORGIA</w:t>
          </w:r>
        </w:smartTag>
      </w:smartTag>
      <w:r w:rsidRPr="008D193E">
        <w:rPr>
          <w:b/>
          <w:sz w:val="22"/>
          <w:u w:val="single"/>
          <w:lang w:val="en-US"/>
        </w:rPr>
        <w:t xml:space="preserve"> </w:t>
      </w:r>
    </w:p>
    <w:p w:rsidR="00675392" w:rsidRDefault="00675392" w:rsidP="00675392">
      <w:pPr>
        <w:rPr>
          <w:b/>
          <w:sz w:val="22"/>
          <w:u w:val="single"/>
          <w:lang w:val="en-US"/>
        </w:rPr>
      </w:pPr>
    </w:p>
    <w:p w:rsidR="00675392" w:rsidRDefault="00675392" w:rsidP="00675392">
      <w:pPr>
        <w:rPr>
          <w:b/>
          <w:sz w:val="22"/>
          <w:u w:val="single"/>
          <w:lang w:val="en-US"/>
        </w:rPr>
      </w:pPr>
      <w:r>
        <w:rPr>
          <w:b/>
          <w:noProof/>
          <w:sz w:val="22"/>
          <w:u w:val="single"/>
          <w:lang w:val="en-US"/>
        </w:rPr>
        <w:drawing>
          <wp:inline distT="0" distB="0" distL="0" distR="0">
            <wp:extent cx="2575560" cy="1725295"/>
            <wp:effectExtent l="19050" t="0" r="0" b="0"/>
            <wp:docPr id="2" name="Picture 34" descr="C:\Users\admin\Documents\Downloads\GE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ocuments\Downloads\GE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92" w:rsidRDefault="00675392" w:rsidP="00675392">
      <w:pPr>
        <w:rPr>
          <w:b/>
          <w:sz w:val="22"/>
          <w:u w:val="single"/>
          <w:lang w:val="en-US"/>
        </w:rPr>
      </w:pPr>
    </w:p>
    <w:p w:rsidR="00675392" w:rsidRPr="008D193E" w:rsidRDefault="00675392" w:rsidP="00675392">
      <w:pPr>
        <w:rPr>
          <w:b/>
          <w:sz w:val="22"/>
          <w:u w:val="single"/>
          <w:lang w:val="en-US"/>
        </w:rPr>
      </w:pPr>
    </w:p>
    <w:p w:rsidR="00675392" w:rsidRDefault="00675392" w:rsidP="00675392">
      <w:pPr>
        <w:rPr>
          <w:b/>
          <w:sz w:val="22"/>
          <w:lang w:val="en-US"/>
        </w:rPr>
      </w:pPr>
      <w:r w:rsidRPr="008D193E">
        <w:rPr>
          <w:b/>
          <w:sz w:val="22"/>
          <w:lang w:val="en-US"/>
        </w:rPr>
        <w:t>BASIC COUNTRY DATA</w:t>
      </w:r>
    </w:p>
    <w:p w:rsidR="00675392" w:rsidRPr="008D193E" w:rsidRDefault="00675392" w:rsidP="00675392">
      <w:pPr>
        <w:rPr>
          <w:b/>
          <w:sz w:val="22"/>
          <w:lang w:val="en-US"/>
        </w:rPr>
      </w:pP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Total Population: 4</w:t>
      </w:r>
      <w:r>
        <w:rPr>
          <w:sz w:val="22"/>
          <w:lang w:val="en-US"/>
        </w:rPr>
        <w:t>,</w:t>
      </w:r>
      <w:r w:rsidRPr="008D193E">
        <w:rPr>
          <w:sz w:val="22"/>
          <w:lang w:val="en-US"/>
        </w:rPr>
        <w:t>4</w:t>
      </w:r>
      <w:r>
        <w:rPr>
          <w:sz w:val="22"/>
          <w:lang w:val="en-US"/>
        </w:rPr>
        <w:t>52,800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Population 0-14 years: 1</w:t>
      </w:r>
      <w:r>
        <w:rPr>
          <w:sz w:val="22"/>
          <w:lang w:val="en-US"/>
        </w:rPr>
        <w:t>7</w:t>
      </w:r>
      <w:r w:rsidRPr="008D193E">
        <w:rPr>
          <w:sz w:val="22"/>
          <w:lang w:val="en-US"/>
        </w:rPr>
        <w:t xml:space="preserve">% 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Rural population: 4</w:t>
      </w:r>
      <w:r>
        <w:rPr>
          <w:sz w:val="22"/>
          <w:lang w:val="en-US"/>
        </w:rPr>
        <w:t>7</w:t>
      </w:r>
      <w:r w:rsidRPr="008D193E">
        <w:rPr>
          <w:sz w:val="22"/>
          <w:lang w:val="en-US"/>
        </w:rPr>
        <w:t>%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Population living under 1</w:t>
      </w:r>
      <w:r>
        <w:rPr>
          <w:sz w:val="22"/>
          <w:lang w:val="en-US"/>
        </w:rPr>
        <w:t>.</w:t>
      </w:r>
      <w:r w:rsidRPr="008D193E">
        <w:rPr>
          <w:sz w:val="22"/>
          <w:lang w:val="en-US"/>
        </w:rPr>
        <w:t xml:space="preserve">25 USD </w:t>
      </w:r>
      <w:r>
        <w:rPr>
          <w:sz w:val="22"/>
          <w:lang w:val="en-US"/>
        </w:rPr>
        <w:t>a</w:t>
      </w:r>
      <w:r w:rsidRPr="008D193E">
        <w:rPr>
          <w:sz w:val="22"/>
          <w:lang w:val="en-US"/>
        </w:rPr>
        <w:t xml:space="preserve"> day: 1</w:t>
      </w:r>
      <w:r>
        <w:rPr>
          <w:sz w:val="22"/>
          <w:lang w:val="en-US"/>
        </w:rPr>
        <w:t>4.7</w:t>
      </w:r>
      <w:r w:rsidRPr="008D193E">
        <w:rPr>
          <w:sz w:val="22"/>
          <w:lang w:val="en-US"/>
        </w:rPr>
        <w:t>%</w:t>
      </w:r>
    </w:p>
    <w:p w:rsidR="00675392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23.6</w:t>
      </w:r>
      <w:r w:rsidRPr="008D193E">
        <w:rPr>
          <w:sz w:val="22"/>
          <w:lang w:val="en-US"/>
        </w:rPr>
        <w:t xml:space="preserve">% </w:t>
      </w:r>
    </w:p>
    <w:p w:rsidR="00675392" w:rsidRPr="008D193E" w:rsidRDefault="00675392" w:rsidP="00675392">
      <w:pPr>
        <w:rPr>
          <w:sz w:val="22"/>
          <w:vertAlign w:val="superscript"/>
          <w:lang w:val="en-US"/>
        </w:rPr>
      </w:pPr>
      <w:r w:rsidRPr="008D193E">
        <w:rPr>
          <w:sz w:val="22"/>
          <w:lang w:val="en-US"/>
        </w:rPr>
        <w:t xml:space="preserve">Income status: Lower middle income economy 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High</w:t>
      </w:r>
      <w:r w:rsidRPr="008D193E">
        <w:rPr>
          <w:sz w:val="22"/>
          <w:lang w:val="en-US"/>
        </w:rPr>
        <w:t xml:space="preserve"> human development (ranking 9</w:t>
      </w:r>
      <w:r>
        <w:rPr>
          <w:sz w:val="22"/>
          <w:lang w:val="en-US"/>
        </w:rPr>
        <w:t>5</w:t>
      </w:r>
      <w:r w:rsidRPr="008D193E">
        <w:rPr>
          <w:sz w:val="22"/>
          <w:lang w:val="en-US"/>
        </w:rPr>
        <w:t>)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Per capita total expenditure on health at average exchange rate (US dollar): 2</w:t>
      </w:r>
      <w:r>
        <w:rPr>
          <w:sz w:val="22"/>
          <w:lang w:val="en-US"/>
        </w:rPr>
        <w:t>56</w:t>
      </w:r>
    </w:p>
    <w:p w:rsidR="00675392" w:rsidRPr="008D193E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3</w:t>
      </w:r>
    </w:p>
    <w:p w:rsidR="00675392" w:rsidRDefault="00675392" w:rsidP="00675392">
      <w:pPr>
        <w:rPr>
          <w:sz w:val="22"/>
          <w:lang w:val="en-US"/>
        </w:rPr>
      </w:pPr>
      <w:r w:rsidRPr="008D193E">
        <w:rPr>
          <w:sz w:val="22"/>
          <w:lang w:val="en-US"/>
        </w:rPr>
        <w:t xml:space="preserve">Healthy life expectancy at birth (years): 64 </w:t>
      </w:r>
    </w:p>
    <w:p w:rsidR="00675392" w:rsidRPr="008D193E" w:rsidRDefault="00675392" w:rsidP="00675392">
      <w:pPr>
        <w:rPr>
          <w:sz w:val="22"/>
          <w:lang w:val="en-US"/>
        </w:rPr>
      </w:pPr>
    </w:p>
    <w:p w:rsidR="00675392" w:rsidRPr="008D193E" w:rsidRDefault="00675392" w:rsidP="00675392">
      <w:pPr>
        <w:spacing w:before="100" w:beforeAutospacing="1" w:after="100" w:afterAutospacing="1"/>
        <w:rPr>
          <w:rFonts w:eastAsia="SimSun"/>
          <w:sz w:val="22"/>
          <w:lang w:val="en-US" w:eastAsia="zh-CN"/>
        </w:rPr>
      </w:pPr>
      <w:r w:rsidRPr="008D193E">
        <w:rPr>
          <w:b/>
          <w:sz w:val="22"/>
          <w:lang w:val="en-US"/>
        </w:rPr>
        <w:t>BACKGROUND INFORMATION:</w:t>
      </w: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 xml:space="preserve">VL by </w:t>
      </w:r>
      <w:r w:rsidRPr="00075D41">
        <w:rPr>
          <w:i/>
          <w:iCs/>
          <w:sz w:val="22"/>
          <w:lang w:val="en-GB"/>
        </w:rPr>
        <w:t>L infantum</w:t>
      </w:r>
      <w:r w:rsidRPr="00607738">
        <w:rPr>
          <w:sz w:val="22"/>
          <w:lang w:val="en-GB"/>
        </w:rPr>
        <w:t xml:space="preserve"> was first reported in </w:t>
      </w:r>
      <w:smartTag w:uri="urn:schemas-microsoft-com:office:smarttags" w:element="country-region">
        <w:smartTag w:uri="urn:schemas-microsoft-com:office:smarttags" w:element="place">
          <w:r w:rsidRPr="00607738">
            <w:rPr>
              <w:sz w:val="22"/>
              <w:lang w:val="en-GB"/>
            </w:rPr>
            <w:t>Georgia</w:t>
          </w:r>
        </w:smartTag>
      </w:smartTag>
      <w:r>
        <w:rPr>
          <w:sz w:val="22"/>
          <w:lang w:val="en-GB"/>
        </w:rPr>
        <w:t xml:space="preserve"> </w:t>
      </w:r>
      <w:r w:rsidRPr="00607738">
        <w:rPr>
          <w:sz w:val="22"/>
          <w:lang w:val="en-GB"/>
        </w:rPr>
        <w:t>in 1913. 1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355 local and 15 imported cases of VL were registered in </w:t>
      </w:r>
      <w:smartTag w:uri="urn:schemas-microsoft-com:office:smarttags" w:element="country-region">
        <w:smartTag w:uri="urn:schemas-microsoft-com:office:smarttags" w:element="place">
          <w:r w:rsidRPr="00607738">
            <w:rPr>
              <w:sz w:val="22"/>
              <w:lang w:val="en-GB"/>
            </w:rPr>
            <w:t>Georgia</w:t>
          </w:r>
        </w:smartTag>
      </w:smartTag>
      <w:r w:rsidRPr="00607738">
        <w:rPr>
          <w:sz w:val="22"/>
          <w:lang w:val="en-GB"/>
        </w:rPr>
        <w:t xml:space="preserve"> during the period 1928-1999. All cases were registered in 6 cities and 164 villages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mainly in the </w:t>
      </w:r>
      <w:r>
        <w:rPr>
          <w:sz w:val="22"/>
          <w:lang w:val="en-GB"/>
        </w:rPr>
        <w:t>e</w:t>
      </w:r>
      <w:r w:rsidRPr="00607738">
        <w:rPr>
          <w:sz w:val="22"/>
          <w:lang w:val="en-GB"/>
        </w:rPr>
        <w:t>ast of the country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in South </w:t>
      </w:r>
      <w:proofErr w:type="spellStart"/>
      <w:r w:rsidRPr="00607738">
        <w:rPr>
          <w:sz w:val="22"/>
          <w:lang w:val="en-GB"/>
        </w:rPr>
        <w:t>Kartly</w:t>
      </w:r>
      <w:proofErr w:type="spellEnd"/>
      <w:r w:rsidRPr="00607738">
        <w:rPr>
          <w:sz w:val="22"/>
          <w:lang w:val="en-GB"/>
        </w:rPr>
        <w:t xml:space="preserve"> and </w:t>
      </w:r>
      <w:proofErr w:type="spellStart"/>
      <w:r w:rsidRPr="00607738">
        <w:rPr>
          <w:sz w:val="22"/>
          <w:lang w:val="en-GB"/>
        </w:rPr>
        <w:t>Kahetia</w:t>
      </w:r>
      <w:proofErr w:type="spellEnd"/>
      <w:r w:rsidRPr="00607738">
        <w:rPr>
          <w:sz w:val="22"/>
          <w:lang w:val="en-GB"/>
        </w:rPr>
        <w:t xml:space="preserve"> districts. In the </w:t>
      </w:r>
      <w:r>
        <w:rPr>
          <w:sz w:val="22"/>
          <w:lang w:val="en-GB"/>
        </w:rPr>
        <w:t>following</w:t>
      </w:r>
      <w:r w:rsidRPr="00607738">
        <w:rPr>
          <w:sz w:val="22"/>
          <w:lang w:val="en-GB"/>
        </w:rPr>
        <w:t xml:space="preserve"> years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patients began registering in </w:t>
      </w:r>
      <w:proofErr w:type="spellStart"/>
      <w:r w:rsidRPr="00607738">
        <w:rPr>
          <w:sz w:val="22"/>
          <w:lang w:val="en-GB"/>
        </w:rPr>
        <w:t>Marneul</w:t>
      </w:r>
      <w:proofErr w:type="spellEnd"/>
      <w:r w:rsidRPr="00607738">
        <w:rPr>
          <w:sz w:val="22"/>
          <w:lang w:val="en-GB"/>
        </w:rPr>
        <w:t xml:space="preserve"> and </w:t>
      </w:r>
      <w:proofErr w:type="spellStart"/>
      <w:r w:rsidRPr="00607738">
        <w:rPr>
          <w:sz w:val="22"/>
          <w:lang w:val="en-GB"/>
        </w:rPr>
        <w:t>Bolnis</w:t>
      </w:r>
      <w:proofErr w:type="spellEnd"/>
      <w:r w:rsidRPr="00607738">
        <w:rPr>
          <w:sz w:val="22"/>
          <w:lang w:val="en-GB"/>
        </w:rPr>
        <w:t xml:space="preserve"> districts of </w:t>
      </w:r>
      <w:smartTag w:uri="urn:schemas-microsoft-com:office:smarttags" w:element="City">
        <w:smartTag w:uri="urn:schemas-microsoft-com:office:smarttags" w:element="place">
          <w:r w:rsidRPr="00607738">
            <w:rPr>
              <w:sz w:val="22"/>
              <w:lang w:val="en-GB"/>
            </w:rPr>
            <w:t>Tbilisi</w:t>
          </w:r>
        </w:smartTag>
      </w:smartTag>
      <w:r w:rsidRPr="00607738">
        <w:rPr>
          <w:sz w:val="22"/>
          <w:lang w:val="en-GB"/>
        </w:rPr>
        <w:t xml:space="preserve"> </w:t>
      </w:r>
      <w:r>
        <w:rPr>
          <w:sz w:val="22"/>
          <w:lang w:val="en-GB"/>
        </w:rPr>
        <w:t>[1]</w:t>
      </w:r>
      <w:r w:rsidRPr="00607738">
        <w:rPr>
          <w:sz w:val="22"/>
          <w:lang w:val="en-GB"/>
        </w:rPr>
        <w:t xml:space="preserve">. The number of cases </w:t>
      </w:r>
      <w:r>
        <w:rPr>
          <w:sz w:val="22"/>
          <w:lang w:val="en-GB"/>
        </w:rPr>
        <w:t>ha</w:t>
      </w:r>
      <w:r w:rsidRPr="00607738">
        <w:rPr>
          <w:sz w:val="22"/>
          <w:lang w:val="en-GB"/>
        </w:rPr>
        <w:t xml:space="preserve">s </w:t>
      </w:r>
      <w:r>
        <w:rPr>
          <w:sz w:val="22"/>
          <w:lang w:val="en-GB"/>
        </w:rPr>
        <w:t xml:space="preserve">been </w:t>
      </w:r>
      <w:r w:rsidRPr="00607738">
        <w:rPr>
          <w:sz w:val="22"/>
          <w:lang w:val="en-GB"/>
        </w:rPr>
        <w:t>increasing since 1996 (</w:t>
      </w:r>
      <w:r>
        <w:rPr>
          <w:sz w:val="22"/>
          <w:lang w:val="en-GB"/>
        </w:rPr>
        <w:t xml:space="preserve">from </w:t>
      </w:r>
      <w:r w:rsidRPr="00607738">
        <w:rPr>
          <w:sz w:val="22"/>
          <w:lang w:val="en-GB"/>
        </w:rPr>
        <w:t xml:space="preserve">20 cases in 1996 to </w:t>
      </w:r>
      <w:smartTag w:uri="urn:schemas-microsoft-com:office:smarttags" w:element="metricconverter">
        <w:smartTagPr>
          <w:attr w:name="ProductID" w:val="182 in"/>
        </w:smartTagPr>
        <w:r w:rsidRPr="00607738">
          <w:rPr>
            <w:sz w:val="22"/>
            <w:lang w:val="en-GB"/>
          </w:rPr>
          <w:t>182 in</w:t>
        </w:r>
      </w:smartTag>
      <w:r w:rsidRPr="00607738">
        <w:rPr>
          <w:sz w:val="22"/>
          <w:lang w:val="en-GB"/>
        </w:rPr>
        <w:t xml:space="preserve"> 2008) and </w:t>
      </w:r>
      <w:r>
        <w:rPr>
          <w:sz w:val="22"/>
          <w:lang w:val="en-GB"/>
        </w:rPr>
        <w:t xml:space="preserve">has also been </w:t>
      </w:r>
      <w:r w:rsidRPr="00607738">
        <w:rPr>
          <w:sz w:val="22"/>
          <w:lang w:val="en-GB"/>
        </w:rPr>
        <w:t>spreading to new areas. Between 2004 and 2008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10 cases occurred in </w:t>
      </w:r>
      <w:r>
        <w:rPr>
          <w:sz w:val="22"/>
          <w:lang w:val="en-GB"/>
        </w:rPr>
        <w:t>w</w:t>
      </w:r>
      <w:r w:rsidRPr="00607738">
        <w:rPr>
          <w:sz w:val="22"/>
          <w:lang w:val="en-GB"/>
        </w:rPr>
        <w:t xml:space="preserve">est Georgia, a previously non endemic area </w:t>
      </w:r>
      <w:r>
        <w:rPr>
          <w:sz w:val="22"/>
          <w:lang w:val="en-GB"/>
        </w:rPr>
        <w:t>[2]</w:t>
      </w:r>
      <w:r w:rsidRPr="00607738">
        <w:rPr>
          <w:sz w:val="22"/>
          <w:lang w:val="en-GB"/>
        </w:rPr>
        <w:t xml:space="preserve">. The main endemic area is between </w:t>
      </w:r>
      <w:smartTag w:uri="urn:schemas-microsoft-com:office:smarttags" w:element="City">
        <w:r w:rsidRPr="00607738">
          <w:rPr>
            <w:sz w:val="22"/>
            <w:lang w:val="en-GB"/>
          </w:rPr>
          <w:t>Tbilisi</w:t>
        </w:r>
      </w:smartTag>
      <w:r w:rsidRPr="00607738">
        <w:rPr>
          <w:sz w:val="22"/>
          <w:lang w:val="en-GB"/>
        </w:rPr>
        <w:t xml:space="preserve"> and the Armenian border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with many cases occurring in the capital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07738">
            <w:rPr>
              <w:sz w:val="22"/>
              <w:lang w:val="en-GB"/>
            </w:rPr>
            <w:t>Tbilisi</w:t>
          </w:r>
        </w:smartTag>
      </w:smartTag>
      <w:r>
        <w:rPr>
          <w:sz w:val="22"/>
          <w:lang w:val="en-GB"/>
        </w:rPr>
        <w:t>, which</w:t>
      </w:r>
      <w:r w:rsidRPr="00607738">
        <w:rPr>
          <w:sz w:val="22"/>
          <w:lang w:val="en-GB"/>
        </w:rPr>
        <w:t xml:space="preserve"> is an active focus with a high prevalence of human and canine cases. Most cases are recorded in children </w:t>
      </w:r>
      <w:r>
        <w:rPr>
          <w:sz w:val="22"/>
          <w:lang w:val="en-GB"/>
        </w:rPr>
        <w:t>[3]</w:t>
      </w:r>
      <w:r w:rsidRPr="00607738">
        <w:rPr>
          <w:sz w:val="22"/>
          <w:lang w:val="en-GB"/>
        </w:rPr>
        <w:t xml:space="preserve">. There </w:t>
      </w:r>
      <w:proofErr w:type="gramStart"/>
      <w:r w:rsidRPr="00607738">
        <w:rPr>
          <w:sz w:val="22"/>
          <w:lang w:val="en-GB"/>
        </w:rPr>
        <w:t>is</w:t>
      </w:r>
      <w:proofErr w:type="gramEnd"/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however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also a relatively high number of adult cases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indicating that the disease seem</w:t>
      </w:r>
      <w:r>
        <w:rPr>
          <w:sz w:val="22"/>
          <w:lang w:val="en-GB"/>
        </w:rPr>
        <w:t>s</w:t>
      </w:r>
      <w:r w:rsidRPr="00607738">
        <w:rPr>
          <w:sz w:val="22"/>
          <w:lang w:val="en-GB"/>
        </w:rPr>
        <w:t xml:space="preserve"> to re-emerge from an endemic to an epidemic situation. </w:t>
      </w:r>
    </w:p>
    <w:p w:rsidR="00675392" w:rsidRDefault="00675392" w:rsidP="00675392">
      <w:pPr>
        <w:ind w:left="0" w:firstLine="0"/>
        <w:rPr>
          <w:sz w:val="22"/>
          <w:lang w:val="en-GB"/>
        </w:rPr>
      </w:pP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>Two cases of</w:t>
      </w:r>
      <w:r w:rsidRPr="00462A27">
        <w:rPr>
          <w:i/>
          <w:iCs/>
          <w:sz w:val="22"/>
          <w:lang w:val="en-GB"/>
        </w:rPr>
        <w:t xml:space="preserve"> Leishmania</w:t>
      </w:r>
      <w:r w:rsidRPr="00607738">
        <w:rPr>
          <w:sz w:val="22"/>
          <w:lang w:val="en-GB"/>
        </w:rPr>
        <w:t>/HIV co</w:t>
      </w:r>
      <w:r>
        <w:rPr>
          <w:sz w:val="22"/>
          <w:lang w:val="en-GB"/>
        </w:rPr>
        <w:t>-</w:t>
      </w:r>
      <w:r w:rsidRPr="00607738">
        <w:rPr>
          <w:sz w:val="22"/>
          <w:lang w:val="en-GB"/>
        </w:rPr>
        <w:t>infection were diagnosed in 2008</w:t>
      </w:r>
      <w:r>
        <w:rPr>
          <w:sz w:val="22"/>
          <w:lang w:val="en-GB"/>
        </w:rPr>
        <w:t>;</w:t>
      </w:r>
      <w:r w:rsidRPr="00607738">
        <w:rPr>
          <w:sz w:val="22"/>
          <w:lang w:val="en-GB"/>
        </w:rPr>
        <w:t xml:space="preserve"> both of </w:t>
      </w:r>
      <w:r>
        <w:rPr>
          <w:sz w:val="22"/>
          <w:lang w:val="en-GB"/>
        </w:rPr>
        <w:t>the</w:t>
      </w:r>
      <w:r w:rsidRPr="00607738">
        <w:rPr>
          <w:sz w:val="22"/>
          <w:lang w:val="en-GB"/>
        </w:rPr>
        <w:t xml:space="preserve">m died. </w:t>
      </w:r>
    </w:p>
    <w:p w:rsidR="00675392" w:rsidRDefault="00675392" w:rsidP="00675392">
      <w:pPr>
        <w:ind w:left="0" w:firstLine="0"/>
        <w:rPr>
          <w:sz w:val="22"/>
          <w:lang w:val="en-GB"/>
        </w:rPr>
      </w:pPr>
    </w:p>
    <w:p w:rsidR="00675392" w:rsidRPr="00607738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 xml:space="preserve">Cutaneous leishmaniasis is less frequent. 125 CL cases were registered in </w:t>
      </w:r>
      <w:r>
        <w:rPr>
          <w:sz w:val="22"/>
          <w:lang w:val="en-GB"/>
        </w:rPr>
        <w:t xml:space="preserve">the period </w:t>
      </w:r>
      <w:r w:rsidRPr="00607738">
        <w:rPr>
          <w:sz w:val="22"/>
          <w:lang w:val="en-GB"/>
        </w:rPr>
        <w:t>1928-1964,</w:t>
      </w:r>
      <w:r>
        <w:rPr>
          <w:sz w:val="22"/>
          <w:lang w:val="en-GB"/>
        </w:rPr>
        <w:t xml:space="preserve"> </w:t>
      </w:r>
      <w:r w:rsidRPr="00607738">
        <w:rPr>
          <w:sz w:val="22"/>
          <w:lang w:val="en-GB"/>
        </w:rPr>
        <w:t>of which 110 (88</w:t>
      </w:r>
      <w:r>
        <w:rPr>
          <w:sz w:val="22"/>
          <w:lang w:val="en-GB"/>
        </w:rPr>
        <w:t>.</w:t>
      </w:r>
      <w:r w:rsidRPr="00607738">
        <w:rPr>
          <w:sz w:val="22"/>
          <w:lang w:val="en-GB"/>
        </w:rPr>
        <w:t xml:space="preserve">0%) occurred in </w:t>
      </w:r>
      <w:smartTag w:uri="urn:schemas-microsoft-com:office:smarttags" w:element="City">
        <w:r w:rsidRPr="00607738">
          <w:rPr>
            <w:sz w:val="22"/>
            <w:lang w:val="en-GB"/>
          </w:rPr>
          <w:t>Tbilisi</w:t>
        </w:r>
      </w:smartTag>
      <w:r w:rsidRPr="00607738">
        <w:rPr>
          <w:sz w:val="22"/>
          <w:lang w:val="en-GB"/>
        </w:rPr>
        <w:t xml:space="preserve"> and villages situated in the </w:t>
      </w:r>
      <w:r>
        <w:rPr>
          <w:sz w:val="22"/>
          <w:lang w:val="en-GB"/>
        </w:rPr>
        <w:t>w</w:t>
      </w:r>
      <w:r w:rsidRPr="00607738">
        <w:rPr>
          <w:sz w:val="22"/>
          <w:lang w:val="en-GB"/>
        </w:rPr>
        <w:t xml:space="preserve">estern part of the </w:t>
      </w:r>
      <w:smartTag w:uri="urn:schemas-microsoft-com:office:smarttags" w:element="place">
        <w:r w:rsidRPr="00607738">
          <w:rPr>
            <w:sz w:val="22"/>
            <w:lang w:val="en-GB"/>
          </w:rPr>
          <w:t>Kura</w:t>
        </w:r>
      </w:smartTag>
      <w:r w:rsidRPr="00607738">
        <w:rPr>
          <w:sz w:val="22"/>
          <w:lang w:val="en-GB"/>
        </w:rPr>
        <w:t xml:space="preserve"> river valley. After a long interval </w:t>
      </w:r>
      <w:proofErr w:type="gramStart"/>
      <w:r>
        <w:rPr>
          <w:sz w:val="22"/>
          <w:lang w:val="en-GB"/>
        </w:rPr>
        <w:t xml:space="preserve">with </w:t>
      </w:r>
      <w:r w:rsidRPr="00607738">
        <w:rPr>
          <w:sz w:val="22"/>
          <w:lang w:val="en-GB"/>
        </w:rPr>
        <w:t xml:space="preserve"> no</w:t>
      </w:r>
      <w:proofErr w:type="gramEnd"/>
      <w:r w:rsidRPr="00607738">
        <w:rPr>
          <w:sz w:val="22"/>
          <w:lang w:val="en-GB"/>
        </w:rPr>
        <w:t xml:space="preserve"> registered cases, new cases of CL started to appear. Mandatory registration of CL started in 2001. From </w:t>
      </w:r>
      <w:r>
        <w:rPr>
          <w:sz w:val="22"/>
          <w:lang w:val="en-GB"/>
        </w:rPr>
        <w:t>2001</w:t>
      </w:r>
      <w:r w:rsidRPr="00607738">
        <w:rPr>
          <w:sz w:val="22"/>
          <w:lang w:val="en-GB"/>
        </w:rPr>
        <w:t xml:space="preserve"> until 2007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1-5 cases of CL were reported yearly, which increased to 12 cases</w:t>
      </w:r>
      <w:r>
        <w:rPr>
          <w:sz w:val="22"/>
          <w:lang w:val="en-GB"/>
        </w:rPr>
        <w:t xml:space="preserve"> </w:t>
      </w:r>
      <w:r w:rsidRPr="00607738">
        <w:rPr>
          <w:sz w:val="22"/>
          <w:lang w:val="en-GB"/>
        </w:rPr>
        <w:t xml:space="preserve">in 2008-2009, 8 of them in </w:t>
      </w:r>
      <w:smartTag w:uri="urn:schemas-microsoft-com:office:smarttags" w:element="City">
        <w:smartTag w:uri="urn:schemas-microsoft-com:office:smarttags" w:element="place">
          <w:r w:rsidRPr="00607738">
            <w:rPr>
              <w:sz w:val="22"/>
              <w:lang w:val="en-GB"/>
            </w:rPr>
            <w:t>Tbilisi</w:t>
          </w:r>
        </w:smartTag>
      </w:smartTag>
      <w:r w:rsidRPr="00607738">
        <w:rPr>
          <w:sz w:val="22"/>
          <w:lang w:val="en-GB"/>
        </w:rPr>
        <w:t xml:space="preserve">. Both CL </w:t>
      </w:r>
      <w:r w:rsidRPr="00607738">
        <w:rPr>
          <w:sz w:val="22"/>
          <w:lang w:val="en-GB"/>
        </w:rPr>
        <w:lastRenderedPageBreak/>
        <w:t xml:space="preserve">and VL are underreported, due to their relatively recent re-emergence and a consequent lack of awareness and </w:t>
      </w:r>
      <w:r>
        <w:rPr>
          <w:sz w:val="22"/>
          <w:lang w:val="en-GB"/>
        </w:rPr>
        <w:t>the</w:t>
      </w:r>
      <w:r w:rsidRPr="00607738">
        <w:rPr>
          <w:sz w:val="22"/>
          <w:lang w:val="en-GB"/>
        </w:rPr>
        <w:t xml:space="preserve"> lack of a training program for medical doctors. </w:t>
      </w: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b/>
          <w:bCs/>
          <w:sz w:val="22"/>
        </w:rPr>
      </w:pPr>
      <w:r w:rsidRPr="00EE6A36">
        <w:rPr>
          <w:b/>
          <w:bCs/>
          <w:sz w:val="22"/>
        </w:rPr>
        <w:t>PARASITOLOGICAL INFORMATION</w:t>
      </w:r>
    </w:p>
    <w:p w:rsidR="00675392" w:rsidRDefault="00675392" w:rsidP="00675392">
      <w:pPr>
        <w:rPr>
          <w:b/>
          <w:bCs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7"/>
        <w:gridCol w:w="1621"/>
        <w:gridCol w:w="2956"/>
        <w:gridCol w:w="1708"/>
      </w:tblGrid>
      <w:tr w:rsidR="00675392" w:rsidRPr="002C75B8" w:rsidTr="00A7768B">
        <w:trPr>
          <w:trHeight w:val="385"/>
        </w:trPr>
        <w:tc>
          <w:tcPr>
            <w:tcW w:w="0" w:type="auto"/>
            <w:tcBorders>
              <w:top w:val="single" w:sz="12" w:space="0" w:color="376092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675392" w:rsidRPr="002C75B8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 xml:space="preserve"> </w:t>
            </w:r>
            <w:r w:rsidRPr="002C75B8">
              <w:rPr>
                <w:i/>
                <w:iCs/>
                <w:sz w:val="22"/>
                <w:lang w:val="en-US"/>
              </w:rPr>
              <w:t>L. infantum</w:t>
            </w:r>
            <w:r w:rsidRPr="002C75B8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2C75B8" w:rsidRDefault="00675392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ZVL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1B5A4E" w:rsidRDefault="00675392" w:rsidP="00A7768B">
            <w:pPr>
              <w:rPr>
                <w:i/>
                <w:iCs/>
                <w:sz w:val="22"/>
                <w:lang w:val="en-US"/>
              </w:rPr>
            </w:pPr>
            <w:r w:rsidRPr="001B5A4E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1B5A4E">
              <w:rPr>
                <w:i/>
                <w:iCs/>
                <w:sz w:val="22"/>
                <w:lang w:val="en-US"/>
              </w:rPr>
              <w:t>kandelakii</w:t>
            </w:r>
            <w:proofErr w:type="spellEnd"/>
            <w:r w:rsidRPr="001B5A4E">
              <w:rPr>
                <w:i/>
                <w:iCs/>
                <w:sz w:val="22"/>
                <w:lang w:val="en-US"/>
              </w:rPr>
              <w:t xml:space="preserve">, P. </w:t>
            </w:r>
            <w:proofErr w:type="spellStart"/>
            <w:r w:rsidRPr="001B5A4E">
              <w:rPr>
                <w:i/>
                <w:iCs/>
                <w:sz w:val="22"/>
                <w:lang w:val="en-US"/>
              </w:rPr>
              <w:t>balcanicus</w:t>
            </w:r>
            <w:proofErr w:type="spellEnd"/>
            <w:r w:rsidRPr="001B5A4E">
              <w:rPr>
                <w:i/>
                <w:iCs/>
                <w:sz w:val="22"/>
                <w:lang w:val="en-US"/>
              </w:rPr>
              <w:t xml:space="preserve">, </w:t>
            </w:r>
          </w:p>
          <w:p w:rsidR="00675392" w:rsidRPr="001B5A4E" w:rsidRDefault="00675392" w:rsidP="00A7768B">
            <w:pPr>
              <w:ind w:left="0" w:firstLine="0"/>
              <w:rPr>
                <w:sz w:val="22"/>
                <w:lang w:val="es-ES"/>
              </w:rPr>
            </w:pPr>
            <w:r w:rsidRPr="001B5A4E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1B5A4E">
              <w:rPr>
                <w:i/>
                <w:iCs/>
                <w:sz w:val="22"/>
                <w:lang w:val="en-US"/>
              </w:rPr>
              <w:t>halepensi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075D41" w:rsidRDefault="00675392" w:rsidP="00A7768B">
            <w:pPr>
              <w:ind w:left="0" w:firstLine="0"/>
              <w:rPr>
                <w:i/>
                <w:iCs/>
                <w:sz w:val="22"/>
                <w:lang w:val="es-ES"/>
              </w:rPr>
            </w:pPr>
            <w:proofErr w:type="spellStart"/>
            <w:r w:rsidRPr="00075D41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075D41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075D41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  <w:tr w:rsidR="00675392" w:rsidRPr="002C75B8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1B5A4E" w:rsidRDefault="00675392" w:rsidP="00A7768B">
            <w:pPr>
              <w:rPr>
                <w:sz w:val="22"/>
                <w:lang w:val="en-US"/>
              </w:rPr>
            </w:pPr>
            <w:r w:rsidRPr="001B5A4E">
              <w:rPr>
                <w:i/>
                <w:iCs/>
                <w:sz w:val="22"/>
                <w:lang w:val="en-US"/>
              </w:rPr>
              <w:t>L. major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2C75B8" w:rsidRDefault="00675392" w:rsidP="00A7768B">
            <w:pPr>
              <w:rPr>
                <w:sz w:val="22"/>
                <w:lang w:val="en-US"/>
              </w:rPr>
            </w:pPr>
            <w:r w:rsidRPr="00E87597">
              <w:rPr>
                <w:lang w:val="en-US"/>
              </w:rPr>
              <w:t>CL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1B5A4E" w:rsidRDefault="00675392" w:rsidP="00A7768B">
            <w:pPr>
              <w:rPr>
                <w:sz w:val="22"/>
                <w:lang w:val="en-US"/>
              </w:rPr>
            </w:pPr>
            <w:r w:rsidRPr="001B5A4E">
              <w:rPr>
                <w:sz w:val="22"/>
                <w:lang w:val="en-US"/>
              </w:rPr>
              <w:t>unknown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75392" w:rsidRPr="00075D41" w:rsidRDefault="00675392" w:rsidP="00A7768B">
            <w:pPr>
              <w:rPr>
                <w:i/>
                <w:iCs/>
                <w:sz w:val="22"/>
                <w:lang w:val="en-US"/>
              </w:rPr>
            </w:pPr>
          </w:p>
        </w:tc>
      </w:tr>
    </w:tbl>
    <w:p w:rsidR="00675392" w:rsidRDefault="00675392" w:rsidP="00675392">
      <w:pPr>
        <w:rPr>
          <w:b/>
          <w:bCs/>
          <w:sz w:val="22"/>
        </w:rPr>
      </w:pPr>
    </w:p>
    <w:p w:rsidR="00675392" w:rsidRDefault="00675392" w:rsidP="00675392">
      <w:pPr>
        <w:rPr>
          <w:b/>
          <w:bCs/>
          <w:sz w:val="22"/>
        </w:rPr>
      </w:pPr>
    </w:p>
    <w:p w:rsidR="00675392" w:rsidRPr="00A6039B" w:rsidRDefault="00675392" w:rsidP="00675392">
      <w:pPr>
        <w:rPr>
          <w:b/>
          <w:bCs/>
          <w:sz w:val="22"/>
          <w:lang w:val="en-GB"/>
        </w:rPr>
      </w:pPr>
      <w:r w:rsidRPr="00A6039B">
        <w:rPr>
          <w:b/>
          <w:bCs/>
          <w:sz w:val="22"/>
          <w:lang w:val="en-GB"/>
        </w:rPr>
        <w:t>MAPS AND TRENDS</w:t>
      </w:r>
    </w:p>
    <w:p w:rsidR="00675392" w:rsidRPr="00A6039B" w:rsidRDefault="00675392" w:rsidP="00675392">
      <w:pPr>
        <w:rPr>
          <w:b/>
          <w:bCs/>
          <w:sz w:val="22"/>
          <w:lang w:val="en-GB"/>
        </w:rPr>
      </w:pPr>
    </w:p>
    <w:p w:rsidR="00675392" w:rsidRPr="00A6039B" w:rsidRDefault="00675392" w:rsidP="00675392">
      <w:pPr>
        <w:rPr>
          <w:rFonts w:eastAsia="Times New Roman"/>
          <w:lang w:val="en-GB" w:eastAsia="es-ES"/>
        </w:rPr>
      </w:pPr>
      <w:r w:rsidRPr="00A6039B">
        <w:rPr>
          <w:b/>
          <w:bCs/>
          <w:sz w:val="22"/>
          <w:lang w:val="en-GB"/>
        </w:rPr>
        <w:t xml:space="preserve">Visceral leishmaniasis </w:t>
      </w:r>
    </w:p>
    <w:p w:rsidR="00675392" w:rsidRDefault="00675392" w:rsidP="00675392">
      <w:pPr>
        <w:rPr>
          <w:sz w:val="22"/>
          <w:lang w:val="en-GB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120015</wp:posOffset>
            </wp:positionV>
            <wp:extent cx="3200400" cy="2262505"/>
            <wp:effectExtent l="19050" t="0" r="0" b="0"/>
            <wp:wrapNone/>
            <wp:docPr id="7" name="Picture 7" descr="GE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120015</wp:posOffset>
            </wp:positionV>
            <wp:extent cx="3200400" cy="22618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sz w:val="22"/>
          <w:lang w:val="en-GB"/>
        </w:rPr>
      </w:pPr>
    </w:p>
    <w:p w:rsidR="00675392" w:rsidRPr="00462A27" w:rsidRDefault="00675392" w:rsidP="00675392">
      <w:pPr>
        <w:rPr>
          <w:b/>
          <w:sz w:val="22"/>
          <w:lang w:val="en-GB"/>
        </w:rPr>
      </w:pPr>
      <w:r w:rsidRPr="00462A27">
        <w:rPr>
          <w:b/>
          <w:sz w:val="22"/>
          <w:lang w:val="en-GB"/>
        </w:rPr>
        <w:t>Cutaneous leishmaniasis</w:t>
      </w: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971800" cy="2101215"/>
            <wp:effectExtent l="19050" t="0" r="0" b="0"/>
            <wp:docPr id="3" name="Picture 3" descr="GE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  <w:r w:rsidRPr="0017049F">
        <w:rPr>
          <w:b/>
          <w:bCs/>
          <w:sz w:val="22"/>
          <w:lang w:val="en-GB"/>
        </w:rPr>
        <w:lastRenderedPageBreak/>
        <w:t>Visceral leishmaniasis trend</w:t>
      </w:r>
    </w:p>
    <w:p w:rsidR="00675392" w:rsidRDefault="00675392" w:rsidP="00675392">
      <w:pPr>
        <w:rPr>
          <w:bCs/>
          <w:sz w:val="22"/>
          <w:lang w:val="en-GB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67945</wp:posOffset>
            </wp:positionV>
            <wp:extent cx="6745605" cy="251460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Pr="0017049F" w:rsidRDefault="00675392" w:rsidP="00675392">
      <w:pPr>
        <w:rPr>
          <w:b/>
          <w:bCs/>
          <w:sz w:val="22"/>
          <w:lang w:val="en-GB"/>
        </w:rPr>
      </w:pPr>
      <w:r w:rsidRPr="0017049F">
        <w:rPr>
          <w:b/>
          <w:bCs/>
          <w:sz w:val="22"/>
          <w:lang w:val="en-GB"/>
        </w:rPr>
        <w:t>Cutaneous leishmaniasis trend</w:t>
      </w:r>
    </w:p>
    <w:p w:rsidR="00675392" w:rsidRDefault="00675392" w:rsidP="00675392">
      <w:pPr>
        <w:rPr>
          <w:bCs/>
          <w:sz w:val="22"/>
          <w:lang w:val="en-GB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33655</wp:posOffset>
            </wp:positionV>
            <wp:extent cx="5943600" cy="2057400"/>
            <wp:effectExtent l="0" t="0" r="0" b="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Default="00675392" w:rsidP="00675392">
      <w:pPr>
        <w:rPr>
          <w:bCs/>
          <w:sz w:val="22"/>
          <w:lang w:val="en-GB"/>
        </w:rPr>
      </w:pPr>
    </w:p>
    <w:p w:rsidR="00675392" w:rsidRPr="00B37375" w:rsidRDefault="00675392" w:rsidP="00675392">
      <w:pPr>
        <w:rPr>
          <w:rFonts w:eastAsia="Times New Roman"/>
          <w:b/>
          <w:bCs/>
          <w:sz w:val="22"/>
          <w:lang w:val="en-GB" w:eastAsia="es-ES"/>
        </w:rPr>
      </w:pPr>
      <w:r w:rsidRPr="00B37375">
        <w:rPr>
          <w:rFonts w:eastAsia="Times New Roman"/>
          <w:b/>
          <w:bCs/>
          <w:sz w:val="22"/>
          <w:lang w:val="en-GB" w:eastAsia="es-ES"/>
        </w:rPr>
        <w:t>CONTROL</w:t>
      </w:r>
    </w:p>
    <w:p w:rsidR="00675392" w:rsidRPr="008D193E" w:rsidRDefault="00675392" w:rsidP="00675392">
      <w:pPr>
        <w:rPr>
          <w:bCs/>
          <w:sz w:val="22"/>
          <w:lang w:val="en-GB"/>
        </w:rPr>
      </w:pPr>
    </w:p>
    <w:p w:rsidR="00675392" w:rsidRPr="008D193E" w:rsidRDefault="00675392" w:rsidP="00675392">
      <w:pPr>
        <w:ind w:left="0" w:firstLine="0"/>
        <w:rPr>
          <w:sz w:val="22"/>
          <w:lang w:val="en-GB"/>
        </w:rPr>
      </w:pPr>
      <w:r w:rsidRPr="008D193E">
        <w:rPr>
          <w:bCs/>
          <w:sz w:val="22"/>
          <w:lang w:val="en-GB"/>
        </w:rPr>
        <w:t xml:space="preserve">The notification of leishmaniasis is mandatory in the country. There is no </w:t>
      </w:r>
      <w:r w:rsidRPr="008D193E">
        <w:rPr>
          <w:bCs/>
          <w:sz w:val="22"/>
          <w:lang w:val="en-US"/>
        </w:rPr>
        <w:t xml:space="preserve">national </w:t>
      </w:r>
      <w:r>
        <w:rPr>
          <w:bCs/>
          <w:sz w:val="22"/>
          <w:lang w:val="en-US"/>
        </w:rPr>
        <w:t>l</w:t>
      </w:r>
      <w:r w:rsidRPr="008D193E">
        <w:rPr>
          <w:bCs/>
          <w:sz w:val="22"/>
          <w:lang w:val="en-US"/>
        </w:rPr>
        <w:t>eishmaniasis control program.</w:t>
      </w:r>
      <w:r>
        <w:rPr>
          <w:bCs/>
          <w:sz w:val="22"/>
          <w:lang w:val="en-US"/>
        </w:rPr>
        <w:t xml:space="preserve"> </w:t>
      </w:r>
      <w:r w:rsidRPr="008D193E">
        <w:rPr>
          <w:bCs/>
          <w:sz w:val="22"/>
          <w:lang w:val="en-US"/>
        </w:rPr>
        <w:t xml:space="preserve">There is no leishmaniasis vector control program and no </w:t>
      </w:r>
      <w:proofErr w:type="spellStart"/>
      <w:r w:rsidRPr="008D193E">
        <w:rPr>
          <w:bCs/>
          <w:sz w:val="22"/>
          <w:lang w:val="en-US"/>
        </w:rPr>
        <w:t>bednet</w:t>
      </w:r>
      <w:proofErr w:type="spellEnd"/>
      <w:r w:rsidRPr="008D193E">
        <w:rPr>
          <w:bCs/>
          <w:sz w:val="22"/>
          <w:lang w:val="en-US"/>
        </w:rPr>
        <w:t xml:space="preserve"> distribution program. Insecticide spraying is not done and there is no leishmaniasis reservoir control program. </w:t>
      </w:r>
    </w:p>
    <w:p w:rsidR="00675392" w:rsidRDefault="00675392" w:rsidP="00675392">
      <w:pPr>
        <w:rPr>
          <w:b/>
          <w:bCs/>
          <w:sz w:val="22"/>
          <w:lang w:val="en-GB"/>
        </w:rPr>
      </w:pPr>
    </w:p>
    <w:p w:rsidR="00675392" w:rsidRPr="008D193E" w:rsidRDefault="00675392" w:rsidP="00675392">
      <w:pPr>
        <w:rPr>
          <w:b/>
          <w:bCs/>
          <w:sz w:val="22"/>
          <w:lang w:val="en-GB"/>
        </w:rPr>
      </w:pPr>
    </w:p>
    <w:p w:rsidR="00675392" w:rsidRPr="008D193E" w:rsidRDefault="00675392" w:rsidP="00675392">
      <w:pPr>
        <w:spacing w:line="480" w:lineRule="auto"/>
        <w:rPr>
          <w:b/>
          <w:sz w:val="22"/>
          <w:lang w:val="en-US"/>
        </w:rPr>
      </w:pPr>
      <w:r w:rsidRPr="008D193E">
        <w:rPr>
          <w:b/>
          <w:sz w:val="22"/>
          <w:lang w:val="en-US"/>
        </w:rPr>
        <w:t>DIAGNOSIS, TREATMENT</w:t>
      </w:r>
      <w:r w:rsidRPr="008D193E">
        <w:rPr>
          <w:bCs/>
          <w:sz w:val="22"/>
          <w:lang w:val="en-US"/>
        </w:rPr>
        <w:t xml:space="preserve"> </w:t>
      </w:r>
    </w:p>
    <w:p w:rsidR="00675392" w:rsidRPr="00462A27" w:rsidRDefault="00675392" w:rsidP="00675392">
      <w:pPr>
        <w:rPr>
          <w:b/>
          <w:bCs/>
          <w:sz w:val="22"/>
          <w:lang w:val="en-GB"/>
        </w:rPr>
      </w:pPr>
      <w:r w:rsidRPr="00462A27">
        <w:rPr>
          <w:b/>
          <w:bCs/>
          <w:sz w:val="22"/>
          <w:lang w:val="en-GB"/>
        </w:rPr>
        <w:t>Diagnosis</w:t>
      </w:r>
    </w:p>
    <w:p w:rsidR="00675392" w:rsidRPr="00675392" w:rsidRDefault="00675392" w:rsidP="00675392">
      <w:pPr>
        <w:ind w:left="0" w:firstLine="0"/>
        <w:rPr>
          <w:sz w:val="22"/>
          <w:lang w:val="en-GB"/>
        </w:rPr>
      </w:pPr>
      <w:r w:rsidRPr="00675392">
        <w:rPr>
          <w:bCs/>
          <w:sz w:val="22"/>
          <w:lang w:val="en-GB"/>
        </w:rPr>
        <w:t>CL</w:t>
      </w:r>
      <w:r w:rsidRPr="00675392">
        <w:rPr>
          <w:sz w:val="22"/>
          <w:lang w:val="en-GB"/>
        </w:rPr>
        <w:t>: on clinical grounds, in rare cases confirmation with microsc</w:t>
      </w:r>
      <w:r>
        <w:rPr>
          <w:sz w:val="22"/>
          <w:lang w:val="en-GB"/>
        </w:rPr>
        <w:t xml:space="preserve">opic examination of skin lesion </w:t>
      </w:r>
      <w:r w:rsidRPr="00675392">
        <w:rPr>
          <w:sz w:val="22"/>
          <w:lang w:val="en-GB"/>
        </w:rPr>
        <w:t xml:space="preserve">sample. </w:t>
      </w:r>
    </w:p>
    <w:p w:rsidR="00675392" w:rsidRPr="00607738" w:rsidRDefault="00675392" w:rsidP="00675392">
      <w:pPr>
        <w:rPr>
          <w:sz w:val="22"/>
          <w:lang w:val="en-GB"/>
        </w:rPr>
      </w:pPr>
      <w:r w:rsidRPr="00675392">
        <w:rPr>
          <w:bCs/>
          <w:sz w:val="22"/>
          <w:lang w:val="en-GB"/>
        </w:rPr>
        <w:t>VL</w:t>
      </w:r>
      <w:r w:rsidRPr="00675392">
        <w:rPr>
          <w:sz w:val="22"/>
          <w:lang w:val="en-GB"/>
        </w:rPr>
        <w:t>: microscopic</w:t>
      </w:r>
      <w:r w:rsidRPr="00607738">
        <w:rPr>
          <w:sz w:val="22"/>
          <w:lang w:val="en-GB"/>
        </w:rPr>
        <w:t xml:space="preserve"> examination of bone marrow aspirate</w:t>
      </w:r>
      <w:r>
        <w:rPr>
          <w:sz w:val="22"/>
          <w:lang w:val="en-GB"/>
        </w:rPr>
        <w:t>.</w:t>
      </w:r>
      <w:r w:rsidRPr="00607738">
        <w:rPr>
          <w:sz w:val="22"/>
          <w:lang w:val="en-GB"/>
        </w:rPr>
        <w:t xml:space="preserve"> </w:t>
      </w:r>
    </w:p>
    <w:p w:rsidR="00675392" w:rsidRPr="00607738" w:rsidRDefault="00675392" w:rsidP="00675392">
      <w:pPr>
        <w:rPr>
          <w:sz w:val="22"/>
          <w:lang w:val="en-GB"/>
        </w:rPr>
      </w:pPr>
      <w:r w:rsidRPr="00607738">
        <w:rPr>
          <w:sz w:val="22"/>
          <w:lang w:val="en-GB"/>
        </w:rPr>
        <w:t xml:space="preserve"> </w:t>
      </w:r>
    </w:p>
    <w:p w:rsidR="00675392" w:rsidRPr="00462A27" w:rsidRDefault="00675392" w:rsidP="00675392">
      <w:pPr>
        <w:rPr>
          <w:b/>
          <w:bCs/>
          <w:sz w:val="22"/>
          <w:lang w:val="en-GB"/>
        </w:rPr>
      </w:pPr>
      <w:r w:rsidRPr="00462A27">
        <w:rPr>
          <w:b/>
          <w:bCs/>
          <w:sz w:val="22"/>
          <w:lang w:val="en-GB"/>
        </w:rPr>
        <w:t>Treatment</w:t>
      </w: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75392">
        <w:rPr>
          <w:bCs/>
          <w:sz w:val="22"/>
          <w:lang w:val="en-GB"/>
        </w:rPr>
        <w:t>VL</w:t>
      </w:r>
      <w:r w:rsidRPr="00675392">
        <w:rPr>
          <w:sz w:val="22"/>
          <w:lang w:val="en-GB"/>
        </w:rPr>
        <w:t xml:space="preserve">: antimonials, 20 mg </w:t>
      </w:r>
      <w:proofErr w:type="spellStart"/>
      <w:r w:rsidRPr="00675392">
        <w:rPr>
          <w:sz w:val="22"/>
          <w:lang w:val="en-GB"/>
        </w:rPr>
        <w:t>Sb</w:t>
      </w:r>
      <w:r w:rsidRPr="00675392">
        <w:rPr>
          <w:sz w:val="22"/>
          <w:vertAlign w:val="superscript"/>
          <w:lang w:val="en-GB"/>
        </w:rPr>
        <w:t>v</w:t>
      </w:r>
      <w:proofErr w:type="spellEnd"/>
      <w:r w:rsidRPr="00675392">
        <w:rPr>
          <w:sz w:val="22"/>
          <w:lang w:val="en-GB"/>
        </w:rPr>
        <w:t>/kg/day for 12-20 days. Cure rate is 96%, with 2% relapses and a 2% fatality</w:t>
      </w:r>
      <w:r w:rsidRPr="00607738">
        <w:rPr>
          <w:sz w:val="22"/>
          <w:lang w:val="en-GB"/>
        </w:rPr>
        <w:t xml:space="preserve"> rate. </w:t>
      </w:r>
    </w:p>
    <w:p w:rsidR="00675392" w:rsidRPr="008D193E" w:rsidRDefault="00675392" w:rsidP="00675392">
      <w:pPr>
        <w:tabs>
          <w:tab w:val="left" w:pos="2970"/>
        </w:tabs>
        <w:spacing w:line="480" w:lineRule="auto"/>
        <w:ind w:left="0" w:firstLine="0"/>
        <w:rPr>
          <w:bCs/>
          <w:sz w:val="22"/>
          <w:lang w:val="en-US"/>
        </w:rPr>
      </w:pPr>
      <w:r w:rsidRPr="008D193E">
        <w:rPr>
          <w:b/>
          <w:bCs/>
          <w:sz w:val="22"/>
          <w:lang w:val="en-US"/>
        </w:rPr>
        <w:lastRenderedPageBreak/>
        <w:t xml:space="preserve">ACCESS TO CARE </w:t>
      </w: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 xml:space="preserve">Care for leishmaniasis is not provided for free. Meglumine antimoniate (Glucantime, </w:t>
      </w:r>
      <w:proofErr w:type="spellStart"/>
      <w:r>
        <w:rPr>
          <w:sz w:val="22"/>
          <w:lang w:val="en-GB"/>
        </w:rPr>
        <w:t>Sanofi</w:t>
      </w:r>
      <w:proofErr w:type="spellEnd"/>
      <w:r w:rsidRPr="00607738">
        <w:rPr>
          <w:sz w:val="22"/>
          <w:lang w:val="en-GB"/>
        </w:rPr>
        <w:t xml:space="preserve">) must be purchased in pharmacies. Patients between 0-18 years old receive 80% funding </w:t>
      </w:r>
      <w:r>
        <w:rPr>
          <w:sz w:val="22"/>
          <w:lang w:val="en-GB"/>
        </w:rPr>
        <w:t>from</w:t>
      </w:r>
      <w:r w:rsidRPr="00607738">
        <w:rPr>
          <w:sz w:val="22"/>
          <w:lang w:val="en-GB"/>
        </w:rPr>
        <w:t xml:space="preserve"> the government for the treatment costs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those over 18 years</w:t>
      </w:r>
      <w:r>
        <w:rPr>
          <w:sz w:val="22"/>
          <w:lang w:val="en-GB"/>
        </w:rPr>
        <w:t xml:space="preserve"> receive</w:t>
      </w:r>
      <w:r w:rsidRPr="00607738">
        <w:rPr>
          <w:sz w:val="22"/>
          <w:lang w:val="en-GB"/>
        </w:rPr>
        <w:t xml:space="preserve"> 50%, leading to total treatment costs of resp. 142 and 356 USD. Despite these high costs, patients are thought to have access to care in </w:t>
      </w:r>
      <w:smartTag w:uri="urn:schemas-microsoft-com:office:smarttags" w:element="place">
        <w:smartTag w:uri="urn:schemas-microsoft-com:office:smarttags" w:element="country-region">
          <w:r w:rsidRPr="00607738">
            <w:rPr>
              <w:sz w:val="22"/>
              <w:lang w:val="en-GB"/>
            </w:rPr>
            <w:t>Georgia</w:t>
          </w:r>
        </w:smartTag>
      </w:smartTag>
      <w:r w:rsidRPr="00607738">
        <w:rPr>
          <w:sz w:val="22"/>
          <w:lang w:val="en-GB"/>
        </w:rPr>
        <w:t xml:space="preserve">. </w:t>
      </w:r>
    </w:p>
    <w:p w:rsidR="00675392" w:rsidRPr="00607738" w:rsidRDefault="00675392" w:rsidP="00675392">
      <w:pPr>
        <w:ind w:left="0" w:firstLine="0"/>
        <w:rPr>
          <w:sz w:val="22"/>
          <w:lang w:val="en-GB"/>
        </w:rPr>
      </w:pP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 xml:space="preserve">VL diagnosis can only be performed in a specialized </w:t>
      </w:r>
      <w:proofErr w:type="spellStart"/>
      <w:r w:rsidRPr="00607738">
        <w:rPr>
          <w:sz w:val="22"/>
          <w:lang w:val="en-GB"/>
        </w:rPr>
        <w:t>center</w:t>
      </w:r>
      <w:proofErr w:type="spellEnd"/>
      <w:r w:rsidRPr="00607738">
        <w:rPr>
          <w:sz w:val="22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607738">
            <w:rPr>
              <w:sz w:val="22"/>
              <w:lang w:val="en-GB"/>
            </w:rPr>
            <w:t>Tbilisi</w:t>
          </w:r>
        </w:smartTag>
      </w:smartTag>
      <w:r w:rsidRPr="00607738">
        <w:rPr>
          <w:sz w:val="22"/>
          <w:lang w:val="en-GB"/>
        </w:rPr>
        <w:t xml:space="preserve">. There is a lack of awareness of the disease among doctors and patients. A review revealed that the period between manifestation of the first clinical signs and admission to treatment varied from 1 week to 1 </w:t>
      </w:r>
      <w:r w:rsidRPr="00675392">
        <w:rPr>
          <w:sz w:val="22"/>
          <w:lang w:val="en-GB"/>
        </w:rPr>
        <w:t>year (6.8+/-0</w:t>
      </w:r>
      <w:proofErr w:type="gramStart"/>
      <w:r w:rsidRPr="00675392">
        <w:rPr>
          <w:sz w:val="22"/>
          <w:lang w:val="en-GB"/>
        </w:rPr>
        <w:t>,6</w:t>
      </w:r>
      <w:proofErr w:type="gramEnd"/>
      <w:r w:rsidRPr="00675392">
        <w:rPr>
          <w:sz w:val="22"/>
          <w:lang w:val="en-GB"/>
        </w:rPr>
        <w:t xml:space="preserve"> weeks on</w:t>
      </w:r>
      <w:r w:rsidRPr="00607738">
        <w:rPr>
          <w:sz w:val="22"/>
          <w:lang w:val="en-GB"/>
        </w:rPr>
        <w:t xml:space="preserve"> average)</w:t>
      </w:r>
      <w:r>
        <w:rPr>
          <w:sz w:val="22"/>
          <w:lang w:val="en-GB"/>
        </w:rPr>
        <w:t xml:space="preserve"> </w:t>
      </w:r>
      <w:r w:rsidRPr="00607738">
        <w:rPr>
          <w:sz w:val="22"/>
          <w:lang w:val="en-GB"/>
        </w:rPr>
        <w:t xml:space="preserve">between 2000-2005. </w:t>
      </w:r>
    </w:p>
    <w:p w:rsidR="00675392" w:rsidRPr="00607738" w:rsidRDefault="00675392" w:rsidP="00675392">
      <w:pPr>
        <w:ind w:left="0" w:firstLine="0"/>
        <w:rPr>
          <w:sz w:val="22"/>
          <w:lang w:val="en-GB"/>
        </w:rPr>
      </w:pPr>
    </w:p>
    <w:p w:rsidR="00675392" w:rsidRDefault="00675392" w:rsidP="00675392">
      <w:pPr>
        <w:ind w:left="0" w:firstLine="0"/>
        <w:rPr>
          <w:sz w:val="22"/>
          <w:lang w:val="en-GB"/>
        </w:rPr>
      </w:pPr>
      <w:r w:rsidRPr="00607738">
        <w:rPr>
          <w:sz w:val="22"/>
          <w:lang w:val="en-GB"/>
        </w:rPr>
        <w:t xml:space="preserve">The majority of VL cases </w:t>
      </w:r>
      <w:proofErr w:type="gramStart"/>
      <w:r w:rsidRPr="00607738">
        <w:rPr>
          <w:sz w:val="22"/>
          <w:lang w:val="en-GB"/>
        </w:rPr>
        <w:t>is</w:t>
      </w:r>
      <w:proofErr w:type="gramEnd"/>
      <w:r w:rsidRPr="00607738">
        <w:rPr>
          <w:sz w:val="22"/>
          <w:lang w:val="en-GB"/>
        </w:rPr>
        <w:t xml:space="preserve"> treated in one hospital only. As the duration of treatment is shorter than recommended by </w:t>
      </w:r>
      <w:proofErr w:type="gramStart"/>
      <w:r w:rsidRPr="00607738">
        <w:rPr>
          <w:sz w:val="22"/>
          <w:lang w:val="en-GB"/>
        </w:rPr>
        <w:t>WHO</w:t>
      </w:r>
      <w:proofErr w:type="gramEnd"/>
      <w:r w:rsidRPr="00607738">
        <w:rPr>
          <w:sz w:val="22"/>
          <w:lang w:val="en-GB"/>
        </w:rPr>
        <w:t xml:space="preserve">, relapses, mostly after 3-4 months of treatment, </w:t>
      </w:r>
      <w:r>
        <w:rPr>
          <w:sz w:val="22"/>
          <w:lang w:val="en-GB"/>
        </w:rPr>
        <w:t xml:space="preserve">occur </w:t>
      </w:r>
      <w:r w:rsidRPr="00607738">
        <w:rPr>
          <w:sz w:val="22"/>
          <w:lang w:val="en-GB"/>
        </w:rPr>
        <w:t>regularly. In 1996–1999, 18 (5</w:t>
      </w:r>
      <w:r>
        <w:rPr>
          <w:sz w:val="22"/>
          <w:lang w:val="en-GB"/>
        </w:rPr>
        <w:t>.</w:t>
      </w:r>
      <w:r>
        <w:rPr>
          <w:sz w:val="22"/>
          <w:lang w:val="en-GB"/>
        </w:rPr>
        <w:t xml:space="preserve">9%) of </w:t>
      </w:r>
      <w:r w:rsidRPr="00607738">
        <w:rPr>
          <w:sz w:val="22"/>
          <w:lang w:val="en-GB"/>
        </w:rPr>
        <w:t xml:space="preserve">treated patients </w:t>
      </w:r>
      <w:r>
        <w:rPr>
          <w:sz w:val="22"/>
          <w:lang w:val="en-GB"/>
        </w:rPr>
        <w:t xml:space="preserve">suffered </w:t>
      </w:r>
      <w:r w:rsidRPr="00607738">
        <w:rPr>
          <w:sz w:val="22"/>
          <w:lang w:val="en-GB"/>
        </w:rPr>
        <w:t>relapse. During this period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 xml:space="preserve"> 9 patients died, as diagnosis was made too late and they suffered concomitant diseases. </w:t>
      </w:r>
    </w:p>
    <w:p w:rsidR="00675392" w:rsidRPr="008D193E" w:rsidRDefault="00675392" w:rsidP="00675392">
      <w:pPr>
        <w:ind w:left="0" w:firstLine="0"/>
        <w:rPr>
          <w:bCs/>
          <w:position w:val="-6"/>
          <w:sz w:val="22"/>
          <w:lang w:val="en-US"/>
        </w:rPr>
      </w:pPr>
    </w:p>
    <w:p w:rsidR="00675392" w:rsidRPr="008D193E" w:rsidRDefault="00675392" w:rsidP="00675392">
      <w:pPr>
        <w:pStyle w:val="Bodypktbk"/>
        <w:tabs>
          <w:tab w:val="clear" w:pos="851"/>
          <w:tab w:val="num" w:pos="0"/>
        </w:tabs>
        <w:spacing w:before="0" w:after="0"/>
        <w:jc w:val="both"/>
        <w:rPr>
          <w:rFonts w:cs="Arial"/>
          <w:bCs/>
          <w:position w:val="-6"/>
          <w:sz w:val="22"/>
          <w:szCs w:val="22"/>
          <w:lang w:val="en-US" w:eastAsia="es-ES"/>
        </w:rPr>
      </w:pPr>
      <w:r w:rsidRPr="008D193E">
        <w:rPr>
          <w:rFonts w:cs="Arial"/>
          <w:bCs/>
          <w:color w:val="000000"/>
          <w:position w:val="-6"/>
          <w:sz w:val="22"/>
          <w:szCs w:val="22"/>
          <w:lang w:val="en-US" w:eastAsia="es-ES"/>
        </w:rPr>
        <w:t>.</w:t>
      </w:r>
    </w:p>
    <w:p w:rsidR="00675392" w:rsidRPr="008D193E" w:rsidRDefault="00675392" w:rsidP="00675392">
      <w:pPr>
        <w:rPr>
          <w:b/>
          <w:sz w:val="22"/>
          <w:lang w:val="en-GB"/>
        </w:rPr>
      </w:pPr>
      <w:r w:rsidRPr="008D193E">
        <w:rPr>
          <w:b/>
          <w:sz w:val="22"/>
          <w:lang w:val="en-GB"/>
        </w:rPr>
        <w:t>ACCESS TO DRUGS</w:t>
      </w:r>
    </w:p>
    <w:p w:rsidR="00675392" w:rsidRPr="008D193E" w:rsidRDefault="00675392" w:rsidP="00675392">
      <w:pPr>
        <w:rPr>
          <w:b/>
          <w:sz w:val="22"/>
          <w:lang w:val="en-GB"/>
        </w:rPr>
      </w:pPr>
    </w:p>
    <w:p w:rsidR="00675392" w:rsidRPr="00607738" w:rsidRDefault="00675392" w:rsidP="00675392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>Glucantime (</w:t>
      </w:r>
      <w:proofErr w:type="spellStart"/>
      <w:r>
        <w:rPr>
          <w:sz w:val="22"/>
          <w:lang w:val="en-GB"/>
        </w:rPr>
        <w:t>Sanofi</w:t>
      </w:r>
      <w:proofErr w:type="spellEnd"/>
      <w:r w:rsidRPr="00607738">
        <w:rPr>
          <w:sz w:val="22"/>
          <w:lang w:val="en-GB"/>
        </w:rPr>
        <w:t>) is registered in Georgia and sold in pharmacies for 4 USD per 5 ml vial. Meglumine antimoniate is included in the National Essential Drug List.</w:t>
      </w:r>
    </w:p>
    <w:p w:rsidR="00675392" w:rsidRDefault="00675392" w:rsidP="00675392">
      <w:pPr>
        <w:rPr>
          <w:sz w:val="22"/>
          <w:lang w:val="en-GB"/>
        </w:rPr>
      </w:pPr>
    </w:p>
    <w:p w:rsidR="00675392" w:rsidRPr="00607738" w:rsidRDefault="00675392" w:rsidP="00675392">
      <w:pPr>
        <w:rPr>
          <w:sz w:val="22"/>
          <w:lang w:val="en-GB"/>
        </w:rPr>
      </w:pPr>
    </w:p>
    <w:p w:rsidR="00675392" w:rsidRDefault="00675392" w:rsidP="00675392">
      <w:pPr>
        <w:rPr>
          <w:b/>
          <w:sz w:val="22"/>
          <w:lang w:val="en-GB"/>
        </w:rPr>
      </w:pPr>
      <w:r w:rsidRPr="008D193E">
        <w:rPr>
          <w:b/>
          <w:sz w:val="22"/>
          <w:lang w:val="en-GB"/>
        </w:rPr>
        <w:t>SOURCES OF INFORMATION</w:t>
      </w:r>
    </w:p>
    <w:p w:rsidR="00675392" w:rsidRDefault="00675392" w:rsidP="00675392">
      <w:pPr>
        <w:rPr>
          <w:b/>
          <w:sz w:val="22"/>
          <w:lang w:val="en-GB"/>
        </w:rPr>
      </w:pPr>
    </w:p>
    <w:p w:rsidR="00675392" w:rsidRPr="00EF6EC8" w:rsidRDefault="00675392" w:rsidP="00675392">
      <w:pPr>
        <w:numPr>
          <w:ilvl w:val="0"/>
          <w:numId w:val="5"/>
        </w:numPr>
        <w:ind w:right="-1"/>
        <w:rPr>
          <w:sz w:val="22"/>
          <w:lang w:val="en-GB"/>
        </w:rPr>
      </w:pPr>
      <w:r w:rsidRPr="0080612E">
        <w:rPr>
          <w:sz w:val="22"/>
          <w:lang w:val="en-GB"/>
        </w:rPr>
        <w:t xml:space="preserve">Dr </w:t>
      </w:r>
      <w:proofErr w:type="spellStart"/>
      <w:r w:rsidRPr="0080612E">
        <w:rPr>
          <w:sz w:val="22"/>
          <w:lang w:val="en-GB"/>
        </w:rPr>
        <w:t>Merab</w:t>
      </w:r>
      <w:proofErr w:type="spellEnd"/>
      <w:r w:rsidRPr="0080612E">
        <w:rPr>
          <w:sz w:val="22"/>
          <w:lang w:val="en-GB"/>
        </w:rPr>
        <w:t xml:space="preserve"> </w:t>
      </w:r>
      <w:proofErr w:type="spellStart"/>
      <w:r w:rsidRPr="0080612E">
        <w:rPr>
          <w:sz w:val="22"/>
          <w:lang w:val="en-GB"/>
        </w:rPr>
        <w:t>Iosava</w:t>
      </w:r>
      <w:proofErr w:type="spellEnd"/>
      <w:r>
        <w:rPr>
          <w:sz w:val="22"/>
          <w:lang w:val="en-GB"/>
        </w:rPr>
        <w:t xml:space="preserve">, </w:t>
      </w:r>
      <w:smartTag w:uri="urn:schemas-microsoft-com:office:smarttags" w:element="PlaceName">
        <w:r w:rsidRPr="0080612E">
          <w:rPr>
            <w:sz w:val="22"/>
            <w:lang w:val="en-GB"/>
          </w:rPr>
          <w:t>National</w:t>
        </w:r>
      </w:smartTag>
      <w:r w:rsidRPr="0080612E">
        <w:rPr>
          <w:sz w:val="22"/>
          <w:lang w:val="en-GB"/>
        </w:rPr>
        <w:t xml:space="preserve"> </w:t>
      </w:r>
      <w:proofErr w:type="spellStart"/>
      <w:smartTag w:uri="urn:schemas-microsoft-com:office:smarttags" w:element="PlaceType">
        <w:r w:rsidRPr="0080612E">
          <w:rPr>
            <w:sz w:val="22"/>
            <w:lang w:val="en-GB"/>
          </w:rPr>
          <w:t>Center</w:t>
        </w:r>
      </w:smartTag>
      <w:proofErr w:type="spellEnd"/>
      <w:r w:rsidRPr="0080612E">
        <w:rPr>
          <w:sz w:val="22"/>
          <w:lang w:val="en-GB"/>
        </w:rPr>
        <w:t xml:space="preserve"> for Disease Control and Public Health</w:t>
      </w:r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0612E">
            <w:rPr>
              <w:sz w:val="22"/>
              <w:lang w:val="en-GB"/>
            </w:rPr>
            <w:t>Tbilisi</w:t>
          </w:r>
        </w:smartTag>
      </w:smartTag>
      <w:r>
        <w:rPr>
          <w:sz w:val="22"/>
          <w:lang w:val="en-GB"/>
        </w:rPr>
        <w:t xml:space="preserve">. </w:t>
      </w:r>
      <w:r w:rsidRPr="0080612E">
        <w:rPr>
          <w:bCs/>
          <w:i/>
          <w:iCs/>
          <w:sz w:val="22"/>
          <w:lang w:val="en-GB"/>
        </w:rPr>
        <w:t xml:space="preserve">Leishmaniasis in the European Region, a </w:t>
      </w:r>
      <w:r>
        <w:rPr>
          <w:bCs/>
          <w:i/>
          <w:iCs/>
          <w:sz w:val="22"/>
          <w:lang w:val="en-GB"/>
        </w:rPr>
        <w:t xml:space="preserve">WHO </w:t>
      </w:r>
      <w:r w:rsidRPr="0080612E">
        <w:rPr>
          <w:bCs/>
          <w:i/>
          <w:iCs/>
          <w:sz w:val="22"/>
          <w:lang w:val="en-GB"/>
        </w:rPr>
        <w:t xml:space="preserve">consultative </w:t>
      </w:r>
      <w:proofErr w:type="spellStart"/>
      <w:r w:rsidRPr="0080612E">
        <w:rPr>
          <w:bCs/>
          <w:i/>
          <w:iCs/>
          <w:sz w:val="22"/>
          <w:lang w:val="en-GB"/>
        </w:rPr>
        <w:t>intercountry</w:t>
      </w:r>
      <w:proofErr w:type="spellEnd"/>
      <w:r w:rsidRPr="0080612E">
        <w:rPr>
          <w:bCs/>
          <w:i/>
          <w:iCs/>
          <w:sz w:val="22"/>
          <w:lang w:val="en-GB"/>
        </w:rPr>
        <w:t xml:space="preserve"> meeting, Istanbul, Turkey, 17–19 November 2009</w:t>
      </w:r>
      <w:r>
        <w:rPr>
          <w:bCs/>
          <w:i/>
          <w:iCs/>
          <w:sz w:val="22"/>
          <w:lang w:val="en-GB"/>
        </w:rPr>
        <w:t>.</w:t>
      </w:r>
    </w:p>
    <w:p w:rsidR="00675392" w:rsidRPr="00EF6EC8" w:rsidRDefault="00675392" w:rsidP="00675392">
      <w:pPr>
        <w:rPr>
          <w:b/>
          <w:sz w:val="22"/>
          <w:lang w:val="en-GB"/>
        </w:rPr>
      </w:pPr>
    </w:p>
    <w:p w:rsidR="00675392" w:rsidRPr="00675392" w:rsidRDefault="00675392" w:rsidP="00675392">
      <w:pPr>
        <w:rPr>
          <w:b/>
          <w:sz w:val="22"/>
          <w:lang w:val="en-GB"/>
        </w:rPr>
      </w:pPr>
    </w:p>
    <w:p w:rsidR="00675392" w:rsidRPr="00675392" w:rsidRDefault="00675392" w:rsidP="00675392">
      <w:pPr>
        <w:ind w:left="0" w:firstLine="0"/>
        <w:rPr>
          <w:color w:val="000000"/>
          <w:sz w:val="22"/>
          <w:lang w:val="en-GB"/>
        </w:rPr>
      </w:pPr>
      <w:r w:rsidRPr="00675392">
        <w:rPr>
          <w:color w:val="000000"/>
          <w:sz w:val="22"/>
          <w:lang w:val="en-GB"/>
        </w:rPr>
        <w:t xml:space="preserve">1. </w:t>
      </w:r>
      <w:proofErr w:type="spellStart"/>
      <w:r w:rsidRPr="00675392">
        <w:rPr>
          <w:color w:val="000000"/>
          <w:sz w:val="22"/>
          <w:lang w:val="en-GB"/>
        </w:rPr>
        <w:t>Chubabria</w:t>
      </w:r>
      <w:proofErr w:type="spellEnd"/>
      <w:r w:rsidRPr="00675392">
        <w:rPr>
          <w:color w:val="000000"/>
          <w:sz w:val="22"/>
          <w:lang w:val="en-GB"/>
        </w:rPr>
        <w:t xml:space="preserve"> GA, </w:t>
      </w:r>
      <w:proofErr w:type="spellStart"/>
      <w:r w:rsidRPr="00675392">
        <w:rPr>
          <w:color w:val="000000"/>
          <w:sz w:val="22"/>
          <w:lang w:val="en-GB"/>
        </w:rPr>
        <w:t>Zenanshvili</w:t>
      </w:r>
      <w:proofErr w:type="spellEnd"/>
      <w:r w:rsidRPr="00675392">
        <w:rPr>
          <w:color w:val="000000"/>
          <w:sz w:val="22"/>
          <w:lang w:val="en-GB"/>
        </w:rPr>
        <w:t xml:space="preserve"> OP (2002). </w:t>
      </w:r>
      <w:proofErr w:type="gramStart"/>
      <w:r w:rsidRPr="00675392">
        <w:rPr>
          <w:color w:val="000000"/>
          <w:sz w:val="22"/>
          <w:lang w:val="en-GB"/>
        </w:rPr>
        <w:t xml:space="preserve">Modern peculiarities of VL in </w:t>
      </w:r>
      <w:smartTag w:uri="urn:schemas-microsoft-com:office:smarttags" w:element="place">
        <w:smartTag w:uri="urn:schemas-microsoft-com:office:smarttags" w:element="country-region">
          <w:r w:rsidRPr="00675392">
            <w:rPr>
              <w:color w:val="000000"/>
              <w:sz w:val="22"/>
              <w:lang w:val="en-GB"/>
            </w:rPr>
            <w:t>Georgia</w:t>
          </w:r>
        </w:smartTag>
      </w:smartTag>
      <w:r w:rsidRPr="00675392">
        <w:rPr>
          <w:color w:val="000000"/>
          <w:sz w:val="22"/>
          <w:lang w:val="en-GB"/>
        </w:rPr>
        <w:t>.</w:t>
      </w:r>
      <w:proofErr w:type="gramEnd"/>
      <w:r w:rsidRPr="00675392">
        <w:rPr>
          <w:color w:val="000000"/>
          <w:sz w:val="22"/>
          <w:lang w:val="en-GB"/>
        </w:rPr>
        <w:t xml:space="preserve"> Med </w:t>
      </w:r>
      <w:proofErr w:type="spellStart"/>
      <w:r w:rsidRPr="00675392">
        <w:rPr>
          <w:color w:val="000000"/>
          <w:sz w:val="22"/>
          <w:lang w:val="en-GB"/>
        </w:rPr>
        <w:t>Parazitol</w:t>
      </w:r>
      <w:proofErr w:type="spellEnd"/>
      <w:r w:rsidRPr="00675392">
        <w:rPr>
          <w:color w:val="000000"/>
          <w:sz w:val="22"/>
          <w:lang w:val="en-GB"/>
        </w:rPr>
        <w:t xml:space="preserve"> (</w:t>
      </w:r>
      <w:proofErr w:type="spellStart"/>
      <w:r w:rsidRPr="00675392">
        <w:rPr>
          <w:color w:val="000000"/>
          <w:sz w:val="22"/>
          <w:lang w:val="en-GB"/>
        </w:rPr>
        <w:t>Mosk</w:t>
      </w:r>
      <w:proofErr w:type="spellEnd"/>
      <w:r w:rsidRPr="00675392">
        <w:rPr>
          <w:color w:val="000000"/>
          <w:sz w:val="22"/>
          <w:lang w:val="en-GB"/>
        </w:rPr>
        <w:t>) 2: 27-30.</w:t>
      </w:r>
    </w:p>
    <w:p w:rsidR="00675392" w:rsidRPr="00675392" w:rsidRDefault="00675392" w:rsidP="00675392">
      <w:pPr>
        <w:ind w:left="0" w:firstLine="0"/>
        <w:rPr>
          <w:color w:val="000000"/>
          <w:sz w:val="22"/>
          <w:lang w:val="en-GB"/>
        </w:rPr>
      </w:pPr>
    </w:p>
    <w:p w:rsidR="00675392" w:rsidRPr="00675392" w:rsidRDefault="00675392" w:rsidP="00675392">
      <w:pPr>
        <w:ind w:left="0" w:firstLine="0"/>
        <w:rPr>
          <w:color w:val="000000"/>
          <w:sz w:val="22"/>
        </w:rPr>
      </w:pPr>
      <w:r w:rsidRPr="00675392">
        <w:rPr>
          <w:color w:val="000000"/>
          <w:sz w:val="22"/>
          <w:lang w:val="en-GB"/>
        </w:rPr>
        <w:t xml:space="preserve">2. </w:t>
      </w:r>
      <w:hyperlink r:id="rId11" w:history="1">
        <w:proofErr w:type="spellStart"/>
        <w:r w:rsidRPr="00675392">
          <w:rPr>
            <w:rStyle w:val="Hyperlink"/>
            <w:color w:val="000000"/>
            <w:sz w:val="22"/>
            <w:u w:val="none"/>
            <w:lang w:val="en-GB"/>
          </w:rPr>
          <w:t>Zenanishvili</w:t>
        </w:r>
        <w:proofErr w:type="spellEnd"/>
        <w:r w:rsidRPr="00675392">
          <w:rPr>
            <w:rStyle w:val="Hyperlink"/>
            <w:color w:val="000000"/>
            <w:sz w:val="22"/>
            <w:u w:val="none"/>
            <w:lang w:val="en-GB"/>
          </w:rPr>
          <w:t xml:space="preserve"> OP</w:t>
        </w:r>
      </w:hyperlink>
      <w:r w:rsidRPr="00675392">
        <w:rPr>
          <w:color w:val="000000"/>
          <w:sz w:val="22"/>
          <w:lang w:val="en-GB"/>
        </w:rPr>
        <w:t xml:space="preserve">, </w:t>
      </w:r>
      <w:hyperlink r:id="rId12" w:history="1">
        <w:proofErr w:type="spellStart"/>
        <w:r w:rsidRPr="00675392">
          <w:rPr>
            <w:rStyle w:val="Hyperlink"/>
            <w:color w:val="000000"/>
            <w:sz w:val="22"/>
            <w:u w:val="none"/>
            <w:lang w:val="en-GB"/>
          </w:rPr>
          <w:t>Bakashvili</w:t>
        </w:r>
        <w:proofErr w:type="spellEnd"/>
        <w:r w:rsidRPr="00675392">
          <w:rPr>
            <w:rStyle w:val="Hyperlink"/>
            <w:color w:val="000000"/>
            <w:sz w:val="22"/>
            <w:u w:val="none"/>
            <w:lang w:val="en-GB"/>
          </w:rPr>
          <w:t xml:space="preserve"> LZ</w:t>
        </w:r>
      </w:hyperlink>
      <w:r w:rsidRPr="00675392">
        <w:rPr>
          <w:color w:val="000000"/>
          <w:sz w:val="22"/>
          <w:lang w:val="en-GB"/>
        </w:rPr>
        <w:t xml:space="preserve">, </w:t>
      </w:r>
      <w:hyperlink r:id="rId13" w:history="1">
        <w:proofErr w:type="spellStart"/>
        <w:r w:rsidRPr="00675392">
          <w:rPr>
            <w:rStyle w:val="Hyperlink"/>
            <w:color w:val="000000"/>
            <w:sz w:val="22"/>
            <w:u w:val="none"/>
            <w:lang w:val="en-GB"/>
          </w:rPr>
          <w:t>Pagava</w:t>
        </w:r>
        <w:proofErr w:type="spellEnd"/>
        <w:r w:rsidRPr="00675392">
          <w:rPr>
            <w:rStyle w:val="Hyperlink"/>
            <w:color w:val="000000"/>
            <w:sz w:val="22"/>
            <w:u w:val="none"/>
            <w:lang w:val="en-GB"/>
          </w:rPr>
          <w:t xml:space="preserve"> EK</w:t>
        </w:r>
      </w:hyperlink>
      <w:r w:rsidRPr="00675392">
        <w:rPr>
          <w:color w:val="000000"/>
          <w:sz w:val="22"/>
          <w:lang w:val="en-GB"/>
        </w:rPr>
        <w:t xml:space="preserve">, </w:t>
      </w:r>
      <w:hyperlink r:id="rId14" w:history="1">
        <w:proofErr w:type="spellStart"/>
        <w:r w:rsidRPr="00675392">
          <w:rPr>
            <w:rStyle w:val="Hyperlink"/>
            <w:color w:val="000000"/>
            <w:sz w:val="22"/>
            <w:u w:val="none"/>
            <w:lang w:val="en-GB"/>
          </w:rPr>
          <w:t>Mandzhagaladze</w:t>
        </w:r>
        <w:proofErr w:type="spellEnd"/>
        <w:r w:rsidRPr="00675392">
          <w:rPr>
            <w:rStyle w:val="Hyperlink"/>
            <w:color w:val="000000"/>
            <w:sz w:val="22"/>
            <w:u w:val="none"/>
            <w:lang w:val="en-GB"/>
          </w:rPr>
          <w:t xml:space="preserve"> MR</w:t>
        </w:r>
      </w:hyperlink>
      <w:r w:rsidRPr="00675392">
        <w:rPr>
          <w:color w:val="000000"/>
          <w:sz w:val="22"/>
          <w:lang w:val="en-GB"/>
        </w:rPr>
        <w:t xml:space="preserve">, </w:t>
      </w:r>
      <w:hyperlink r:id="rId15" w:history="1">
        <w:proofErr w:type="spellStart"/>
        <w:r w:rsidRPr="00675392">
          <w:rPr>
            <w:rStyle w:val="Hyperlink"/>
            <w:color w:val="000000"/>
            <w:sz w:val="22"/>
            <w:u w:val="none"/>
            <w:lang w:val="en-GB"/>
          </w:rPr>
          <w:t>Pagava</w:t>
        </w:r>
        <w:proofErr w:type="spellEnd"/>
        <w:r w:rsidRPr="00675392">
          <w:rPr>
            <w:rStyle w:val="Hyperlink"/>
            <w:color w:val="000000"/>
            <w:sz w:val="22"/>
            <w:u w:val="none"/>
            <w:lang w:val="en-GB"/>
          </w:rPr>
          <w:t xml:space="preserve"> KI</w:t>
        </w:r>
      </w:hyperlink>
      <w:r w:rsidRPr="00675392">
        <w:rPr>
          <w:color w:val="000000"/>
          <w:sz w:val="22"/>
        </w:rPr>
        <w:t xml:space="preserve"> (2005)</w:t>
      </w:r>
      <w:r w:rsidRPr="00675392">
        <w:rPr>
          <w:color w:val="000000"/>
          <w:sz w:val="22"/>
          <w:lang w:val="en-GB"/>
        </w:rPr>
        <w:t xml:space="preserve">. Visceral leishmaniasis: clinical and epidemiological features among children and adolescents in </w:t>
      </w:r>
      <w:smartTag w:uri="urn:schemas-microsoft-com:office:smarttags" w:element="place">
        <w:smartTag w:uri="urn:schemas-microsoft-com:office:smarttags" w:element="country-region">
          <w:r w:rsidRPr="00675392">
            <w:rPr>
              <w:color w:val="000000"/>
              <w:sz w:val="22"/>
              <w:lang w:val="en-GB"/>
            </w:rPr>
            <w:t>Georgia</w:t>
          </w:r>
        </w:smartTag>
      </w:smartTag>
      <w:r w:rsidRPr="00675392">
        <w:rPr>
          <w:color w:val="000000"/>
          <w:sz w:val="22"/>
          <w:lang w:val="en-GB"/>
        </w:rPr>
        <w:t xml:space="preserve">. </w:t>
      </w:r>
      <w:hyperlink r:id="rId16" w:tooltip="Georgian medical news." w:history="1">
        <w:proofErr w:type="spellStart"/>
        <w:r w:rsidRPr="00675392">
          <w:rPr>
            <w:rStyle w:val="Hyperlink"/>
            <w:color w:val="000000"/>
            <w:sz w:val="22"/>
            <w:u w:val="none"/>
          </w:rPr>
          <w:t>Georgian</w:t>
        </w:r>
        <w:proofErr w:type="spellEnd"/>
        <w:r w:rsidRPr="00675392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675392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675392">
          <w:rPr>
            <w:rStyle w:val="Hyperlink"/>
            <w:color w:val="000000"/>
            <w:sz w:val="22"/>
            <w:u w:val="none"/>
          </w:rPr>
          <w:t xml:space="preserve"> News.</w:t>
        </w:r>
      </w:hyperlink>
      <w:r w:rsidRPr="00675392">
        <w:rPr>
          <w:color w:val="000000"/>
          <w:sz w:val="22"/>
        </w:rPr>
        <w:t>129:85-7.</w:t>
      </w:r>
    </w:p>
    <w:p w:rsidR="00675392" w:rsidRPr="00675392" w:rsidRDefault="00675392" w:rsidP="00675392">
      <w:pPr>
        <w:ind w:left="0" w:firstLine="0"/>
        <w:rPr>
          <w:color w:val="000000"/>
          <w:sz w:val="22"/>
        </w:rPr>
      </w:pPr>
    </w:p>
    <w:p w:rsidR="00675392" w:rsidRPr="00675392" w:rsidRDefault="00675392" w:rsidP="00675392">
      <w:pPr>
        <w:ind w:left="0" w:firstLine="0"/>
        <w:rPr>
          <w:sz w:val="22"/>
        </w:rPr>
      </w:pPr>
      <w:r w:rsidRPr="00675392">
        <w:rPr>
          <w:sz w:val="22"/>
        </w:rPr>
        <w:t xml:space="preserve">3. </w:t>
      </w:r>
      <w:proofErr w:type="spellStart"/>
      <w:r w:rsidRPr="00675392">
        <w:rPr>
          <w:sz w:val="22"/>
        </w:rPr>
        <w:t>Zenaishvili</w:t>
      </w:r>
      <w:proofErr w:type="spellEnd"/>
      <w:r w:rsidRPr="00675392">
        <w:rPr>
          <w:sz w:val="22"/>
        </w:rPr>
        <w:t xml:space="preserve"> O, </w:t>
      </w:r>
      <w:proofErr w:type="spellStart"/>
      <w:r w:rsidRPr="00675392">
        <w:rPr>
          <w:sz w:val="22"/>
        </w:rPr>
        <w:t>Gugushvili</w:t>
      </w:r>
      <w:proofErr w:type="spellEnd"/>
      <w:r w:rsidRPr="00675392">
        <w:rPr>
          <w:sz w:val="22"/>
        </w:rPr>
        <w:t xml:space="preserve"> G, </w:t>
      </w:r>
      <w:proofErr w:type="spellStart"/>
      <w:r w:rsidRPr="00675392">
        <w:rPr>
          <w:sz w:val="22"/>
        </w:rPr>
        <w:t>Chubabria</w:t>
      </w:r>
      <w:proofErr w:type="spellEnd"/>
      <w:r w:rsidRPr="00675392">
        <w:rPr>
          <w:sz w:val="22"/>
        </w:rPr>
        <w:t xml:space="preserve"> G, </w:t>
      </w:r>
      <w:proofErr w:type="spellStart"/>
      <w:r w:rsidRPr="00675392">
        <w:rPr>
          <w:sz w:val="22"/>
        </w:rPr>
        <w:t>Manjgaladze</w:t>
      </w:r>
      <w:proofErr w:type="spellEnd"/>
      <w:r w:rsidRPr="00675392">
        <w:rPr>
          <w:sz w:val="22"/>
        </w:rPr>
        <w:t xml:space="preserve"> M, </w:t>
      </w:r>
      <w:proofErr w:type="spellStart"/>
      <w:r w:rsidRPr="00675392">
        <w:rPr>
          <w:sz w:val="22"/>
        </w:rPr>
        <w:t>Kokaia</w:t>
      </w:r>
      <w:proofErr w:type="spellEnd"/>
      <w:r w:rsidRPr="00675392">
        <w:rPr>
          <w:sz w:val="22"/>
        </w:rPr>
        <w:t xml:space="preserve"> N (2009). New data </w:t>
      </w:r>
      <w:proofErr w:type="spellStart"/>
      <w:r w:rsidRPr="00675392">
        <w:rPr>
          <w:sz w:val="22"/>
        </w:rPr>
        <w:t>on</w:t>
      </w:r>
      <w:proofErr w:type="spellEnd"/>
      <w:r w:rsidRPr="00675392">
        <w:rPr>
          <w:sz w:val="22"/>
        </w:rPr>
        <w:t xml:space="preserve"> </w:t>
      </w:r>
      <w:proofErr w:type="spellStart"/>
      <w:r w:rsidRPr="00675392">
        <w:rPr>
          <w:sz w:val="22"/>
        </w:rPr>
        <w:t>epidemiology</w:t>
      </w:r>
      <w:proofErr w:type="spellEnd"/>
      <w:r w:rsidRPr="00675392">
        <w:rPr>
          <w:sz w:val="22"/>
        </w:rPr>
        <w:t xml:space="preserve"> of visceral leishmaniasis in Georgia. </w:t>
      </w:r>
      <w:proofErr w:type="spellStart"/>
      <w:r w:rsidRPr="00675392">
        <w:rPr>
          <w:sz w:val="22"/>
        </w:rPr>
        <w:t>Georgian</w:t>
      </w:r>
      <w:proofErr w:type="spellEnd"/>
      <w:r w:rsidRPr="00675392">
        <w:rPr>
          <w:sz w:val="22"/>
        </w:rPr>
        <w:t xml:space="preserve"> </w:t>
      </w:r>
      <w:proofErr w:type="spellStart"/>
      <w:r w:rsidRPr="00675392">
        <w:rPr>
          <w:sz w:val="22"/>
        </w:rPr>
        <w:t>Med</w:t>
      </w:r>
      <w:proofErr w:type="spellEnd"/>
      <w:r w:rsidRPr="00675392">
        <w:rPr>
          <w:sz w:val="22"/>
        </w:rPr>
        <w:t xml:space="preserve"> News 172-173:76-80.</w:t>
      </w:r>
    </w:p>
    <w:p w:rsidR="002F7C1A" w:rsidRPr="00675392" w:rsidRDefault="002F7C1A" w:rsidP="00675392"/>
    <w:sectPr w:rsidR="002F7C1A" w:rsidRPr="00675392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2F2FE4"/>
    <w:multiLevelType w:val="hybridMultilevel"/>
    <w:tmpl w:val="D708F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392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75392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6153A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2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675392"/>
    <w:rPr>
      <w:color w:val="0000FF"/>
      <w:u w:val="single"/>
    </w:rPr>
  </w:style>
  <w:style w:type="paragraph" w:customStyle="1" w:styleId="Bodypktbk">
    <w:name w:val="Body pktbk"/>
    <w:basedOn w:val="Normal"/>
    <w:rsid w:val="00675392"/>
    <w:pPr>
      <w:tabs>
        <w:tab w:val="left" w:pos="284"/>
        <w:tab w:val="left" w:pos="567"/>
        <w:tab w:val="left" w:pos="851"/>
      </w:tabs>
      <w:suppressAutoHyphens/>
      <w:spacing w:before="120" w:after="120"/>
      <w:ind w:left="0" w:firstLine="0"/>
      <w:jc w:val="left"/>
    </w:pPr>
    <w:rPr>
      <w:rFonts w:eastAsia="Times New Roman" w:cs="Times New Roman"/>
      <w:sz w:val="18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92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Pagava%20EK%22%5BAuthor%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Bakashvili%20LZ%22%5BAuthor%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AL_get(this,%20'jour',%20'Georgian%20%0d%0aMed%20News.'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Zenanishvili%20OP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Pagava%20KI%22%5BAuthor%5D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www.ncbi.nlm.nih.gov/pubmed?term=%22Mandzhagaladze%20MR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25"/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5118110236220486E-2"/>
          <c:w val="0.90401146131805155"/>
          <c:h val="0.744094488188976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9</c:v>
                </c:pt>
                <c:pt idx="1">
                  <c:v>20</c:v>
                </c:pt>
                <c:pt idx="2">
                  <c:v>96</c:v>
                </c:pt>
                <c:pt idx="3">
                  <c:v>80</c:v>
                </c:pt>
                <c:pt idx="4">
                  <c:v>83</c:v>
                </c:pt>
                <c:pt idx="5">
                  <c:v>94</c:v>
                </c:pt>
                <c:pt idx="6">
                  <c:v>93</c:v>
                </c:pt>
                <c:pt idx="7">
                  <c:v>122</c:v>
                </c:pt>
                <c:pt idx="8">
                  <c:v>107</c:v>
                </c:pt>
                <c:pt idx="9">
                  <c:v>104</c:v>
                </c:pt>
                <c:pt idx="10">
                  <c:v>133</c:v>
                </c:pt>
                <c:pt idx="11">
                  <c:v>160</c:v>
                </c:pt>
                <c:pt idx="12">
                  <c:v>174</c:v>
                </c:pt>
                <c:pt idx="13">
                  <c:v>182</c:v>
                </c:pt>
                <c:pt idx="14">
                  <c:v>171</c:v>
                </c:pt>
              </c:numCache>
            </c:numRef>
          </c:val>
        </c:ser>
        <c:gapDepth val="0"/>
        <c:shape val="box"/>
        <c:axId val="577780352"/>
        <c:axId val="577790336"/>
        <c:axId val="0"/>
      </c:bar3DChart>
      <c:catAx>
        <c:axId val="577780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7790336"/>
        <c:crosses val="autoZero"/>
        <c:auto val="1"/>
        <c:lblAlgn val="ctr"/>
        <c:lblOffset val="100"/>
        <c:tickLblSkip val="1"/>
        <c:tickMarkSkip val="1"/>
      </c:catAx>
      <c:valAx>
        <c:axId val="5777903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7780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833876221498399E-2"/>
          <c:y val="4.3689320388349502E-2"/>
          <c:w val="0.89087947882736152"/>
          <c:h val="0.708737864077669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11</c:v>
                </c:pt>
              </c:numCache>
            </c:numRef>
          </c:val>
        </c:ser>
        <c:gapDepth val="0"/>
        <c:shape val="box"/>
        <c:axId val="572936192"/>
        <c:axId val="572937728"/>
        <c:axId val="0"/>
      </c:bar3DChart>
      <c:catAx>
        <c:axId val="572936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37728"/>
        <c:crosses val="autoZero"/>
        <c:auto val="1"/>
        <c:lblAlgn val="ctr"/>
        <c:lblOffset val="100"/>
        <c:tickLblSkip val="1"/>
        <c:tickMarkSkip val="1"/>
      </c:catAx>
      <c:valAx>
        <c:axId val="572937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36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2012-04-01T20:55:00Z</dcterms:created>
  <dcterms:modified xsi:type="dcterms:W3CDTF">2012-04-01T20:58:00Z</dcterms:modified>
</cp:coreProperties>
</file>