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FC" w:rsidRPr="003F7730" w:rsidRDefault="000D14FC" w:rsidP="000D14FC">
      <w:pPr>
        <w:spacing w:line="276" w:lineRule="auto"/>
        <w:rPr>
          <w:b/>
          <w:sz w:val="22"/>
          <w:u w:val="single"/>
          <w:lang w:val="en-US"/>
        </w:rPr>
      </w:pPr>
      <w:r w:rsidRPr="003F7730">
        <w:rPr>
          <w:b/>
          <w:sz w:val="22"/>
          <w:u w:val="single"/>
          <w:lang w:val="en-US"/>
        </w:rPr>
        <w:t xml:space="preserve">FRENCH </w:t>
      </w:r>
      <w:smartTag w:uri="urn:schemas-microsoft-com:office:smarttags" w:element="country-region">
        <w:smartTag w:uri="urn:schemas-microsoft-com:office:smarttags" w:element="place">
          <w:r w:rsidRPr="003F7730">
            <w:rPr>
              <w:b/>
              <w:sz w:val="22"/>
              <w:u w:val="single"/>
              <w:lang w:val="en-US"/>
            </w:rPr>
            <w:t>GUYANA</w:t>
          </w:r>
        </w:smartTag>
      </w:smartTag>
    </w:p>
    <w:p w:rsidR="000D14FC" w:rsidRPr="00681B94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sz w:val="22"/>
          <w:lang w:val="en-US"/>
        </w:rPr>
      </w:pPr>
      <w:r>
        <w:rPr>
          <w:noProof/>
          <w:sz w:val="22"/>
          <w:lang w:val="en-US"/>
        </w:rPr>
        <w:drawing>
          <wp:inline distT="0" distB="0" distL="0" distR="0">
            <wp:extent cx="2857500" cy="191389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4FC" w:rsidRDefault="000D14FC" w:rsidP="000D14FC">
      <w:pPr>
        <w:spacing w:line="276" w:lineRule="auto"/>
        <w:rPr>
          <w:sz w:val="22"/>
          <w:lang w:val="en-US"/>
        </w:rPr>
      </w:pPr>
    </w:p>
    <w:p w:rsidR="000D14FC" w:rsidRDefault="000D14FC" w:rsidP="000D14FC">
      <w:pPr>
        <w:spacing w:line="276" w:lineRule="auto"/>
        <w:rPr>
          <w:sz w:val="22"/>
          <w:lang w:val="en-US"/>
        </w:rPr>
      </w:pPr>
    </w:p>
    <w:p w:rsidR="000D14FC" w:rsidRPr="002C75B8" w:rsidRDefault="000D14FC" w:rsidP="000D14FC">
      <w:pPr>
        <w:spacing w:line="480" w:lineRule="auto"/>
        <w:ind w:left="0" w:firstLine="0"/>
        <w:rPr>
          <w:b/>
          <w:sz w:val="22"/>
          <w:lang w:val="en-US"/>
        </w:rPr>
      </w:pPr>
      <w:r w:rsidRPr="002C75B8">
        <w:rPr>
          <w:b/>
          <w:sz w:val="22"/>
          <w:lang w:val="en-US"/>
        </w:rPr>
        <w:t xml:space="preserve">BASIC </w:t>
      </w:r>
      <w:r>
        <w:rPr>
          <w:b/>
          <w:sz w:val="22"/>
          <w:lang w:val="en-US"/>
        </w:rPr>
        <w:t>DEPARTMENT</w:t>
      </w:r>
      <w:r w:rsidRPr="002C75B8">
        <w:rPr>
          <w:b/>
          <w:sz w:val="22"/>
          <w:lang w:val="en-US"/>
        </w:rPr>
        <w:t xml:space="preserve"> DATA</w:t>
      </w:r>
    </w:p>
    <w:p w:rsidR="000D14FC" w:rsidRDefault="000D14FC" w:rsidP="000D14FC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No data</w:t>
      </w: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Default="000D14FC" w:rsidP="000D14FC">
      <w:pPr>
        <w:ind w:left="0" w:firstLine="0"/>
        <w:rPr>
          <w:b/>
          <w:sz w:val="22"/>
          <w:lang w:val="en-US"/>
        </w:rPr>
      </w:pPr>
      <w:r w:rsidRPr="000F456B">
        <w:rPr>
          <w:b/>
          <w:sz w:val="22"/>
          <w:lang w:val="en-US"/>
        </w:rPr>
        <w:t>BACKGROUND INFORMATION</w:t>
      </w:r>
    </w:p>
    <w:p w:rsidR="000D14FC" w:rsidRPr="00C65367" w:rsidRDefault="000D14FC" w:rsidP="000D14FC">
      <w:pPr>
        <w:ind w:left="0" w:firstLine="0"/>
        <w:rPr>
          <w:b/>
          <w:bCs/>
          <w:sz w:val="22"/>
          <w:lang w:val="en-GB"/>
        </w:rPr>
      </w:pPr>
    </w:p>
    <w:p w:rsidR="000D14FC" w:rsidRPr="00681B94" w:rsidRDefault="000D14FC" w:rsidP="000D14FC">
      <w:pPr>
        <w:ind w:left="0" w:firstLine="0"/>
        <w:rPr>
          <w:b/>
          <w:sz w:val="22"/>
          <w:lang w:val="en-US"/>
        </w:rPr>
      </w:pPr>
      <w:r>
        <w:rPr>
          <w:sz w:val="22"/>
          <w:lang w:val="en-GB"/>
        </w:rPr>
        <w:t xml:space="preserve">Cutaneous </w:t>
      </w:r>
      <w:r w:rsidRPr="00C65367">
        <w:rPr>
          <w:sz w:val="22"/>
          <w:lang w:val="en-GB"/>
        </w:rPr>
        <w:t>leishmaniasis</w:t>
      </w:r>
      <w:r>
        <w:rPr>
          <w:sz w:val="22"/>
          <w:lang w:val="en-GB"/>
        </w:rPr>
        <w:t>,</w:t>
      </w:r>
      <w:r w:rsidRPr="00C65367">
        <w:rPr>
          <w:sz w:val="22"/>
          <w:lang w:val="en-GB"/>
        </w:rPr>
        <w:t xml:space="preserve"> called "</w:t>
      </w:r>
      <w:proofErr w:type="spellStart"/>
      <w:r w:rsidRPr="00C65367">
        <w:rPr>
          <w:sz w:val="22"/>
          <w:lang w:val="en-GB"/>
        </w:rPr>
        <w:t>Pian</w:t>
      </w:r>
      <w:proofErr w:type="spellEnd"/>
      <w:r w:rsidRPr="00C65367">
        <w:rPr>
          <w:sz w:val="22"/>
          <w:lang w:val="en-GB"/>
        </w:rPr>
        <w:t xml:space="preserve"> Bois" or "bush yaws"</w:t>
      </w:r>
      <w:r>
        <w:rPr>
          <w:sz w:val="22"/>
          <w:lang w:val="en-GB"/>
        </w:rPr>
        <w:t>,</w:t>
      </w:r>
      <w:r w:rsidRPr="00C65367">
        <w:rPr>
          <w:sz w:val="22"/>
          <w:lang w:val="en-GB"/>
        </w:rPr>
        <w:t xml:space="preserve"> is a very old endemic disease</w:t>
      </w:r>
      <w:r>
        <w:rPr>
          <w:sz w:val="22"/>
          <w:lang w:val="en-GB"/>
        </w:rPr>
        <w:t xml:space="preserve"> [1]</w:t>
      </w:r>
      <w:r w:rsidRPr="00C65367">
        <w:rPr>
          <w:sz w:val="22"/>
          <w:lang w:val="en-GB"/>
        </w:rPr>
        <w:t xml:space="preserve">. Transmission is zoonotic and related to occupational activities in the primary rain forest. </w:t>
      </w:r>
      <w:r w:rsidRPr="00681B94">
        <w:rPr>
          <w:sz w:val="22"/>
          <w:lang w:val="en-US"/>
        </w:rPr>
        <w:t>The first parasitologically confirmed case was described in 1943</w:t>
      </w:r>
      <w:r>
        <w:rPr>
          <w:sz w:val="22"/>
          <w:lang w:val="en-US"/>
        </w:rPr>
        <w:t xml:space="preserve"> [2]</w:t>
      </w:r>
      <w:r w:rsidRPr="00681B94">
        <w:rPr>
          <w:sz w:val="22"/>
          <w:lang w:val="en-US"/>
        </w:rPr>
        <w:t xml:space="preserve">, and the parasite described as </w:t>
      </w:r>
      <w:r w:rsidRPr="00681B94">
        <w:rPr>
          <w:i/>
          <w:sz w:val="22"/>
          <w:lang w:val="en-US"/>
        </w:rPr>
        <w:t>Leishmania tropica guyanensis</w:t>
      </w:r>
      <w:r w:rsidRPr="00681B94">
        <w:rPr>
          <w:sz w:val="22"/>
          <w:lang w:val="en-US"/>
        </w:rPr>
        <w:t xml:space="preserve">. </w:t>
      </w:r>
      <w:r>
        <w:rPr>
          <w:sz w:val="22"/>
          <w:lang w:val="en-US"/>
        </w:rPr>
        <w:t xml:space="preserve">Since then, more species have been identified. </w:t>
      </w:r>
      <w:r w:rsidRPr="00C65367">
        <w:rPr>
          <w:sz w:val="22"/>
          <w:lang w:val="en-GB"/>
        </w:rPr>
        <w:t xml:space="preserve">The prevalence of the various </w:t>
      </w:r>
      <w:r w:rsidRPr="00C65367">
        <w:rPr>
          <w:i/>
          <w:iCs/>
          <w:sz w:val="22"/>
          <w:lang w:val="en-GB"/>
        </w:rPr>
        <w:t>Leishmania</w:t>
      </w:r>
      <w:r w:rsidRPr="00C65367">
        <w:rPr>
          <w:sz w:val="22"/>
          <w:lang w:val="en-GB"/>
        </w:rPr>
        <w:t xml:space="preserve"> spp. was 84.4% for </w:t>
      </w:r>
      <w:r w:rsidRPr="00C65367">
        <w:rPr>
          <w:i/>
          <w:iCs/>
          <w:sz w:val="22"/>
          <w:lang w:val="en-GB"/>
        </w:rPr>
        <w:t>L. (V.) guyanensis</w:t>
      </w:r>
      <w:r w:rsidRPr="00C65367">
        <w:rPr>
          <w:sz w:val="22"/>
          <w:lang w:val="en-GB"/>
        </w:rPr>
        <w:t xml:space="preserve">, 8.0% for </w:t>
      </w:r>
      <w:r w:rsidRPr="00C65367">
        <w:rPr>
          <w:i/>
          <w:iCs/>
          <w:sz w:val="22"/>
          <w:lang w:val="en-GB"/>
        </w:rPr>
        <w:t>L. (V.) braziliensis</w:t>
      </w:r>
      <w:r w:rsidRPr="00C65367">
        <w:rPr>
          <w:sz w:val="22"/>
          <w:lang w:val="en-GB"/>
        </w:rPr>
        <w:t xml:space="preserve">, 5.0% for </w:t>
      </w:r>
      <w:r w:rsidRPr="00C65367">
        <w:rPr>
          <w:i/>
          <w:iCs/>
          <w:sz w:val="22"/>
          <w:lang w:val="en-GB"/>
        </w:rPr>
        <w:t>L. (L.) amazonensis</w:t>
      </w:r>
      <w:r w:rsidRPr="00C65367">
        <w:rPr>
          <w:sz w:val="22"/>
          <w:lang w:val="en-GB"/>
        </w:rPr>
        <w:t xml:space="preserve">, and 2.6% for </w:t>
      </w:r>
      <w:r w:rsidRPr="00C65367">
        <w:rPr>
          <w:i/>
          <w:iCs/>
          <w:sz w:val="22"/>
          <w:lang w:val="en-GB"/>
        </w:rPr>
        <w:t xml:space="preserve">L. (V.) </w:t>
      </w:r>
      <w:proofErr w:type="spellStart"/>
      <w:r w:rsidRPr="00C65367">
        <w:rPr>
          <w:i/>
          <w:iCs/>
          <w:sz w:val="22"/>
          <w:lang w:val="en-GB"/>
        </w:rPr>
        <w:t>lainsoni</w:t>
      </w:r>
      <w:proofErr w:type="spellEnd"/>
      <w:r w:rsidRPr="00C65367">
        <w:rPr>
          <w:i/>
          <w:iCs/>
          <w:sz w:val="22"/>
          <w:lang w:val="en-GB"/>
        </w:rPr>
        <w:t xml:space="preserve"> </w:t>
      </w:r>
      <w:r>
        <w:rPr>
          <w:iCs/>
          <w:sz w:val="22"/>
          <w:lang w:val="en-GB"/>
        </w:rPr>
        <w:t>[3]</w:t>
      </w:r>
      <w:r w:rsidRPr="00C65367">
        <w:rPr>
          <w:sz w:val="22"/>
          <w:lang w:val="en-GB"/>
        </w:rPr>
        <w:t xml:space="preserve">. </w:t>
      </w:r>
      <w:r w:rsidRPr="00A16580">
        <w:rPr>
          <w:sz w:val="22"/>
          <w:lang w:val="en-US"/>
        </w:rPr>
        <w:t>Between 1943 and 1951, 83 cases were diagnosed</w:t>
      </w:r>
      <w:r>
        <w:rPr>
          <w:sz w:val="22"/>
          <w:lang w:val="en-US"/>
        </w:rPr>
        <w:t xml:space="preserve">, </w:t>
      </w:r>
      <w:r w:rsidRPr="00681B94">
        <w:rPr>
          <w:sz w:val="22"/>
          <w:lang w:val="en-US"/>
        </w:rPr>
        <w:t>only half parasitologically confirmed</w:t>
      </w:r>
      <w:r>
        <w:rPr>
          <w:sz w:val="22"/>
          <w:lang w:val="en-US"/>
        </w:rPr>
        <w:t xml:space="preserve"> [1]</w:t>
      </w:r>
      <w:r w:rsidRPr="00681B94">
        <w:rPr>
          <w:sz w:val="22"/>
          <w:lang w:val="en-US"/>
        </w:rPr>
        <w:t>. Since 1977</w:t>
      </w:r>
      <w:r>
        <w:rPr>
          <w:sz w:val="22"/>
          <w:lang w:val="en-US"/>
        </w:rPr>
        <w:t>,</w:t>
      </w:r>
      <w:r w:rsidRPr="00681B94">
        <w:rPr>
          <w:sz w:val="22"/>
          <w:lang w:val="en-US"/>
        </w:rPr>
        <w:t xml:space="preserve"> the number of cases has increased </w:t>
      </w:r>
      <w:r>
        <w:rPr>
          <w:sz w:val="22"/>
          <w:lang w:val="en-US"/>
        </w:rPr>
        <w:t>and infections occur regularly among young male adults who work in or near the forest</w:t>
      </w:r>
      <w:r>
        <w:rPr>
          <w:sz w:val="22"/>
          <w:vertAlign w:val="superscript"/>
          <w:lang w:val="en-US"/>
        </w:rPr>
        <w:t xml:space="preserve"> </w:t>
      </w:r>
      <w:r>
        <w:rPr>
          <w:sz w:val="22"/>
          <w:lang w:val="en-US"/>
        </w:rPr>
        <w:t xml:space="preserve">(84.2% of cases) as shows a survey taken from 1981-1987 [4]. 206,000 people are thought to be at risk. </w:t>
      </w:r>
    </w:p>
    <w:p w:rsidR="000D14FC" w:rsidRDefault="000D14FC" w:rsidP="000D14FC">
      <w:pPr>
        <w:ind w:left="0" w:firstLine="0"/>
        <w:rPr>
          <w:sz w:val="22"/>
          <w:lang w:val="en-US"/>
        </w:rPr>
      </w:pPr>
    </w:p>
    <w:p w:rsidR="000D14FC" w:rsidRDefault="000D14FC" w:rsidP="000D14FC">
      <w:pPr>
        <w:ind w:left="0" w:firstLine="0"/>
        <w:rPr>
          <w:sz w:val="22"/>
          <w:lang w:val="en-US"/>
        </w:rPr>
      </w:pPr>
      <w:r w:rsidRPr="00681B94">
        <w:rPr>
          <w:sz w:val="22"/>
          <w:lang w:val="en-US"/>
        </w:rPr>
        <w:t>In French Guyana</w:t>
      </w:r>
      <w:r>
        <w:rPr>
          <w:sz w:val="22"/>
          <w:lang w:val="en-US"/>
        </w:rPr>
        <w:t>,</w:t>
      </w:r>
      <w:r w:rsidRPr="00681B94">
        <w:rPr>
          <w:sz w:val="22"/>
          <w:lang w:val="en-US"/>
        </w:rPr>
        <w:t xml:space="preserve"> there are at least two distinct cycles of leishmaniasis, both occurring in the rain forest but at two different altitudinal levels (canopy and ground level)</w:t>
      </w:r>
      <w:r>
        <w:rPr>
          <w:sz w:val="22"/>
          <w:lang w:val="en-US"/>
        </w:rPr>
        <w:t xml:space="preserve"> [1]</w:t>
      </w:r>
      <w:r w:rsidRPr="00681B94">
        <w:rPr>
          <w:sz w:val="22"/>
          <w:lang w:val="en-US"/>
        </w:rPr>
        <w:t xml:space="preserve">. </w:t>
      </w:r>
      <w:r>
        <w:rPr>
          <w:sz w:val="22"/>
          <w:lang w:val="en-US"/>
        </w:rPr>
        <w:t>Most</w:t>
      </w:r>
      <w:r w:rsidRPr="00681B94">
        <w:rPr>
          <w:sz w:val="22"/>
          <w:lang w:val="en-US"/>
        </w:rPr>
        <w:t xml:space="preserve"> transmission occur</w:t>
      </w:r>
      <w:r>
        <w:rPr>
          <w:sz w:val="22"/>
          <w:lang w:val="en-US"/>
        </w:rPr>
        <w:t>s</w:t>
      </w:r>
      <w:r w:rsidRPr="00681B94">
        <w:rPr>
          <w:sz w:val="22"/>
          <w:lang w:val="en-US"/>
        </w:rPr>
        <w:t xml:space="preserve"> during periods of low rainfall. Establishment of human settlements has given rise to </w:t>
      </w:r>
      <w:proofErr w:type="spellStart"/>
      <w:r w:rsidRPr="00681B94">
        <w:rPr>
          <w:sz w:val="22"/>
          <w:lang w:val="en-US"/>
        </w:rPr>
        <w:t>intradomiciliary</w:t>
      </w:r>
      <w:proofErr w:type="spellEnd"/>
      <w:r w:rsidRPr="00681B94">
        <w:rPr>
          <w:sz w:val="22"/>
          <w:lang w:val="en-US"/>
        </w:rPr>
        <w:t xml:space="preserve"> transmission. </w:t>
      </w: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Pr="00463FE2" w:rsidRDefault="000D14FC" w:rsidP="000D14FC">
      <w:pPr>
        <w:spacing w:line="276" w:lineRule="auto"/>
        <w:rPr>
          <w:b/>
          <w:sz w:val="22"/>
          <w:lang w:val="en-GB"/>
        </w:rPr>
      </w:pPr>
    </w:p>
    <w:p w:rsidR="000D14FC" w:rsidRDefault="000D14FC" w:rsidP="000D14FC">
      <w:pPr>
        <w:spacing w:line="276" w:lineRule="auto"/>
        <w:rPr>
          <w:b/>
          <w:sz w:val="22"/>
          <w:lang w:val="it-IT"/>
        </w:rPr>
      </w:pPr>
      <w:r w:rsidRPr="00ED1E9B">
        <w:rPr>
          <w:b/>
          <w:sz w:val="22"/>
          <w:lang w:val="it-IT"/>
        </w:rPr>
        <w:t>PARASITOLOGICAL INFORMATION</w:t>
      </w:r>
    </w:p>
    <w:p w:rsidR="000D14FC" w:rsidRDefault="000D14FC" w:rsidP="000D14FC">
      <w:pPr>
        <w:spacing w:line="276" w:lineRule="auto"/>
        <w:rPr>
          <w:b/>
          <w:sz w:val="22"/>
          <w:lang w:val="it-IT"/>
        </w:rPr>
      </w:pPr>
    </w:p>
    <w:tbl>
      <w:tblPr>
        <w:tblW w:w="450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5"/>
        <w:gridCol w:w="1141"/>
        <w:gridCol w:w="2891"/>
        <w:gridCol w:w="2697"/>
      </w:tblGrid>
      <w:tr w:rsidR="000D14FC" w:rsidRPr="00377FCA" w:rsidTr="00A7768B">
        <w:trPr>
          <w:trHeight w:val="719"/>
        </w:trPr>
        <w:tc>
          <w:tcPr>
            <w:tcW w:w="1103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ind w:left="0" w:hanging="180"/>
              <w:jc w:val="center"/>
              <w:rPr>
                <w:b/>
                <w:sz w:val="22"/>
                <w:lang w:val="en-US"/>
              </w:rPr>
            </w:pPr>
            <w:r w:rsidRPr="006033F9">
              <w:rPr>
                <w:b/>
                <w:i/>
                <w:sz w:val="22"/>
                <w:lang w:val="en-US"/>
              </w:rPr>
              <w:t>Leishmania</w:t>
            </w:r>
            <w:r w:rsidRPr="006033F9">
              <w:rPr>
                <w:b/>
                <w:sz w:val="22"/>
                <w:lang w:val="en-US"/>
              </w:rPr>
              <w:t xml:space="preserve"> species</w:t>
            </w:r>
          </w:p>
        </w:tc>
        <w:tc>
          <w:tcPr>
            <w:tcW w:w="661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ind w:left="0" w:hanging="82"/>
              <w:jc w:val="center"/>
              <w:rPr>
                <w:b/>
                <w:iCs/>
                <w:sz w:val="22"/>
                <w:lang w:val="en-US"/>
              </w:rPr>
            </w:pPr>
            <w:r w:rsidRPr="006033F9">
              <w:rPr>
                <w:b/>
                <w:iCs/>
                <w:sz w:val="22"/>
                <w:lang w:val="en-US"/>
              </w:rPr>
              <w:t>Clinical form</w:t>
            </w:r>
          </w:p>
        </w:tc>
        <w:tc>
          <w:tcPr>
            <w:tcW w:w="1674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ind w:left="0"/>
              <w:jc w:val="center"/>
              <w:rPr>
                <w:b/>
                <w:sz w:val="22"/>
                <w:lang w:val="en-US"/>
              </w:rPr>
            </w:pPr>
            <w:r w:rsidRPr="006033F9">
              <w:rPr>
                <w:b/>
                <w:sz w:val="22"/>
                <w:lang w:val="en-US"/>
              </w:rPr>
              <w:t>Vector species</w:t>
            </w:r>
          </w:p>
        </w:tc>
        <w:tc>
          <w:tcPr>
            <w:tcW w:w="1562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ind w:left="0"/>
              <w:jc w:val="center"/>
              <w:rPr>
                <w:b/>
                <w:iCs/>
                <w:sz w:val="22"/>
                <w:lang w:val="en-US"/>
              </w:rPr>
            </w:pPr>
            <w:r w:rsidRPr="006033F9">
              <w:rPr>
                <w:b/>
                <w:iCs/>
                <w:sz w:val="22"/>
                <w:lang w:val="en-US"/>
              </w:rPr>
              <w:t>Reservoirs</w:t>
            </w:r>
          </w:p>
        </w:tc>
      </w:tr>
      <w:tr w:rsidR="000D14FC" w:rsidRPr="00C65367" w:rsidTr="00A7768B">
        <w:trPr>
          <w:trHeight w:val="854"/>
        </w:trPr>
        <w:tc>
          <w:tcPr>
            <w:tcW w:w="1103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>L. guyanensis</w:t>
            </w:r>
          </w:p>
        </w:tc>
        <w:tc>
          <w:tcPr>
            <w:tcW w:w="661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jc w:val="center"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ZCL</w:t>
            </w:r>
          </w:p>
        </w:tc>
        <w:tc>
          <w:tcPr>
            <w:tcW w:w="1674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jc w:val="left"/>
              <w:rPr>
                <w:i/>
                <w:iCs/>
                <w:sz w:val="22"/>
                <w:lang w:val="en-US"/>
              </w:rPr>
            </w:pPr>
            <w:r>
              <w:rPr>
                <w:i/>
                <w:iCs/>
                <w:sz w:val="22"/>
                <w:lang w:val="en-US"/>
              </w:rPr>
              <w:t xml:space="preserve">Lu. </w:t>
            </w:r>
            <w:proofErr w:type="spellStart"/>
            <w:r>
              <w:rPr>
                <w:i/>
                <w:iCs/>
                <w:sz w:val="22"/>
                <w:lang w:val="en-US"/>
              </w:rPr>
              <w:t>u</w:t>
            </w:r>
            <w:r w:rsidRPr="006033F9">
              <w:rPr>
                <w:i/>
                <w:iCs/>
                <w:sz w:val="22"/>
                <w:lang w:val="en-US"/>
              </w:rPr>
              <w:t>mbratilis</w:t>
            </w:r>
            <w:proofErr w:type="spellEnd"/>
          </w:p>
        </w:tc>
        <w:tc>
          <w:tcPr>
            <w:tcW w:w="1562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jc w:val="left"/>
              <w:rPr>
                <w:i/>
                <w:iCs/>
                <w:sz w:val="22"/>
                <w:lang w:val="en-US"/>
              </w:rPr>
            </w:pPr>
            <w:proofErr w:type="spellStart"/>
            <w:r w:rsidRPr="006033F9">
              <w:rPr>
                <w:i/>
                <w:iCs/>
                <w:sz w:val="22"/>
                <w:lang w:val="en-US"/>
              </w:rPr>
              <w:t>Choleopus</w:t>
            </w:r>
            <w:proofErr w:type="spellEnd"/>
            <w:r w:rsidRPr="006033F9">
              <w:rPr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didactylus</w:t>
            </w:r>
            <w:proofErr w:type="spellEnd"/>
            <w:r w:rsidRPr="006033F9">
              <w:rPr>
                <w:i/>
                <w:iCs/>
                <w:sz w:val="22"/>
                <w:lang w:val="en-US"/>
              </w:rPr>
              <w:t>,</w:t>
            </w:r>
          </w:p>
          <w:p w:rsidR="000D14FC" w:rsidRPr="006033F9" w:rsidRDefault="000D14FC" w:rsidP="00A7768B">
            <w:pPr>
              <w:contextualSpacing/>
              <w:jc w:val="left"/>
              <w:rPr>
                <w:i/>
                <w:iCs/>
                <w:sz w:val="22"/>
                <w:lang w:val="en-US"/>
              </w:rPr>
            </w:pPr>
            <w:proofErr w:type="spellStart"/>
            <w:r w:rsidRPr="006033F9">
              <w:rPr>
                <w:i/>
                <w:iCs/>
                <w:sz w:val="22"/>
                <w:lang w:val="en-US"/>
              </w:rPr>
              <w:t>Proechimys</w:t>
            </w:r>
            <w:proofErr w:type="spellEnd"/>
            <w:r w:rsidRPr="006033F9">
              <w:rPr>
                <w:i/>
                <w:iCs/>
                <w:sz w:val="22"/>
                <w:lang w:val="en-US"/>
              </w:rPr>
              <w:t xml:space="preserve"> sp., </w:t>
            </w:r>
          </w:p>
          <w:p w:rsidR="000D14FC" w:rsidRPr="006033F9" w:rsidRDefault="000D14FC" w:rsidP="00A7768B">
            <w:pPr>
              <w:contextualSpacing/>
              <w:jc w:val="left"/>
              <w:rPr>
                <w:i/>
                <w:iCs/>
                <w:sz w:val="22"/>
                <w:lang w:val="en-US"/>
              </w:rPr>
            </w:pPr>
            <w:proofErr w:type="spellStart"/>
            <w:r w:rsidRPr="006033F9">
              <w:rPr>
                <w:i/>
                <w:iCs/>
                <w:sz w:val="22"/>
                <w:lang w:val="en-US"/>
              </w:rPr>
              <w:t>Didelphis</w:t>
            </w:r>
            <w:proofErr w:type="spellEnd"/>
            <w:r w:rsidRPr="006033F9">
              <w:rPr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marsupialis</w:t>
            </w:r>
            <w:proofErr w:type="spellEnd"/>
          </w:p>
        </w:tc>
      </w:tr>
      <w:tr w:rsidR="000D14FC" w:rsidRPr="00377FCA" w:rsidTr="00A7768B">
        <w:trPr>
          <w:trHeight w:val="530"/>
        </w:trPr>
        <w:tc>
          <w:tcPr>
            <w:tcW w:w="1103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>L. braziliensis</w:t>
            </w:r>
          </w:p>
        </w:tc>
        <w:tc>
          <w:tcPr>
            <w:tcW w:w="661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ind w:left="0" w:hanging="36"/>
              <w:contextualSpacing/>
              <w:jc w:val="center"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 xml:space="preserve">ZCL, MCL </w:t>
            </w:r>
          </w:p>
        </w:tc>
        <w:tc>
          <w:tcPr>
            <w:tcW w:w="1674" w:type="pct"/>
            <w:shd w:val="clear" w:color="000000" w:fill="FFFFFF"/>
            <w:vAlign w:val="center"/>
          </w:tcPr>
          <w:p w:rsidR="000D14FC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 xml:space="preserve">Lu.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wellcomei</w:t>
            </w:r>
            <w:proofErr w:type="spellEnd"/>
            <w:r w:rsidRPr="006033F9">
              <w:rPr>
                <w:i/>
                <w:iCs/>
                <w:sz w:val="22"/>
                <w:lang w:val="en-US"/>
              </w:rPr>
              <w:t xml:space="preserve">, </w:t>
            </w:r>
          </w:p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 xml:space="preserve">Lu.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intermedia</w:t>
            </w:r>
            <w:proofErr w:type="spellEnd"/>
          </w:p>
        </w:tc>
        <w:tc>
          <w:tcPr>
            <w:tcW w:w="1562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unknown</w:t>
            </w:r>
          </w:p>
        </w:tc>
      </w:tr>
      <w:tr w:rsidR="000D14FC" w:rsidRPr="00377FCA" w:rsidTr="00A7768B">
        <w:trPr>
          <w:trHeight w:val="431"/>
        </w:trPr>
        <w:tc>
          <w:tcPr>
            <w:tcW w:w="1103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lastRenderedPageBreak/>
              <w:t>L. amazonensis</w:t>
            </w:r>
          </w:p>
        </w:tc>
        <w:tc>
          <w:tcPr>
            <w:tcW w:w="661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jc w:val="center"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ZCL</w:t>
            </w:r>
          </w:p>
        </w:tc>
        <w:tc>
          <w:tcPr>
            <w:tcW w:w="1674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 xml:space="preserve">Lu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flaviscutellata</w:t>
            </w:r>
            <w:proofErr w:type="spellEnd"/>
          </w:p>
        </w:tc>
        <w:tc>
          <w:tcPr>
            <w:tcW w:w="1562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proofErr w:type="spellStart"/>
            <w:r w:rsidRPr="006033F9">
              <w:rPr>
                <w:i/>
                <w:iCs/>
                <w:sz w:val="22"/>
                <w:lang w:val="en-US"/>
              </w:rPr>
              <w:t>Proechimys</w:t>
            </w:r>
            <w:proofErr w:type="spellEnd"/>
            <w:r w:rsidRPr="006033F9">
              <w:rPr>
                <w:i/>
                <w:iCs/>
                <w:sz w:val="22"/>
                <w:lang w:val="en-US"/>
              </w:rPr>
              <w:t xml:space="preserve"> sp.</w:t>
            </w:r>
          </w:p>
        </w:tc>
      </w:tr>
      <w:tr w:rsidR="000D14FC" w:rsidRPr="00377FCA" w:rsidTr="00A7768B">
        <w:trPr>
          <w:trHeight w:val="449"/>
        </w:trPr>
        <w:tc>
          <w:tcPr>
            <w:tcW w:w="1103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 xml:space="preserve">L.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naiffi</w:t>
            </w:r>
            <w:proofErr w:type="spellEnd"/>
          </w:p>
        </w:tc>
        <w:tc>
          <w:tcPr>
            <w:tcW w:w="661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jc w:val="center"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ZCL</w:t>
            </w:r>
          </w:p>
        </w:tc>
        <w:tc>
          <w:tcPr>
            <w:tcW w:w="1674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Unknown</w:t>
            </w:r>
          </w:p>
        </w:tc>
        <w:tc>
          <w:tcPr>
            <w:tcW w:w="1562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unknown</w:t>
            </w:r>
          </w:p>
        </w:tc>
      </w:tr>
      <w:tr w:rsidR="000D14FC" w:rsidRPr="00377FCA" w:rsidTr="00A7768B">
        <w:trPr>
          <w:trHeight w:val="440"/>
        </w:trPr>
        <w:tc>
          <w:tcPr>
            <w:tcW w:w="1103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i/>
                <w:iCs/>
                <w:sz w:val="22"/>
                <w:lang w:val="en-US"/>
              </w:rPr>
            </w:pPr>
            <w:r w:rsidRPr="006033F9">
              <w:rPr>
                <w:i/>
                <w:iCs/>
                <w:sz w:val="22"/>
                <w:lang w:val="en-US"/>
              </w:rPr>
              <w:t xml:space="preserve">L. </w:t>
            </w:r>
            <w:proofErr w:type="spellStart"/>
            <w:r w:rsidRPr="006033F9">
              <w:rPr>
                <w:i/>
                <w:iCs/>
                <w:sz w:val="22"/>
                <w:lang w:val="en-US"/>
              </w:rPr>
              <w:t>lainsoni</w:t>
            </w:r>
            <w:proofErr w:type="spellEnd"/>
          </w:p>
        </w:tc>
        <w:tc>
          <w:tcPr>
            <w:tcW w:w="661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jc w:val="center"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ZCL</w:t>
            </w:r>
          </w:p>
        </w:tc>
        <w:tc>
          <w:tcPr>
            <w:tcW w:w="1674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unknown</w:t>
            </w:r>
          </w:p>
        </w:tc>
        <w:tc>
          <w:tcPr>
            <w:tcW w:w="1562" w:type="pct"/>
            <w:shd w:val="clear" w:color="000000" w:fill="FFFFFF"/>
            <w:vAlign w:val="center"/>
          </w:tcPr>
          <w:p w:rsidR="000D14FC" w:rsidRPr="006033F9" w:rsidRDefault="000D14FC" w:rsidP="00A7768B">
            <w:pPr>
              <w:contextualSpacing/>
              <w:rPr>
                <w:sz w:val="22"/>
                <w:lang w:val="en-US"/>
              </w:rPr>
            </w:pPr>
            <w:r w:rsidRPr="006033F9">
              <w:rPr>
                <w:sz w:val="22"/>
                <w:lang w:val="en-US"/>
              </w:rPr>
              <w:t>unknown</w:t>
            </w:r>
          </w:p>
        </w:tc>
      </w:tr>
    </w:tbl>
    <w:p w:rsidR="000D14FC" w:rsidRPr="000F456B" w:rsidRDefault="000D14FC" w:rsidP="000D14FC">
      <w:pPr>
        <w:spacing w:line="276" w:lineRule="auto"/>
        <w:rPr>
          <w:b/>
          <w:sz w:val="22"/>
          <w:lang w:val="en-GB"/>
        </w:rPr>
      </w:pPr>
    </w:p>
    <w:p w:rsidR="000D14FC" w:rsidRPr="000F456B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TREND</w:t>
      </w: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  <w:r>
        <w:rPr>
          <w:b/>
          <w:sz w:val="22"/>
          <w:lang w:val="en-US"/>
        </w:rPr>
        <w:t>Cutaneous leishmaniasis</w:t>
      </w: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  <w:r>
        <w:rPr>
          <w:noProof/>
          <w:lang w:val="en-US"/>
        </w:rPr>
        <w:drawing>
          <wp:anchor distT="128016" distB="154432" distL="486156" distR="444754" simplePos="0" relativeHeight="251660288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152400</wp:posOffset>
            </wp:positionV>
            <wp:extent cx="4752340" cy="2403475"/>
            <wp:effectExtent l="0" t="0" r="0" b="0"/>
            <wp:wrapNone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spacing w:line="276" w:lineRule="auto"/>
        <w:rPr>
          <w:b/>
          <w:sz w:val="22"/>
          <w:lang w:val="en-US"/>
        </w:rPr>
      </w:pPr>
    </w:p>
    <w:p w:rsidR="000D14FC" w:rsidRDefault="000D14FC" w:rsidP="000D14FC">
      <w:pPr>
        <w:ind w:left="0" w:firstLine="0"/>
        <w:rPr>
          <w:b/>
          <w:sz w:val="22"/>
          <w:lang w:val="en-GB"/>
        </w:rPr>
      </w:pPr>
      <w:r w:rsidRPr="000F456B">
        <w:rPr>
          <w:b/>
          <w:sz w:val="22"/>
          <w:lang w:val="en-GB"/>
        </w:rPr>
        <w:t>CONTROL</w:t>
      </w:r>
      <w:r>
        <w:rPr>
          <w:b/>
          <w:sz w:val="22"/>
          <w:lang w:val="en-GB"/>
        </w:rPr>
        <w:t xml:space="preserve"> </w:t>
      </w:r>
    </w:p>
    <w:p w:rsidR="000D14FC" w:rsidRDefault="000D14FC" w:rsidP="000D14FC">
      <w:pPr>
        <w:ind w:left="0" w:firstLine="0"/>
        <w:rPr>
          <w:b/>
          <w:sz w:val="22"/>
          <w:lang w:val="en-GB"/>
        </w:rPr>
      </w:pPr>
    </w:p>
    <w:p w:rsidR="000D14FC" w:rsidRPr="00A16580" w:rsidRDefault="000D14FC" w:rsidP="000D14FC">
      <w:pPr>
        <w:ind w:left="0" w:firstLine="0"/>
        <w:rPr>
          <w:sz w:val="22"/>
          <w:lang w:val="en-GB"/>
        </w:rPr>
      </w:pPr>
      <w:r w:rsidRPr="00A16580">
        <w:rPr>
          <w:sz w:val="22"/>
          <w:lang w:val="en-GB"/>
        </w:rPr>
        <w:t>Notification of leishmanias</w:t>
      </w:r>
      <w:r>
        <w:rPr>
          <w:sz w:val="22"/>
          <w:lang w:val="en-GB"/>
        </w:rPr>
        <w:t>is is mandatory.</w:t>
      </w:r>
    </w:p>
    <w:p w:rsidR="000D14FC" w:rsidRDefault="000D14FC" w:rsidP="000D14FC">
      <w:pPr>
        <w:ind w:left="0" w:firstLine="0"/>
        <w:rPr>
          <w:sz w:val="22"/>
          <w:lang w:val="en-GB"/>
        </w:rPr>
      </w:pPr>
    </w:p>
    <w:p w:rsidR="000D14FC" w:rsidRDefault="000D14FC" w:rsidP="000D14FC">
      <w:pPr>
        <w:ind w:left="0" w:firstLine="0"/>
        <w:rPr>
          <w:sz w:val="22"/>
          <w:lang w:val="en-GB"/>
        </w:rPr>
      </w:pPr>
    </w:p>
    <w:p w:rsidR="000D14FC" w:rsidRPr="003851CD" w:rsidRDefault="000D14FC" w:rsidP="000D14FC">
      <w:pPr>
        <w:ind w:left="0" w:firstLine="0"/>
        <w:rPr>
          <w:b/>
          <w:sz w:val="22"/>
          <w:lang w:val="en-GB"/>
        </w:rPr>
      </w:pPr>
      <w:r w:rsidRPr="003851CD">
        <w:rPr>
          <w:b/>
          <w:sz w:val="22"/>
          <w:lang w:val="en-GB"/>
        </w:rPr>
        <w:t>DIAGNOSIS, TREATMENT</w:t>
      </w:r>
    </w:p>
    <w:p w:rsidR="000D14FC" w:rsidRPr="00A16580" w:rsidRDefault="000D14FC" w:rsidP="000D14FC">
      <w:pPr>
        <w:ind w:left="0" w:firstLine="0"/>
        <w:rPr>
          <w:sz w:val="22"/>
          <w:lang w:val="en-GB"/>
        </w:rPr>
      </w:pPr>
    </w:p>
    <w:p w:rsidR="000D14FC" w:rsidRPr="00C65367" w:rsidRDefault="000D14FC" w:rsidP="000D14FC">
      <w:pPr>
        <w:ind w:left="0" w:firstLine="0"/>
        <w:rPr>
          <w:sz w:val="22"/>
          <w:lang w:val="en-GB"/>
        </w:rPr>
      </w:pPr>
      <w:r w:rsidRPr="00C65367">
        <w:rPr>
          <w:b/>
          <w:sz w:val="22"/>
          <w:lang w:val="en-GB"/>
        </w:rPr>
        <w:t>Diagnosis</w:t>
      </w:r>
      <w:r w:rsidRPr="00C65367">
        <w:rPr>
          <w:sz w:val="22"/>
          <w:lang w:val="en-GB"/>
        </w:rPr>
        <w:t xml:space="preserve">: </w:t>
      </w:r>
    </w:p>
    <w:p w:rsidR="000D14FC" w:rsidRPr="00C65367" w:rsidRDefault="000D14FC" w:rsidP="000D14FC">
      <w:pPr>
        <w:ind w:left="0" w:firstLine="0"/>
        <w:rPr>
          <w:sz w:val="22"/>
          <w:lang w:val="en-GB"/>
        </w:rPr>
      </w:pPr>
      <w:r w:rsidRPr="00EF6EC8">
        <w:rPr>
          <w:bCs/>
          <w:sz w:val="22"/>
          <w:lang w:val="en-GB"/>
        </w:rPr>
        <w:t xml:space="preserve">CL: </w:t>
      </w:r>
      <w:r w:rsidRPr="00EF6EC8">
        <w:rPr>
          <w:sz w:val="22"/>
          <w:lang w:val="en-GB"/>
        </w:rPr>
        <w:t>confirmation</w:t>
      </w:r>
      <w:r w:rsidRPr="00C65367">
        <w:rPr>
          <w:sz w:val="22"/>
          <w:lang w:val="en-GB"/>
        </w:rPr>
        <w:t xml:space="preserve"> by </w:t>
      </w:r>
      <w:r w:rsidRPr="00C65367">
        <w:rPr>
          <w:color w:val="632423"/>
          <w:sz w:val="22"/>
          <w:lang w:val="en-GB"/>
        </w:rPr>
        <w:t>m</w:t>
      </w:r>
      <w:proofErr w:type="spellStart"/>
      <w:r w:rsidRPr="00681B94">
        <w:rPr>
          <w:bCs/>
          <w:sz w:val="22"/>
          <w:lang w:val="en-US"/>
        </w:rPr>
        <w:t>icroscopic</w:t>
      </w:r>
      <w:proofErr w:type="spellEnd"/>
      <w:r w:rsidRPr="00681B94">
        <w:rPr>
          <w:bCs/>
          <w:sz w:val="22"/>
          <w:lang w:val="en-US"/>
        </w:rPr>
        <w:t xml:space="preserve"> examination of skin lesion sample</w:t>
      </w:r>
      <w:r>
        <w:rPr>
          <w:bCs/>
          <w:sz w:val="22"/>
          <w:lang w:val="en-US"/>
        </w:rPr>
        <w:t>.</w:t>
      </w:r>
    </w:p>
    <w:p w:rsidR="000D14FC" w:rsidRPr="00C65367" w:rsidRDefault="000D14FC" w:rsidP="000D14FC">
      <w:pPr>
        <w:ind w:left="0" w:firstLine="0"/>
        <w:rPr>
          <w:b/>
          <w:sz w:val="22"/>
          <w:lang w:val="en-GB"/>
        </w:rPr>
      </w:pPr>
    </w:p>
    <w:p w:rsidR="000D14FC" w:rsidRPr="00C65367" w:rsidRDefault="000D14FC" w:rsidP="000D14FC">
      <w:pPr>
        <w:ind w:left="0" w:firstLine="0"/>
        <w:rPr>
          <w:sz w:val="22"/>
          <w:lang w:val="en-GB"/>
        </w:rPr>
      </w:pPr>
      <w:r w:rsidRPr="00C65367">
        <w:rPr>
          <w:b/>
          <w:sz w:val="22"/>
          <w:lang w:val="en-GB"/>
        </w:rPr>
        <w:t>Treatment</w:t>
      </w:r>
      <w:r w:rsidRPr="00C65367">
        <w:rPr>
          <w:sz w:val="22"/>
          <w:lang w:val="en-GB"/>
        </w:rPr>
        <w:t xml:space="preserve"> </w:t>
      </w:r>
    </w:p>
    <w:p w:rsidR="000D14FC" w:rsidRPr="00C65367" w:rsidRDefault="000D14FC" w:rsidP="000D14FC">
      <w:pPr>
        <w:ind w:left="0" w:firstLine="0"/>
        <w:rPr>
          <w:sz w:val="22"/>
          <w:lang w:val="en-GB"/>
        </w:rPr>
      </w:pPr>
      <w:r>
        <w:rPr>
          <w:sz w:val="22"/>
          <w:lang w:val="en-GB"/>
        </w:rPr>
        <w:t xml:space="preserve">CL: </w:t>
      </w:r>
      <w:proofErr w:type="spellStart"/>
      <w:r w:rsidRPr="00C65367">
        <w:rPr>
          <w:sz w:val="22"/>
          <w:lang w:val="en-GB"/>
        </w:rPr>
        <w:t>Pentamidine</w:t>
      </w:r>
      <w:proofErr w:type="spellEnd"/>
      <w:r>
        <w:rPr>
          <w:sz w:val="22"/>
          <w:lang w:val="en-GB"/>
        </w:rPr>
        <w:t>.</w:t>
      </w:r>
      <w:r w:rsidRPr="00C65367">
        <w:rPr>
          <w:sz w:val="22"/>
          <w:lang w:val="en-GB"/>
        </w:rPr>
        <w:t xml:space="preserve"> </w:t>
      </w:r>
    </w:p>
    <w:p w:rsidR="000D14FC" w:rsidRDefault="000D14FC" w:rsidP="000D14FC">
      <w:pPr>
        <w:ind w:left="0" w:firstLine="0"/>
        <w:rPr>
          <w:sz w:val="22"/>
          <w:lang w:val="en-GB"/>
        </w:rPr>
      </w:pPr>
    </w:p>
    <w:p w:rsidR="000D14FC" w:rsidRDefault="000D14FC" w:rsidP="000D14FC">
      <w:pPr>
        <w:ind w:left="0" w:firstLine="0"/>
        <w:rPr>
          <w:sz w:val="22"/>
          <w:lang w:val="en-GB"/>
        </w:rPr>
      </w:pPr>
    </w:p>
    <w:p w:rsidR="000D14FC" w:rsidRDefault="000D14FC" w:rsidP="000D14FC">
      <w:pPr>
        <w:ind w:left="0" w:firstLine="0"/>
        <w:rPr>
          <w:b/>
          <w:sz w:val="22"/>
          <w:lang w:val="en-GB"/>
        </w:rPr>
      </w:pPr>
      <w:r w:rsidRPr="00C65367">
        <w:rPr>
          <w:b/>
          <w:sz w:val="22"/>
          <w:lang w:val="en-GB"/>
        </w:rPr>
        <w:t xml:space="preserve">ACCESS TO CARE </w:t>
      </w:r>
    </w:p>
    <w:p w:rsidR="000D14FC" w:rsidRPr="00C65367" w:rsidRDefault="000D14FC" w:rsidP="000D14FC">
      <w:pPr>
        <w:ind w:left="0" w:firstLine="0"/>
        <w:rPr>
          <w:b/>
          <w:sz w:val="22"/>
          <w:lang w:val="en-GB"/>
        </w:rPr>
      </w:pPr>
    </w:p>
    <w:p w:rsidR="000D14FC" w:rsidRPr="007023DB" w:rsidRDefault="000D14FC" w:rsidP="000D14FC">
      <w:pPr>
        <w:ind w:left="0" w:firstLine="0"/>
        <w:rPr>
          <w:sz w:val="22"/>
          <w:lang w:val="en-US"/>
        </w:rPr>
      </w:pPr>
      <w:r>
        <w:rPr>
          <w:sz w:val="22"/>
          <w:lang w:val="en-US"/>
        </w:rPr>
        <w:t xml:space="preserve">Care is provided by </w:t>
      </w:r>
      <w:r w:rsidRPr="007023DB">
        <w:rPr>
          <w:sz w:val="22"/>
          <w:lang w:val="en-US"/>
        </w:rPr>
        <w:t>public hospitals w</w:t>
      </w:r>
      <w:r>
        <w:rPr>
          <w:sz w:val="22"/>
          <w:lang w:val="en-US"/>
        </w:rPr>
        <w:t>h</w:t>
      </w:r>
      <w:r w:rsidRPr="007023DB">
        <w:rPr>
          <w:sz w:val="22"/>
          <w:lang w:val="en-US"/>
        </w:rPr>
        <w:t xml:space="preserve">ere diagnosis is </w:t>
      </w:r>
      <w:r>
        <w:rPr>
          <w:sz w:val="22"/>
          <w:lang w:val="en-US"/>
        </w:rPr>
        <w:t>possible</w:t>
      </w:r>
      <w:r w:rsidRPr="007023DB">
        <w:rPr>
          <w:sz w:val="22"/>
          <w:lang w:val="en-US"/>
        </w:rPr>
        <w:t>.</w:t>
      </w:r>
      <w:r w:rsidRPr="007023DB">
        <w:rPr>
          <w:sz w:val="22"/>
          <w:lang w:val="en-GB"/>
        </w:rPr>
        <w:t xml:space="preserve"> </w:t>
      </w: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Pr="00086737" w:rsidRDefault="000D14FC" w:rsidP="000D14FC">
      <w:pPr>
        <w:ind w:left="0" w:firstLine="0"/>
        <w:rPr>
          <w:b/>
          <w:sz w:val="22"/>
          <w:lang w:val="en-US"/>
        </w:rPr>
      </w:pPr>
      <w:r w:rsidRPr="00086737">
        <w:rPr>
          <w:b/>
          <w:sz w:val="22"/>
          <w:lang w:val="en-US"/>
        </w:rPr>
        <w:lastRenderedPageBreak/>
        <w:t>ACCESS TO DRUGS</w:t>
      </w:r>
      <w:r>
        <w:rPr>
          <w:b/>
          <w:sz w:val="22"/>
          <w:lang w:val="en-US"/>
        </w:rPr>
        <w:t xml:space="preserve"> </w:t>
      </w:r>
    </w:p>
    <w:p w:rsidR="000D14FC" w:rsidRDefault="000D14FC" w:rsidP="000D14FC">
      <w:pPr>
        <w:ind w:left="0" w:firstLine="0"/>
        <w:rPr>
          <w:sz w:val="22"/>
          <w:lang w:val="en-US"/>
        </w:rPr>
      </w:pPr>
    </w:p>
    <w:p w:rsidR="000D14FC" w:rsidRDefault="000D14FC" w:rsidP="000D14FC">
      <w:pPr>
        <w:ind w:left="0" w:firstLine="0"/>
        <w:rPr>
          <w:sz w:val="22"/>
          <w:lang w:val="en-US"/>
        </w:rPr>
      </w:pPr>
      <w:r>
        <w:rPr>
          <w:sz w:val="22"/>
          <w:lang w:val="en-US"/>
        </w:rPr>
        <w:t xml:space="preserve">The antimonials Glucantime (meglumine antimoniate, </w:t>
      </w:r>
      <w:proofErr w:type="spellStart"/>
      <w:r>
        <w:rPr>
          <w:sz w:val="22"/>
          <w:lang w:val="en-US"/>
        </w:rPr>
        <w:t>Sanofi</w:t>
      </w:r>
      <w:proofErr w:type="spellEnd"/>
      <w:r>
        <w:rPr>
          <w:sz w:val="22"/>
          <w:lang w:val="en-US"/>
        </w:rPr>
        <w:t xml:space="preserve">) and Pentostam (SSG, GSK) are not registered. Treatments are provided free of charge. </w:t>
      </w:r>
    </w:p>
    <w:p w:rsidR="000D14FC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Pr="000F456B" w:rsidRDefault="000D14FC" w:rsidP="000D14FC">
      <w:pPr>
        <w:ind w:left="0" w:firstLine="0"/>
        <w:rPr>
          <w:b/>
          <w:sz w:val="22"/>
          <w:lang w:val="en-US"/>
        </w:rPr>
      </w:pPr>
      <w:r>
        <w:rPr>
          <w:b/>
          <w:sz w:val="22"/>
          <w:lang w:val="en-US"/>
        </w:rPr>
        <w:t>SOURCES OF INFORMATION</w:t>
      </w:r>
    </w:p>
    <w:p w:rsidR="000D14FC" w:rsidRPr="000F456B" w:rsidRDefault="000D14FC" w:rsidP="000D14FC">
      <w:pPr>
        <w:ind w:left="0" w:firstLine="0"/>
        <w:rPr>
          <w:b/>
          <w:sz w:val="22"/>
          <w:lang w:val="en-US"/>
        </w:rPr>
      </w:pPr>
    </w:p>
    <w:p w:rsidR="000D14FC" w:rsidRPr="0080612E" w:rsidRDefault="000D14FC" w:rsidP="000D14FC">
      <w:pPr>
        <w:numPr>
          <w:ilvl w:val="0"/>
          <w:numId w:val="5"/>
        </w:numPr>
        <w:ind w:right="-1"/>
        <w:rPr>
          <w:bCs/>
          <w:i/>
          <w:iCs/>
          <w:sz w:val="22"/>
          <w:lang w:val="en-GB"/>
        </w:rPr>
      </w:pPr>
      <w:r w:rsidRPr="00C650FE">
        <w:rPr>
          <w:sz w:val="22"/>
          <w:lang w:val="en-GB"/>
        </w:rPr>
        <w:t xml:space="preserve">Dr Laurence </w:t>
      </w:r>
      <w:proofErr w:type="spellStart"/>
      <w:r w:rsidRPr="00C650FE">
        <w:rPr>
          <w:sz w:val="22"/>
          <w:lang w:val="en-GB"/>
        </w:rPr>
        <w:t>Lachaud</w:t>
      </w:r>
      <w:proofErr w:type="spellEnd"/>
      <w:r w:rsidRPr="00C650FE">
        <w:rPr>
          <w:sz w:val="22"/>
          <w:lang w:val="en-GB"/>
        </w:rPr>
        <w:t xml:space="preserve">, Centre </w:t>
      </w:r>
      <w:proofErr w:type="spellStart"/>
      <w:r w:rsidRPr="00C650FE">
        <w:rPr>
          <w:sz w:val="22"/>
          <w:lang w:val="en-GB"/>
        </w:rPr>
        <w:t>Hospitalier</w:t>
      </w:r>
      <w:proofErr w:type="spellEnd"/>
      <w:r w:rsidRPr="00C650FE">
        <w:rPr>
          <w:sz w:val="22"/>
          <w:lang w:val="en-GB"/>
        </w:rPr>
        <w:t xml:space="preserve"> </w:t>
      </w:r>
      <w:proofErr w:type="spellStart"/>
      <w:r w:rsidRPr="00C650FE">
        <w:rPr>
          <w:sz w:val="22"/>
          <w:lang w:val="en-GB"/>
        </w:rPr>
        <w:t>Caremeau</w:t>
      </w:r>
      <w:proofErr w:type="spellEnd"/>
      <w:r w:rsidRPr="00C650FE">
        <w:rPr>
          <w:sz w:val="22"/>
          <w:lang w:val="en-GB"/>
        </w:rPr>
        <w:t xml:space="preserve">, </w:t>
      </w:r>
      <w:proofErr w:type="spellStart"/>
      <w:r w:rsidRPr="00C650FE">
        <w:rPr>
          <w:sz w:val="22"/>
          <w:lang w:val="en-GB"/>
        </w:rPr>
        <w:t>Nîmes</w:t>
      </w:r>
      <w:proofErr w:type="spellEnd"/>
      <w:r w:rsidRPr="00C650FE">
        <w:rPr>
          <w:sz w:val="22"/>
          <w:lang w:val="en-GB"/>
        </w:rPr>
        <w:t xml:space="preserve">. </w:t>
      </w:r>
      <w:r w:rsidRPr="0080612E">
        <w:rPr>
          <w:bCs/>
          <w:i/>
          <w:iCs/>
          <w:sz w:val="22"/>
          <w:lang w:val="en-GB"/>
        </w:rPr>
        <w:t xml:space="preserve">Leishmaniasis in the European Region, a </w:t>
      </w:r>
      <w:r>
        <w:rPr>
          <w:bCs/>
          <w:i/>
          <w:iCs/>
          <w:sz w:val="22"/>
          <w:lang w:val="en-GB"/>
        </w:rPr>
        <w:t xml:space="preserve">WHO </w:t>
      </w:r>
      <w:r w:rsidRPr="0080612E">
        <w:rPr>
          <w:bCs/>
          <w:i/>
          <w:iCs/>
          <w:sz w:val="22"/>
          <w:lang w:val="en-GB"/>
        </w:rPr>
        <w:t xml:space="preserve">consultative </w:t>
      </w:r>
      <w:proofErr w:type="spellStart"/>
      <w:r w:rsidRPr="0080612E">
        <w:rPr>
          <w:bCs/>
          <w:i/>
          <w:iCs/>
          <w:sz w:val="22"/>
          <w:lang w:val="en-GB"/>
        </w:rPr>
        <w:t>intercountry</w:t>
      </w:r>
      <w:proofErr w:type="spellEnd"/>
      <w:r w:rsidRPr="0080612E">
        <w:rPr>
          <w:bCs/>
          <w:i/>
          <w:iCs/>
          <w:sz w:val="22"/>
          <w:lang w:val="en-GB"/>
        </w:rPr>
        <w:t xml:space="preserve"> meeting, </w:t>
      </w:r>
      <w:smartTag w:uri="urn:schemas-microsoft-com:office:smarttags" w:element="place">
        <w:smartTag w:uri="urn:schemas-microsoft-com:office:smarttags" w:element="City">
          <w:r w:rsidRPr="0080612E">
            <w:rPr>
              <w:bCs/>
              <w:i/>
              <w:iCs/>
              <w:sz w:val="22"/>
              <w:lang w:val="en-GB"/>
            </w:rPr>
            <w:t>Istanbul</w:t>
          </w:r>
        </w:smartTag>
        <w:r w:rsidRPr="0080612E">
          <w:rPr>
            <w:bCs/>
            <w:i/>
            <w:iCs/>
            <w:sz w:val="22"/>
            <w:lang w:val="en-GB"/>
          </w:rPr>
          <w:t xml:space="preserve">, </w:t>
        </w:r>
        <w:smartTag w:uri="urn:schemas-microsoft-com:office:smarttags" w:element="country-region">
          <w:r w:rsidRPr="0080612E">
            <w:rPr>
              <w:bCs/>
              <w:i/>
              <w:iCs/>
              <w:sz w:val="22"/>
              <w:lang w:val="en-GB"/>
            </w:rPr>
            <w:t>Turkey</w:t>
          </w:r>
        </w:smartTag>
      </w:smartTag>
      <w:r w:rsidRPr="0080612E">
        <w:rPr>
          <w:bCs/>
          <w:i/>
          <w:iCs/>
          <w:sz w:val="22"/>
          <w:lang w:val="en-GB"/>
        </w:rPr>
        <w:t>, 17–19 November 2009</w:t>
      </w:r>
      <w:r>
        <w:rPr>
          <w:bCs/>
          <w:i/>
          <w:iCs/>
          <w:sz w:val="22"/>
          <w:lang w:val="en-GB"/>
        </w:rPr>
        <w:t>.</w:t>
      </w:r>
    </w:p>
    <w:p w:rsidR="000D14FC" w:rsidRDefault="000D14FC" w:rsidP="000D14FC">
      <w:pPr>
        <w:ind w:left="0" w:firstLine="0"/>
        <w:rPr>
          <w:sz w:val="22"/>
          <w:lang w:val="en-GB"/>
        </w:rPr>
      </w:pPr>
    </w:p>
    <w:p w:rsidR="000D14FC" w:rsidRPr="0080612E" w:rsidRDefault="000D14FC" w:rsidP="000D14FC">
      <w:pPr>
        <w:ind w:left="0" w:firstLine="0"/>
        <w:rPr>
          <w:sz w:val="22"/>
          <w:lang w:val="en-GB"/>
        </w:rPr>
      </w:pPr>
    </w:p>
    <w:p w:rsidR="000D14FC" w:rsidRPr="0080612E" w:rsidRDefault="000D14FC" w:rsidP="000D14FC">
      <w:pPr>
        <w:ind w:left="0" w:firstLine="0"/>
        <w:rPr>
          <w:sz w:val="22"/>
          <w:lang w:val="en-GB"/>
        </w:rPr>
      </w:pPr>
    </w:p>
    <w:p w:rsidR="000D14FC" w:rsidRPr="00C650FE" w:rsidRDefault="000D14FC" w:rsidP="000D14FC">
      <w:pPr>
        <w:ind w:left="0" w:firstLine="0"/>
        <w:rPr>
          <w:sz w:val="22"/>
          <w:lang w:val="en-GB"/>
        </w:rPr>
      </w:pPr>
      <w:r w:rsidRPr="00C65367">
        <w:rPr>
          <w:sz w:val="22"/>
          <w:lang w:val="en-GB"/>
        </w:rPr>
        <w:t>1</w:t>
      </w:r>
      <w:r>
        <w:rPr>
          <w:sz w:val="22"/>
          <w:lang w:val="en-GB"/>
        </w:rPr>
        <w:t>.</w:t>
      </w:r>
      <w:r w:rsidRPr="00C65367">
        <w:rPr>
          <w:sz w:val="22"/>
          <w:lang w:val="en-GB"/>
        </w:rPr>
        <w:t xml:space="preserve"> </w:t>
      </w:r>
      <w:proofErr w:type="spellStart"/>
      <w:r w:rsidRPr="00C65367">
        <w:rPr>
          <w:sz w:val="22"/>
          <w:lang w:val="en-GB"/>
        </w:rPr>
        <w:t>Dedet</w:t>
      </w:r>
      <w:proofErr w:type="spellEnd"/>
      <w:r w:rsidRPr="00C65367">
        <w:rPr>
          <w:sz w:val="22"/>
          <w:lang w:val="en-GB"/>
        </w:rPr>
        <w:t xml:space="preserve"> JP </w:t>
      </w:r>
      <w:r>
        <w:rPr>
          <w:sz w:val="22"/>
          <w:lang w:val="en-GB"/>
        </w:rPr>
        <w:t>(</w:t>
      </w:r>
      <w:r w:rsidRPr="00C65367">
        <w:rPr>
          <w:sz w:val="22"/>
          <w:lang w:val="en-GB"/>
        </w:rPr>
        <w:t>1990</w:t>
      </w:r>
      <w:r>
        <w:rPr>
          <w:sz w:val="22"/>
          <w:lang w:val="en-GB"/>
        </w:rPr>
        <w:t>).</w:t>
      </w:r>
      <w:r w:rsidRPr="00C65367">
        <w:rPr>
          <w:sz w:val="22"/>
          <w:lang w:val="en-GB"/>
        </w:rPr>
        <w:t xml:space="preserve"> Cutaneous leishmaniasis in </w:t>
      </w:r>
      <w:smartTag w:uri="urn:schemas-microsoft-com:office:smarttags" w:element="place">
        <w:r w:rsidRPr="00C65367">
          <w:rPr>
            <w:sz w:val="22"/>
            <w:lang w:val="en-GB"/>
          </w:rPr>
          <w:t>French Guiana</w:t>
        </w:r>
      </w:smartTag>
      <w:r w:rsidRPr="00C65367">
        <w:rPr>
          <w:sz w:val="22"/>
          <w:lang w:val="en-GB"/>
        </w:rPr>
        <w:t xml:space="preserve">: A review. </w:t>
      </w:r>
      <w:r w:rsidRPr="00C650FE">
        <w:rPr>
          <w:sz w:val="22"/>
          <w:lang w:val="en-GB"/>
        </w:rPr>
        <w:t xml:space="preserve">Am J </w:t>
      </w:r>
      <w:proofErr w:type="spellStart"/>
      <w:r w:rsidRPr="00C650FE">
        <w:rPr>
          <w:sz w:val="22"/>
          <w:lang w:val="en-GB"/>
        </w:rPr>
        <w:t>Trop</w:t>
      </w:r>
      <w:proofErr w:type="spellEnd"/>
      <w:r w:rsidRPr="00C650FE">
        <w:rPr>
          <w:sz w:val="22"/>
          <w:lang w:val="en-GB"/>
        </w:rPr>
        <w:t xml:space="preserve"> Med </w:t>
      </w:r>
      <w:proofErr w:type="spellStart"/>
      <w:r w:rsidRPr="00C650FE">
        <w:rPr>
          <w:sz w:val="22"/>
          <w:lang w:val="en-GB"/>
        </w:rPr>
        <w:t>Hyg</w:t>
      </w:r>
      <w:proofErr w:type="spellEnd"/>
      <w:r w:rsidRPr="00C650FE">
        <w:rPr>
          <w:sz w:val="22"/>
          <w:lang w:val="en-GB"/>
        </w:rPr>
        <w:t xml:space="preserve"> 43(1): 25-</w:t>
      </w:r>
      <w:proofErr w:type="gramStart"/>
      <w:r w:rsidRPr="00C650FE">
        <w:rPr>
          <w:sz w:val="22"/>
          <w:lang w:val="en-GB"/>
        </w:rPr>
        <w:t>28.</w:t>
      </w:r>
      <w:proofErr w:type="gramEnd"/>
    </w:p>
    <w:p w:rsidR="000D14FC" w:rsidRPr="00C650FE" w:rsidRDefault="000D14FC" w:rsidP="000D14FC">
      <w:pPr>
        <w:ind w:left="0" w:firstLine="0"/>
        <w:rPr>
          <w:sz w:val="22"/>
          <w:lang w:val="en-GB"/>
        </w:rPr>
      </w:pPr>
    </w:p>
    <w:p w:rsidR="000D14FC" w:rsidRPr="00C65367" w:rsidRDefault="000D14FC" w:rsidP="000D14FC">
      <w:pPr>
        <w:ind w:left="0" w:firstLine="0"/>
        <w:rPr>
          <w:sz w:val="22"/>
          <w:lang w:val="fr-FR"/>
        </w:rPr>
      </w:pPr>
      <w:r w:rsidRPr="00576BCA">
        <w:rPr>
          <w:sz w:val="22"/>
          <w:lang w:val="nl-NL"/>
        </w:rPr>
        <w:t>2</w:t>
      </w:r>
      <w:r>
        <w:rPr>
          <w:sz w:val="22"/>
          <w:lang w:val="nl-NL"/>
        </w:rPr>
        <w:t>.</w:t>
      </w:r>
      <w:r w:rsidRPr="00576BCA">
        <w:rPr>
          <w:sz w:val="22"/>
          <w:lang w:val="nl-NL"/>
        </w:rPr>
        <w:t xml:space="preserve"> Floch H (1</w:t>
      </w:r>
      <w:r w:rsidRPr="00C65367">
        <w:rPr>
          <w:sz w:val="22"/>
          <w:lang w:val="fr-FR"/>
        </w:rPr>
        <w:t>943</w:t>
      </w:r>
      <w:r>
        <w:rPr>
          <w:sz w:val="22"/>
          <w:lang w:val="fr-FR"/>
        </w:rPr>
        <w:t>).</w:t>
      </w:r>
      <w:r w:rsidRPr="00C65367">
        <w:rPr>
          <w:sz w:val="22"/>
          <w:lang w:val="fr-FR"/>
        </w:rPr>
        <w:t xml:space="preserve"> Rapport sur le fonctionnement technique de l'Institut Pasteur de la Guyane</w:t>
      </w:r>
      <w:r>
        <w:rPr>
          <w:sz w:val="22"/>
          <w:lang w:val="fr-FR"/>
        </w:rPr>
        <w:t xml:space="preserve"> </w:t>
      </w:r>
      <w:proofErr w:type="spellStart"/>
      <w:r w:rsidRPr="00C65367">
        <w:rPr>
          <w:sz w:val="22"/>
          <w:lang w:val="fr-FR"/>
        </w:rPr>
        <w:t>francaise</w:t>
      </w:r>
      <w:proofErr w:type="spellEnd"/>
      <w:r w:rsidRPr="00C65367">
        <w:rPr>
          <w:sz w:val="22"/>
          <w:lang w:val="fr-FR"/>
        </w:rPr>
        <w:t xml:space="preserve"> et du territoire de </w:t>
      </w:r>
      <w:r>
        <w:rPr>
          <w:sz w:val="22"/>
          <w:lang w:val="fr-FR"/>
        </w:rPr>
        <w:t>l</w:t>
      </w:r>
      <w:r w:rsidRPr="00C65367">
        <w:rPr>
          <w:sz w:val="22"/>
          <w:lang w:val="fr-FR"/>
        </w:rPr>
        <w:t>'Inini pendant l'</w:t>
      </w:r>
      <w:proofErr w:type="spellStart"/>
      <w:r w:rsidRPr="00C65367">
        <w:rPr>
          <w:sz w:val="22"/>
          <w:lang w:val="fr-FR"/>
        </w:rPr>
        <w:t>annee</w:t>
      </w:r>
      <w:proofErr w:type="spellEnd"/>
      <w:r w:rsidRPr="00C65367">
        <w:rPr>
          <w:sz w:val="22"/>
          <w:lang w:val="fr-FR"/>
        </w:rPr>
        <w:t xml:space="preserve"> 1943. </w:t>
      </w:r>
      <w:proofErr w:type="spellStart"/>
      <w:r w:rsidRPr="00C65367">
        <w:rPr>
          <w:sz w:val="22"/>
          <w:lang w:val="fr-FR"/>
        </w:rPr>
        <w:t>Inst</w:t>
      </w:r>
      <w:proofErr w:type="spellEnd"/>
      <w:r w:rsidRPr="00C65367">
        <w:rPr>
          <w:sz w:val="22"/>
          <w:lang w:val="fr-FR"/>
        </w:rPr>
        <w:t xml:space="preserve"> Pasteur </w:t>
      </w:r>
      <w:proofErr w:type="spellStart"/>
      <w:r w:rsidRPr="00C65367">
        <w:rPr>
          <w:sz w:val="22"/>
          <w:lang w:val="fr-FR"/>
        </w:rPr>
        <w:t>Guyanefrse</w:t>
      </w:r>
      <w:proofErr w:type="spellEnd"/>
      <w:r w:rsidRPr="00C65367">
        <w:rPr>
          <w:sz w:val="22"/>
          <w:lang w:val="fr-FR"/>
        </w:rPr>
        <w:t xml:space="preserve"> </w:t>
      </w:r>
      <w:proofErr w:type="spellStart"/>
      <w:r w:rsidRPr="00C65367">
        <w:rPr>
          <w:sz w:val="22"/>
          <w:lang w:val="fr-FR"/>
        </w:rPr>
        <w:t>Terr</w:t>
      </w:r>
      <w:proofErr w:type="spellEnd"/>
      <w:r w:rsidRPr="00C65367">
        <w:rPr>
          <w:sz w:val="22"/>
          <w:lang w:val="fr-FR"/>
        </w:rPr>
        <w:t xml:space="preserve"> mini</w:t>
      </w:r>
      <w:r>
        <w:rPr>
          <w:sz w:val="22"/>
          <w:lang w:val="fr-FR"/>
        </w:rPr>
        <w:t xml:space="preserve"> </w:t>
      </w:r>
      <w:r w:rsidRPr="00C65367">
        <w:rPr>
          <w:sz w:val="22"/>
          <w:lang w:val="fr-FR"/>
        </w:rPr>
        <w:t>75:79.</w:t>
      </w:r>
    </w:p>
    <w:p w:rsidR="000D14FC" w:rsidRPr="00C65367" w:rsidRDefault="000D14FC" w:rsidP="000D14FC">
      <w:pPr>
        <w:ind w:left="0" w:firstLine="0"/>
        <w:rPr>
          <w:sz w:val="22"/>
          <w:lang w:val="fr-FR"/>
        </w:rPr>
      </w:pPr>
    </w:p>
    <w:p w:rsidR="000D14FC" w:rsidRPr="00A16580" w:rsidRDefault="000D14FC" w:rsidP="000D14FC">
      <w:pPr>
        <w:ind w:left="0" w:firstLine="0"/>
        <w:rPr>
          <w:sz w:val="22"/>
        </w:rPr>
      </w:pPr>
      <w:r w:rsidRPr="005A10C3">
        <w:rPr>
          <w:sz w:val="22"/>
          <w:lang w:val="en-GB"/>
        </w:rPr>
        <w:t>3</w:t>
      </w:r>
      <w:r>
        <w:rPr>
          <w:sz w:val="22"/>
          <w:lang w:val="en-GB"/>
        </w:rPr>
        <w:t>.</w:t>
      </w:r>
      <w:r w:rsidRPr="005A10C3">
        <w:rPr>
          <w:sz w:val="22"/>
          <w:lang w:val="en-GB"/>
        </w:rPr>
        <w:t xml:space="preserve"> </w:t>
      </w:r>
      <w:proofErr w:type="spellStart"/>
      <w:r w:rsidRPr="005A10C3">
        <w:rPr>
          <w:sz w:val="22"/>
          <w:lang w:val="en-GB"/>
        </w:rPr>
        <w:t>Simona</w:t>
      </w:r>
      <w:proofErr w:type="spellEnd"/>
      <w:r w:rsidRPr="005A10C3">
        <w:rPr>
          <w:sz w:val="22"/>
          <w:lang w:val="en-GB"/>
        </w:rPr>
        <w:t xml:space="preserve"> S, Verona V</w:t>
      </w:r>
      <w:r>
        <w:rPr>
          <w:sz w:val="22"/>
          <w:lang w:val="en-GB"/>
        </w:rPr>
        <w:t>,</w:t>
      </w:r>
      <w:r w:rsidRPr="005A10C3">
        <w:rPr>
          <w:sz w:val="22"/>
          <w:lang w:val="en-GB"/>
        </w:rPr>
        <w:t xml:space="preserve"> </w:t>
      </w:r>
      <w:proofErr w:type="spellStart"/>
      <w:r w:rsidRPr="005A10C3">
        <w:rPr>
          <w:sz w:val="22"/>
          <w:lang w:val="en-GB"/>
        </w:rPr>
        <w:t>Carmea</w:t>
      </w:r>
      <w:proofErr w:type="spellEnd"/>
      <w:r w:rsidRPr="005A10C3">
        <w:rPr>
          <w:sz w:val="22"/>
          <w:lang w:val="en-GB"/>
        </w:rPr>
        <w:t xml:space="preserve"> B</w:t>
      </w:r>
      <w:r>
        <w:rPr>
          <w:sz w:val="22"/>
          <w:lang w:val="en-GB"/>
        </w:rPr>
        <w:t xml:space="preserve"> (2010).</w:t>
      </w:r>
      <w:r w:rsidRPr="005A10C3">
        <w:rPr>
          <w:sz w:val="22"/>
          <w:lang w:val="en-GB"/>
        </w:rPr>
        <w:t xml:space="preserve"> Leishmania spp. identification by polymerase chain reaction–restriction fragment length polymorphism analysis and its applications in </w:t>
      </w:r>
      <w:smartTag w:uri="urn:schemas-microsoft-com:office:smarttags" w:element="place">
        <w:r w:rsidRPr="005A10C3">
          <w:rPr>
            <w:sz w:val="22"/>
            <w:lang w:val="en-GB"/>
          </w:rPr>
          <w:t>F</w:t>
        </w:r>
        <w:r w:rsidRPr="005A10C3">
          <w:rPr>
            <w:color w:val="000000"/>
            <w:sz w:val="22"/>
            <w:lang w:val="en-GB"/>
          </w:rPr>
          <w:t>rench Guiana</w:t>
        </w:r>
      </w:smartTag>
      <w:r w:rsidRPr="005A10C3">
        <w:rPr>
          <w:color w:val="000000"/>
          <w:sz w:val="22"/>
          <w:lang w:val="en-GB"/>
        </w:rPr>
        <w:t xml:space="preserve">. </w:t>
      </w:r>
      <w:hyperlink r:id="rId7" w:tooltip="Diagnostic microbiology and infectious disease." w:history="1">
        <w:proofErr w:type="spellStart"/>
        <w:r w:rsidRPr="008540BD">
          <w:rPr>
            <w:rStyle w:val="Hyperlink"/>
            <w:color w:val="000000"/>
            <w:sz w:val="22"/>
          </w:rPr>
          <w:t>Diagn</w:t>
        </w:r>
        <w:proofErr w:type="spellEnd"/>
        <w:r w:rsidRPr="008540BD">
          <w:rPr>
            <w:rStyle w:val="Hyperlink"/>
            <w:color w:val="000000"/>
            <w:sz w:val="22"/>
          </w:rPr>
          <w:t xml:space="preserve"> </w:t>
        </w:r>
        <w:proofErr w:type="spellStart"/>
        <w:r w:rsidRPr="008540BD">
          <w:rPr>
            <w:rStyle w:val="Hyperlink"/>
            <w:color w:val="000000"/>
            <w:sz w:val="22"/>
          </w:rPr>
          <w:t>Microbiol</w:t>
        </w:r>
        <w:proofErr w:type="spellEnd"/>
        <w:r w:rsidRPr="008540BD">
          <w:rPr>
            <w:rStyle w:val="Hyperlink"/>
            <w:color w:val="000000"/>
            <w:sz w:val="22"/>
          </w:rPr>
          <w:t xml:space="preserve"> </w:t>
        </w:r>
        <w:proofErr w:type="spellStart"/>
        <w:r w:rsidRPr="008540BD">
          <w:rPr>
            <w:rStyle w:val="Hyperlink"/>
            <w:color w:val="000000"/>
            <w:sz w:val="22"/>
          </w:rPr>
          <w:t>Infect</w:t>
        </w:r>
        <w:proofErr w:type="spellEnd"/>
        <w:r w:rsidRPr="008540BD">
          <w:rPr>
            <w:rStyle w:val="Hyperlink"/>
            <w:color w:val="000000"/>
            <w:sz w:val="22"/>
          </w:rPr>
          <w:t xml:space="preserve"> Dis.</w:t>
        </w:r>
      </w:hyperlink>
      <w:r w:rsidRPr="00A16580">
        <w:rPr>
          <w:sz w:val="22"/>
        </w:rPr>
        <w:t xml:space="preserve">66(2):175-80. </w:t>
      </w:r>
    </w:p>
    <w:p w:rsidR="000D14FC" w:rsidRDefault="000D14FC" w:rsidP="000D14FC">
      <w:pPr>
        <w:ind w:left="0" w:firstLine="0"/>
        <w:rPr>
          <w:sz w:val="22"/>
        </w:rPr>
      </w:pPr>
    </w:p>
    <w:p w:rsidR="000D14FC" w:rsidRPr="005A10C3" w:rsidRDefault="000D14FC" w:rsidP="000D14FC">
      <w:pPr>
        <w:pStyle w:val="des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A10C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5A10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10C3">
        <w:rPr>
          <w:rFonts w:ascii="Arial" w:hAnsi="Arial" w:cs="Arial"/>
          <w:sz w:val="22"/>
          <w:szCs w:val="22"/>
        </w:rPr>
        <w:t>Dedet</w:t>
      </w:r>
      <w:proofErr w:type="spellEnd"/>
      <w:r w:rsidRPr="005A10C3">
        <w:rPr>
          <w:rFonts w:ascii="Arial" w:hAnsi="Arial" w:cs="Arial"/>
          <w:sz w:val="22"/>
          <w:szCs w:val="22"/>
        </w:rPr>
        <w:t xml:space="preserve"> JP, </w:t>
      </w:r>
      <w:proofErr w:type="spellStart"/>
      <w:r w:rsidRPr="005A10C3">
        <w:rPr>
          <w:rFonts w:ascii="Arial" w:hAnsi="Arial" w:cs="Arial"/>
          <w:sz w:val="22"/>
          <w:szCs w:val="22"/>
        </w:rPr>
        <w:t>Pradinaud</w:t>
      </w:r>
      <w:proofErr w:type="spellEnd"/>
      <w:r w:rsidRPr="005A10C3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,</w:t>
      </w:r>
      <w:r w:rsidRPr="005A10C3">
        <w:rPr>
          <w:rFonts w:ascii="Arial" w:hAnsi="Arial" w:cs="Arial"/>
          <w:sz w:val="22"/>
          <w:szCs w:val="22"/>
        </w:rPr>
        <w:t xml:space="preserve"> Gay F </w:t>
      </w:r>
      <w:r>
        <w:rPr>
          <w:rFonts w:ascii="Arial" w:hAnsi="Arial" w:cs="Arial"/>
          <w:sz w:val="22"/>
          <w:szCs w:val="22"/>
        </w:rPr>
        <w:t>(</w:t>
      </w:r>
      <w:r w:rsidRPr="005A10C3">
        <w:rPr>
          <w:rFonts w:ascii="Arial" w:hAnsi="Arial" w:cs="Arial"/>
          <w:sz w:val="22"/>
          <w:szCs w:val="22"/>
        </w:rPr>
        <w:t>1989</w:t>
      </w:r>
      <w:r>
        <w:rPr>
          <w:rFonts w:ascii="Arial" w:hAnsi="Arial" w:cs="Arial"/>
          <w:sz w:val="22"/>
          <w:szCs w:val="22"/>
        </w:rPr>
        <w:t>).</w:t>
      </w:r>
      <w:r w:rsidRPr="005A10C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A10C3">
        <w:rPr>
          <w:rFonts w:ascii="Arial" w:hAnsi="Arial" w:cs="Arial"/>
          <w:sz w:val="22"/>
          <w:szCs w:val="22"/>
        </w:rPr>
        <w:t xml:space="preserve">Epidemiological aspects of human cutaneous leishmaniasis in </w:t>
      </w:r>
      <w:smartTag w:uri="urn:schemas-microsoft-com:office:smarttags" w:element="place">
        <w:r w:rsidRPr="005A10C3">
          <w:rPr>
            <w:rFonts w:ascii="Arial" w:hAnsi="Arial" w:cs="Arial"/>
            <w:sz w:val="22"/>
            <w:szCs w:val="22"/>
          </w:rPr>
          <w:t>French Guiana</w:t>
        </w:r>
      </w:smartTag>
      <w:r w:rsidRPr="005A10C3">
        <w:rPr>
          <w:rFonts w:ascii="Arial" w:hAnsi="Arial" w:cs="Arial"/>
          <w:sz w:val="22"/>
          <w:szCs w:val="22"/>
        </w:rPr>
        <w:t>.</w:t>
      </w:r>
      <w:proofErr w:type="gramEnd"/>
      <w:r w:rsidRPr="005A10C3">
        <w:rPr>
          <w:rFonts w:ascii="Arial" w:hAnsi="Arial" w:cs="Arial"/>
          <w:sz w:val="22"/>
          <w:szCs w:val="22"/>
        </w:rPr>
        <w:t xml:space="preserve"> Trans Roy Soc </w:t>
      </w:r>
      <w:proofErr w:type="spellStart"/>
      <w:r w:rsidRPr="005A10C3">
        <w:rPr>
          <w:rFonts w:ascii="Arial" w:hAnsi="Arial" w:cs="Arial"/>
          <w:sz w:val="22"/>
          <w:szCs w:val="22"/>
        </w:rPr>
        <w:t>Trop</w:t>
      </w:r>
      <w:proofErr w:type="spellEnd"/>
      <w:r w:rsidRPr="005A10C3">
        <w:rPr>
          <w:rFonts w:ascii="Arial" w:hAnsi="Arial" w:cs="Arial"/>
          <w:sz w:val="22"/>
          <w:szCs w:val="22"/>
        </w:rPr>
        <w:t xml:space="preserve"> Med </w:t>
      </w:r>
      <w:proofErr w:type="spellStart"/>
      <w:r w:rsidRPr="005A10C3">
        <w:rPr>
          <w:rFonts w:ascii="Arial" w:hAnsi="Arial" w:cs="Arial"/>
          <w:sz w:val="22"/>
          <w:szCs w:val="22"/>
        </w:rPr>
        <w:t>Hyg</w:t>
      </w:r>
      <w:proofErr w:type="spellEnd"/>
      <w:r w:rsidRPr="005A10C3">
        <w:rPr>
          <w:rFonts w:ascii="Arial" w:hAnsi="Arial" w:cs="Arial"/>
          <w:sz w:val="22"/>
          <w:szCs w:val="22"/>
        </w:rPr>
        <w:t xml:space="preserve"> 83</w:t>
      </w:r>
      <w:r>
        <w:rPr>
          <w:rFonts w:ascii="Arial" w:hAnsi="Arial" w:cs="Arial"/>
          <w:sz w:val="22"/>
          <w:szCs w:val="22"/>
        </w:rPr>
        <w:t xml:space="preserve"> (5): 613-5. </w:t>
      </w:r>
    </w:p>
    <w:p w:rsidR="002F7C1A" w:rsidRDefault="002F7C1A" w:rsidP="000D14FC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682F2FE4"/>
    <w:multiLevelType w:val="hybridMultilevel"/>
    <w:tmpl w:val="D708F5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14FC"/>
    <w:rsid w:val="000028F1"/>
    <w:rsid w:val="00010242"/>
    <w:rsid w:val="00046B72"/>
    <w:rsid w:val="00052A25"/>
    <w:rsid w:val="0005677D"/>
    <w:rsid w:val="000578BC"/>
    <w:rsid w:val="000848FF"/>
    <w:rsid w:val="000B48D7"/>
    <w:rsid w:val="000D14FC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AE20F6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FC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styleId="Hyperlink">
    <w:name w:val="Hyperlink"/>
    <w:basedOn w:val="DefaultParagraphFont"/>
    <w:unhideWhenUsed/>
    <w:rsid w:val="000D14FC"/>
    <w:rPr>
      <w:color w:val="0000FF"/>
      <w:u w:val="single"/>
    </w:rPr>
  </w:style>
  <w:style w:type="paragraph" w:customStyle="1" w:styleId="desc1">
    <w:name w:val="desc1"/>
    <w:basedOn w:val="Normal"/>
    <w:rsid w:val="000D14FC"/>
    <w:pPr>
      <w:spacing w:before="100" w:beforeAutospacing="1" w:after="100" w:afterAutospacing="1"/>
      <w:ind w:left="0" w:firstLine="0"/>
      <w:jc w:val="left"/>
    </w:pPr>
    <w:rPr>
      <w:rFonts w:ascii="Times New Roman" w:eastAsia="SimSun" w:hAnsi="Times New Roman" w:cs="Times New Roman"/>
      <w:sz w:val="28"/>
      <w:szCs w:val="28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FC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Leishmania%20spp.%20identification%20by%20polymerase%20chain%20reaction%E2%80%93restriction%20fragment%20length%20polymorphism%20analysis%20and%20its%20applications%20in%20French%20Guiana%E2%98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view3D>
      <c:rotX val="25"/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0420475319926874"/>
          <c:y val="3.103448275862072E-2"/>
          <c:w val="0.87751371115173649"/>
          <c:h val="0.79310344827586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4F81BD"/>
            </a:solidFill>
            <a:ln w="11019">
              <a:solidFill>
                <a:srgbClr val="000000"/>
              </a:solidFill>
              <a:prstDash val="solid"/>
            </a:ln>
          </c:spPr>
          <c:cat>
            <c:numRef>
              <c:f>Sheet1!$B$1:$P$1</c:f>
              <c:numCache>
                <c:formatCode>General</c:formatCode>
                <c:ptCount val="6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6"/>
                <c:pt idx="0">
                  <c:v>269</c:v>
                </c:pt>
                <c:pt idx="1">
                  <c:v>371</c:v>
                </c:pt>
                <c:pt idx="2">
                  <c:v>278</c:v>
                </c:pt>
                <c:pt idx="3">
                  <c:v>103</c:v>
                </c:pt>
                <c:pt idx="4">
                  <c:v>144</c:v>
                </c:pt>
                <c:pt idx="5">
                  <c:v>169</c:v>
                </c:pt>
              </c:numCache>
            </c:numRef>
          </c:val>
        </c:ser>
        <c:gapDepth val="0"/>
        <c:shape val="box"/>
        <c:axId val="525016448"/>
        <c:axId val="526156928"/>
        <c:axId val="0"/>
      </c:bar3DChart>
      <c:catAx>
        <c:axId val="525016448"/>
        <c:scaling>
          <c:orientation val="minMax"/>
        </c:scaling>
        <c:axPos val="b"/>
        <c:numFmt formatCode="General" sourceLinked="1"/>
        <c:tickLblPos val="low"/>
        <c:spPr>
          <a:ln w="27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6156928"/>
        <c:crosses val="autoZero"/>
        <c:auto val="1"/>
        <c:lblAlgn val="ctr"/>
        <c:lblOffset val="100"/>
        <c:tickLblSkip val="1"/>
        <c:tickMarkSkip val="1"/>
      </c:catAx>
      <c:valAx>
        <c:axId val="526156928"/>
        <c:scaling>
          <c:orientation val="minMax"/>
        </c:scaling>
        <c:axPos val="l"/>
        <c:numFmt formatCode="General" sourceLinked="1"/>
        <c:tickLblPos val="nextTo"/>
        <c:spPr>
          <a:ln w="27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5016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275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9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203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9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2012-04-01T20:51:00Z</dcterms:created>
  <dcterms:modified xsi:type="dcterms:W3CDTF">2012-04-01T20:54:00Z</dcterms:modified>
</cp:coreProperties>
</file>