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1E" w:rsidRPr="002C75B8" w:rsidRDefault="0030181E" w:rsidP="0030181E">
      <w:pPr>
        <w:spacing w:line="480" w:lineRule="auto"/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FRANCE</w:t>
          </w:r>
        </w:smartTag>
      </w:smartTag>
    </w:p>
    <w:p w:rsidR="0030181E" w:rsidRPr="002C75B8" w:rsidRDefault="0030181E" w:rsidP="0030181E">
      <w:pPr>
        <w:spacing w:line="480" w:lineRule="auto"/>
        <w:ind w:left="0" w:firstLine="0"/>
        <w:rPr>
          <w:bCs/>
          <w:sz w:val="22"/>
          <w:u w:val="single"/>
          <w:lang w:val="en-US"/>
        </w:rPr>
      </w:pPr>
      <w:r>
        <w:rPr>
          <w:bCs/>
          <w:noProof/>
          <w:sz w:val="22"/>
          <w:u w:val="single"/>
          <w:lang w:val="en-US"/>
        </w:rPr>
        <w:drawing>
          <wp:inline distT="0" distB="0" distL="0" distR="0">
            <wp:extent cx="2609850" cy="1890395"/>
            <wp:effectExtent l="19050" t="0" r="0" b="0"/>
            <wp:docPr id="2" name="18 Imagen" descr="FR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Imagen" descr="FRWORLD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1E" w:rsidRPr="002C75B8" w:rsidRDefault="0030181E" w:rsidP="0030181E">
      <w:pPr>
        <w:spacing w:line="480" w:lineRule="auto"/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Total Population: 6</w:t>
      </w:r>
      <w:r>
        <w:rPr>
          <w:bCs/>
          <w:sz w:val="22"/>
          <w:lang w:val="en-US"/>
        </w:rPr>
        <w:t>4,876,618</w:t>
      </w:r>
      <w:r w:rsidRPr="002C75B8">
        <w:rPr>
          <w:bCs/>
          <w:sz w:val="22"/>
          <w:lang w:val="en-US"/>
        </w:rPr>
        <w:t xml:space="preserve"> 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Population 0-14 years: 18% 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Rural population: </w:t>
      </w:r>
      <w:r>
        <w:rPr>
          <w:bCs/>
          <w:sz w:val="22"/>
          <w:lang w:val="en-US"/>
        </w:rPr>
        <w:t>22</w:t>
      </w:r>
      <w:r w:rsidRPr="002C75B8">
        <w:rPr>
          <w:bCs/>
          <w:sz w:val="22"/>
          <w:lang w:val="en-US"/>
        </w:rPr>
        <w:t xml:space="preserve">% </w:t>
      </w:r>
    </w:p>
    <w:p w:rsidR="0030181E" w:rsidRPr="002C75B8" w:rsidRDefault="0030181E" w:rsidP="0030181E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25 a day: no data </w:t>
      </w:r>
    </w:p>
    <w:p w:rsidR="0030181E" w:rsidRPr="002C75B8" w:rsidRDefault="0030181E" w:rsidP="0030181E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Income status: High income</w:t>
      </w:r>
      <w:r>
        <w:rPr>
          <w:bCs/>
          <w:sz w:val="22"/>
          <w:lang w:val="en-US"/>
        </w:rPr>
        <w:t xml:space="preserve"> economy</w:t>
      </w:r>
      <w:r w:rsidRPr="002C75B8">
        <w:rPr>
          <w:bCs/>
          <w:sz w:val="22"/>
          <w:lang w:val="en-US"/>
        </w:rPr>
        <w:t xml:space="preserve">: OECD </w:t>
      </w:r>
    </w:p>
    <w:p w:rsidR="0030181E" w:rsidRPr="002C75B8" w:rsidRDefault="0030181E" w:rsidP="0030181E">
      <w:pPr>
        <w:ind w:left="0" w:firstLine="0"/>
        <w:rPr>
          <w:color w:val="000000"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Ranking: Very high human development </w:t>
      </w:r>
      <w:r w:rsidRPr="002C75B8">
        <w:rPr>
          <w:color w:val="000000"/>
          <w:sz w:val="22"/>
          <w:lang w:val="en-US"/>
        </w:rPr>
        <w:t xml:space="preserve">(ranking </w:t>
      </w:r>
      <w:r>
        <w:rPr>
          <w:color w:val="000000"/>
          <w:sz w:val="22"/>
          <w:lang w:val="en-US"/>
        </w:rPr>
        <w:t>20</w:t>
      </w:r>
      <w:r w:rsidRPr="002C75B8">
        <w:rPr>
          <w:color w:val="000000"/>
          <w:sz w:val="22"/>
          <w:lang w:val="en-US"/>
        </w:rPr>
        <w:t>)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Per capita total expenditure on health at average exchange rate (US dollar): </w:t>
      </w:r>
      <w:r>
        <w:rPr>
          <w:bCs/>
          <w:sz w:val="22"/>
          <w:lang w:val="en-US"/>
        </w:rPr>
        <w:t>4,798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Life expectancy at birth (years): 81 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>Health</w:t>
      </w:r>
      <w:r>
        <w:rPr>
          <w:bCs/>
          <w:sz w:val="22"/>
          <w:lang w:val="en-US"/>
        </w:rPr>
        <w:t>y</w:t>
      </w:r>
      <w:r w:rsidRPr="002C75B8">
        <w:rPr>
          <w:bCs/>
          <w:sz w:val="22"/>
          <w:lang w:val="en-US"/>
        </w:rPr>
        <w:t xml:space="preserve"> life expectancy at birth (years): 72 </w:t>
      </w: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</w:p>
    <w:p w:rsidR="0030181E" w:rsidRPr="002C75B8" w:rsidRDefault="0030181E" w:rsidP="0030181E">
      <w:pPr>
        <w:ind w:left="0" w:firstLine="0"/>
        <w:rPr>
          <w:bCs/>
          <w:sz w:val="22"/>
          <w:lang w:val="en-US"/>
        </w:rPr>
      </w:pPr>
    </w:p>
    <w:p w:rsidR="0030181E" w:rsidRPr="002C75B8" w:rsidRDefault="0030181E" w:rsidP="0030181E">
      <w:pPr>
        <w:spacing w:line="480" w:lineRule="auto"/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30181E" w:rsidRPr="002C75B8" w:rsidRDefault="0030181E" w:rsidP="0030181E">
      <w:pPr>
        <w:ind w:left="0" w:firstLine="0"/>
        <w:rPr>
          <w:color w:val="000000"/>
          <w:sz w:val="22"/>
          <w:lang w:val="en-GB"/>
        </w:rPr>
      </w:pPr>
      <w:r w:rsidRPr="002C75B8">
        <w:rPr>
          <w:color w:val="000000"/>
          <w:sz w:val="22"/>
          <w:lang w:val="en-GB"/>
        </w:rPr>
        <w:t xml:space="preserve">Human VL caused by </w:t>
      </w:r>
      <w:r w:rsidRPr="002C75B8">
        <w:rPr>
          <w:i/>
          <w:iCs/>
          <w:color w:val="000000"/>
          <w:sz w:val="22"/>
          <w:lang w:val="en-GB"/>
        </w:rPr>
        <w:t>L infantum</w:t>
      </w:r>
      <w:r w:rsidRPr="002C75B8">
        <w:rPr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>ha</w:t>
      </w:r>
      <w:r w:rsidRPr="002C75B8">
        <w:rPr>
          <w:color w:val="000000"/>
          <w:sz w:val="22"/>
          <w:lang w:val="en-GB"/>
        </w:rPr>
        <w:t xml:space="preserve">s </w:t>
      </w:r>
      <w:r>
        <w:rPr>
          <w:color w:val="000000"/>
          <w:sz w:val="22"/>
          <w:lang w:val="en-GB"/>
        </w:rPr>
        <w:t xml:space="preserve">been </w:t>
      </w:r>
      <w:r w:rsidRPr="002C75B8">
        <w:rPr>
          <w:color w:val="000000"/>
          <w:sz w:val="22"/>
          <w:lang w:val="en-GB"/>
        </w:rPr>
        <w:t xml:space="preserve">present in France since the 1920s. Humans are only occasional hosts. Dogs are the main reservoir. In southern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color w:val="000000"/>
              <w:sz w:val="22"/>
              <w:lang w:val="en-GB"/>
            </w:rPr>
            <w:t>France</w:t>
          </w:r>
        </w:smartTag>
      </w:smartTag>
      <w:r>
        <w:rPr>
          <w:color w:val="000000"/>
          <w:sz w:val="22"/>
          <w:lang w:val="en-GB"/>
        </w:rPr>
        <w:t>,</w:t>
      </w:r>
      <w:r w:rsidRPr="002C75B8">
        <w:rPr>
          <w:color w:val="000000"/>
          <w:sz w:val="22"/>
          <w:lang w:val="en-GB"/>
        </w:rPr>
        <w:t xml:space="preserve"> the </w:t>
      </w:r>
      <w:proofErr w:type="spellStart"/>
      <w:r w:rsidRPr="002C75B8">
        <w:rPr>
          <w:color w:val="000000"/>
          <w:sz w:val="22"/>
          <w:lang w:val="en-GB"/>
        </w:rPr>
        <w:t>seroprevalence</w:t>
      </w:r>
      <w:proofErr w:type="spellEnd"/>
      <w:r w:rsidRPr="002C75B8">
        <w:rPr>
          <w:color w:val="000000"/>
          <w:sz w:val="22"/>
          <w:lang w:val="en-GB"/>
        </w:rPr>
        <w:t xml:space="preserve"> in dogs varies between 10 to 20% and molecular methods detected 66% of asymptomatic dogs </w:t>
      </w:r>
      <w:r>
        <w:rPr>
          <w:color w:val="000000"/>
          <w:sz w:val="22"/>
          <w:lang w:val="en-GB"/>
        </w:rPr>
        <w:t>[1</w:t>
      </w:r>
      <w:proofErr w:type="gramStart"/>
      <w:r>
        <w:rPr>
          <w:color w:val="000000"/>
          <w:sz w:val="22"/>
          <w:lang w:val="en-GB"/>
        </w:rPr>
        <w:t>,2</w:t>
      </w:r>
      <w:proofErr w:type="gramEnd"/>
      <w:r>
        <w:rPr>
          <w:color w:val="000000"/>
          <w:sz w:val="22"/>
          <w:lang w:val="en-GB"/>
        </w:rPr>
        <w:t>]</w:t>
      </w:r>
      <w:r w:rsidRPr="002C75B8">
        <w:rPr>
          <w:color w:val="000000"/>
          <w:sz w:val="22"/>
          <w:lang w:val="en-GB"/>
        </w:rPr>
        <w:t>. There is no program for the control of canine leishmaniasis.</w:t>
      </w:r>
    </w:p>
    <w:p w:rsidR="0030181E" w:rsidRPr="002C75B8" w:rsidRDefault="0030181E" w:rsidP="0030181E">
      <w:pPr>
        <w:ind w:left="0" w:firstLine="0"/>
        <w:rPr>
          <w:color w:val="000000"/>
          <w:sz w:val="22"/>
          <w:lang w:val="en-GB"/>
        </w:rPr>
      </w:pPr>
    </w:p>
    <w:p w:rsidR="0030181E" w:rsidRDefault="0030181E" w:rsidP="0030181E">
      <w:pPr>
        <w:ind w:left="0" w:firstLine="0"/>
        <w:rPr>
          <w:color w:val="000000"/>
          <w:sz w:val="22"/>
          <w:lang w:val="en-GB"/>
        </w:rPr>
      </w:pPr>
      <w:r w:rsidRPr="002C75B8">
        <w:rPr>
          <w:color w:val="000000"/>
          <w:sz w:val="22"/>
          <w:lang w:val="en-GB"/>
        </w:rPr>
        <w:t>Human disease may manifest as VL or CL. A total of 2</w:t>
      </w:r>
      <w:r>
        <w:rPr>
          <w:color w:val="000000"/>
          <w:sz w:val="22"/>
          <w:lang w:val="en-GB"/>
        </w:rPr>
        <w:t>67</w:t>
      </w:r>
      <w:r w:rsidRPr="002C75B8">
        <w:rPr>
          <w:color w:val="000000"/>
          <w:sz w:val="22"/>
          <w:lang w:val="en-GB"/>
        </w:rPr>
        <w:t xml:space="preserve"> cases </w:t>
      </w:r>
      <w:r>
        <w:rPr>
          <w:color w:val="000000"/>
          <w:sz w:val="22"/>
          <w:lang w:val="en-GB"/>
        </w:rPr>
        <w:t>were</w:t>
      </w:r>
      <w:r w:rsidRPr="002C75B8">
        <w:rPr>
          <w:color w:val="000000"/>
          <w:sz w:val="22"/>
          <w:lang w:val="en-GB"/>
        </w:rPr>
        <w:t xml:space="preserve"> reported between 1999 and 20</w:t>
      </w:r>
      <w:r>
        <w:rPr>
          <w:color w:val="000000"/>
          <w:sz w:val="22"/>
          <w:lang w:val="en-GB"/>
        </w:rPr>
        <w:t>10</w:t>
      </w:r>
      <w:r w:rsidRPr="002C75B8">
        <w:rPr>
          <w:color w:val="000000"/>
          <w:sz w:val="22"/>
          <w:lang w:val="en-GB"/>
        </w:rPr>
        <w:t xml:space="preserve"> (mean </w:t>
      </w:r>
      <w:r>
        <w:rPr>
          <w:color w:val="000000"/>
          <w:sz w:val="22"/>
          <w:lang w:val="en-GB"/>
        </w:rPr>
        <w:t xml:space="preserve">of </w:t>
      </w:r>
      <w:r w:rsidRPr="002C75B8">
        <w:rPr>
          <w:color w:val="000000"/>
          <w:sz w:val="22"/>
          <w:lang w:val="en-GB"/>
        </w:rPr>
        <w:t>2</w:t>
      </w:r>
      <w:r>
        <w:rPr>
          <w:color w:val="000000"/>
          <w:sz w:val="22"/>
          <w:lang w:val="en-GB"/>
        </w:rPr>
        <w:t>2 cases per year), 232 of which were VL, 29 CL and 6</w:t>
      </w:r>
      <w:r w:rsidRPr="002C75B8">
        <w:rPr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 xml:space="preserve">mucosal leishmaniasis. </w:t>
      </w:r>
      <w:r w:rsidRPr="002C75B8">
        <w:rPr>
          <w:color w:val="000000"/>
          <w:sz w:val="22"/>
          <w:lang w:val="en-GB"/>
        </w:rPr>
        <w:t xml:space="preserve">The majority of cases occur in </w:t>
      </w:r>
      <w:proofErr w:type="spellStart"/>
      <w:r w:rsidRPr="002C75B8">
        <w:rPr>
          <w:sz w:val="22"/>
          <w:lang w:val="en-GB"/>
        </w:rPr>
        <w:t>immunocompromised</w:t>
      </w:r>
      <w:proofErr w:type="spellEnd"/>
      <w:r w:rsidRPr="002C75B8">
        <w:rPr>
          <w:sz w:val="22"/>
          <w:lang w:val="en-GB"/>
        </w:rPr>
        <w:t xml:space="preserve"> adults, although VL in young children is observed. </w:t>
      </w:r>
      <w:r w:rsidRPr="002C75B8">
        <w:rPr>
          <w:color w:val="000000"/>
          <w:sz w:val="22"/>
          <w:lang w:val="en-GB"/>
        </w:rPr>
        <w:t xml:space="preserve">Cases of </w:t>
      </w:r>
      <w:r w:rsidRPr="002C75B8">
        <w:rPr>
          <w:i/>
          <w:color w:val="000000"/>
          <w:sz w:val="22"/>
          <w:lang w:val="en-GB"/>
        </w:rPr>
        <w:t>Leishmania</w:t>
      </w:r>
      <w:r w:rsidRPr="002C75B8">
        <w:rPr>
          <w:color w:val="000000"/>
          <w:sz w:val="22"/>
          <w:lang w:val="en-GB"/>
        </w:rPr>
        <w:t>/HIV co</w:t>
      </w:r>
      <w:r>
        <w:rPr>
          <w:color w:val="000000"/>
          <w:sz w:val="22"/>
          <w:lang w:val="en-GB"/>
        </w:rPr>
        <w:t>-</w:t>
      </w:r>
      <w:r w:rsidRPr="002C75B8">
        <w:rPr>
          <w:color w:val="000000"/>
          <w:sz w:val="22"/>
          <w:lang w:val="en-GB"/>
        </w:rPr>
        <w:t xml:space="preserve">infection are diagnosed in the Mediterranean area and </w:t>
      </w:r>
      <w:smartTag w:uri="urn:schemas-microsoft-com:office:smarttags" w:element="City">
        <w:smartTag w:uri="urn:schemas-microsoft-com:office:smarttags" w:element="place">
          <w:r w:rsidRPr="002C75B8">
            <w:rPr>
              <w:color w:val="000000"/>
              <w:sz w:val="22"/>
              <w:lang w:val="en-GB"/>
            </w:rPr>
            <w:t>Paris</w:t>
          </w:r>
        </w:smartTag>
      </w:smartTag>
      <w:r w:rsidRPr="002C75B8">
        <w:rPr>
          <w:color w:val="000000"/>
          <w:sz w:val="22"/>
          <w:lang w:val="en-GB"/>
        </w:rPr>
        <w:t>, and represent 38% of all VL cases. In the Mediterranean foci</w:t>
      </w:r>
      <w:r>
        <w:rPr>
          <w:color w:val="000000"/>
          <w:sz w:val="22"/>
          <w:lang w:val="en-GB"/>
        </w:rPr>
        <w:t>,</w:t>
      </w:r>
      <w:r w:rsidRPr="002C75B8">
        <w:rPr>
          <w:color w:val="000000"/>
          <w:sz w:val="22"/>
          <w:lang w:val="en-GB"/>
        </w:rPr>
        <w:t xml:space="preserve"> VL predominat</w:t>
      </w:r>
      <w:r>
        <w:rPr>
          <w:color w:val="000000"/>
          <w:sz w:val="22"/>
          <w:lang w:val="en-GB"/>
        </w:rPr>
        <w:t>es,</w:t>
      </w:r>
      <w:r w:rsidRPr="002C75B8">
        <w:rPr>
          <w:color w:val="000000"/>
          <w:sz w:val="22"/>
          <w:lang w:val="en-GB"/>
        </w:rPr>
        <w:t xml:space="preserve"> representing 97-99% of all cases. </w:t>
      </w:r>
      <w:r>
        <w:rPr>
          <w:color w:val="000000"/>
          <w:sz w:val="22"/>
          <w:lang w:val="en-GB"/>
        </w:rPr>
        <w:t xml:space="preserve">Areas at risk are the </w:t>
      </w:r>
      <w:smartTag w:uri="urn:schemas-microsoft-com:office:smarttags" w:element="State">
        <w:r>
          <w:rPr>
            <w:color w:val="000000"/>
            <w:sz w:val="22"/>
            <w:lang w:val="en-GB"/>
          </w:rPr>
          <w:t>Cevennes</w:t>
        </w:r>
      </w:smartTag>
      <w:r>
        <w:rPr>
          <w:color w:val="000000"/>
          <w:sz w:val="22"/>
          <w:lang w:val="en-GB"/>
        </w:rPr>
        <w:t xml:space="preserve">, the </w:t>
      </w:r>
      <w:smartTag w:uri="urn:schemas-microsoft-com:office:smarttags" w:element="State">
        <w:r>
          <w:rPr>
            <w:color w:val="000000"/>
            <w:sz w:val="22"/>
            <w:lang w:val="en-GB"/>
          </w:rPr>
          <w:t>Provence</w:t>
        </w:r>
      </w:smartTag>
      <w:r>
        <w:rPr>
          <w:color w:val="000000"/>
          <w:sz w:val="22"/>
          <w:lang w:val="en-GB"/>
        </w:rPr>
        <w:t xml:space="preserve">, the </w:t>
      </w:r>
      <w:smartTag w:uri="urn:schemas-microsoft-com:office:smarttags" w:element="country-region">
        <w:r>
          <w:rPr>
            <w:color w:val="000000"/>
            <w:sz w:val="22"/>
            <w:lang w:val="en-GB"/>
          </w:rPr>
          <w:t>Cote d’Azur</w:t>
        </w:r>
      </w:smartTag>
      <w:r>
        <w:rPr>
          <w:color w:val="000000"/>
          <w:sz w:val="22"/>
          <w:lang w:val="en-GB"/>
        </w:rPr>
        <w:t xml:space="preserve">, the </w:t>
      </w:r>
      <w:proofErr w:type="spellStart"/>
      <w:r w:rsidRPr="002C75B8">
        <w:rPr>
          <w:color w:val="000000"/>
          <w:sz w:val="22"/>
          <w:lang w:val="en-GB"/>
        </w:rPr>
        <w:t>Pyrenées</w:t>
      </w:r>
      <w:proofErr w:type="spellEnd"/>
      <w:r w:rsidRPr="002C75B8">
        <w:rPr>
          <w:color w:val="000000"/>
          <w:sz w:val="22"/>
          <w:lang w:val="en-GB"/>
        </w:rPr>
        <w:t xml:space="preserve"> </w:t>
      </w:r>
      <w:proofErr w:type="spellStart"/>
      <w:r w:rsidRPr="002C75B8">
        <w:rPr>
          <w:color w:val="000000"/>
          <w:sz w:val="22"/>
          <w:lang w:val="en-GB"/>
        </w:rPr>
        <w:t>Orientales</w:t>
      </w:r>
      <w:proofErr w:type="spellEnd"/>
      <w:r w:rsidRPr="002C75B8">
        <w:rPr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 xml:space="preserve">and </w:t>
      </w:r>
      <w:smartTag w:uri="urn:schemas-microsoft-com:office:smarttags" w:element="place">
        <w:r>
          <w:rPr>
            <w:color w:val="000000"/>
            <w:sz w:val="22"/>
            <w:lang w:val="en-GB"/>
          </w:rPr>
          <w:t>Corsica</w:t>
        </w:r>
      </w:smartTag>
      <w:r>
        <w:rPr>
          <w:color w:val="000000"/>
          <w:sz w:val="22"/>
          <w:lang w:val="en-GB"/>
        </w:rPr>
        <w:t xml:space="preserve">. </w:t>
      </w:r>
      <w:r w:rsidRPr="002C75B8">
        <w:rPr>
          <w:color w:val="000000"/>
          <w:sz w:val="22"/>
          <w:lang w:val="en-GB"/>
        </w:rPr>
        <w:t xml:space="preserve">CL is less frequent than VL, with only 24 cases reported from southern France </w:t>
      </w:r>
      <w:proofErr w:type="gramStart"/>
      <w:r w:rsidRPr="002C75B8">
        <w:rPr>
          <w:color w:val="000000"/>
          <w:sz w:val="22"/>
          <w:lang w:val="en-GB"/>
        </w:rPr>
        <w:t>between</w:t>
      </w:r>
      <w:r>
        <w:rPr>
          <w:color w:val="000000"/>
          <w:sz w:val="22"/>
          <w:lang w:val="en-GB"/>
        </w:rPr>
        <w:t xml:space="preserve"> </w:t>
      </w:r>
      <w:r w:rsidRPr="002C75B8">
        <w:rPr>
          <w:color w:val="000000"/>
          <w:sz w:val="22"/>
          <w:lang w:val="en-GB"/>
        </w:rPr>
        <w:t>1999-2008</w:t>
      </w:r>
      <w:proofErr w:type="gramEnd"/>
      <w:r w:rsidRPr="002C75B8">
        <w:rPr>
          <w:color w:val="000000"/>
          <w:sz w:val="22"/>
          <w:lang w:val="en-GB"/>
        </w:rPr>
        <w:t xml:space="preserve">. In the </w:t>
      </w:r>
      <w:smartTag w:uri="urn:schemas-microsoft-com:office:smarttags" w:element="State">
        <w:smartTag w:uri="urn:schemas-microsoft-com:office:smarttags" w:element="place">
          <w:r w:rsidRPr="002C75B8">
            <w:rPr>
              <w:color w:val="000000"/>
              <w:sz w:val="22"/>
              <w:lang w:val="en-GB"/>
            </w:rPr>
            <w:t>Cevennes</w:t>
          </w:r>
        </w:smartTag>
      </w:smartTag>
      <w:r>
        <w:rPr>
          <w:color w:val="000000"/>
          <w:sz w:val="22"/>
          <w:lang w:val="en-GB"/>
        </w:rPr>
        <w:t>, 20% of the cases are CL and 78</w:t>
      </w:r>
      <w:r w:rsidRPr="002C75B8">
        <w:rPr>
          <w:color w:val="000000"/>
          <w:sz w:val="22"/>
          <w:lang w:val="en-GB"/>
        </w:rPr>
        <w:t xml:space="preserve">% VL, </w:t>
      </w:r>
      <w:r>
        <w:rPr>
          <w:color w:val="000000"/>
          <w:sz w:val="22"/>
          <w:lang w:val="en-GB"/>
        </w:rPr>
        <w:t>whereas</w:t>
      </w:r>
      <w:r w:rsidRPr="002C75B8">
        <w:rPr>
          <w:color w:val="000000"/>
          <w:sz w:val="22"/>
          <w:lang w:val="en-GB"/>
        </w:rPr>
        <w:t xml:space="preserve"> in the </w:t>
      </w:r>
      <w:proofErr w:type="spellStart"/>
      <w:r w:rsidRPr="002C75B8">
        <w:rPr>
          <w:color w:val="000000"/>
          <w:sz w:val="22"/>
          <w:lang w:val="en-GB"/>
        </w:rPr>
        <w:t>Pyrenées</w:t>
      </w:r>
      <w:proofErr w:type="spellEnd"/>
      <w:r w:rsidRPr="002C75B8">
        <w:rPr>
          <w:color w:val="000000"/>
          <w:sz w:val="22"/>
          <w:lang w:val="en-GB"/>
        </w:rPr>
        <w:t xml:space="preserve"> </w:t>
      </w:r>
      <w:proofErr w:type="spellStart"/>
      <w:r w:rsidRPr="002C75B8">
        <w:rPr>
          <w:color w:val="000000"/>
          <w:sz w:val="22"/>
          <w:lang w:val="en-GB"/>
        </w:rPr>
        <w:t>Orientales</w:t>
      </w:r>
      <w:proofErr w:type="spellEnd"/>
      <w:r>
        <w:rPr>
          <w:color w:val="000000"/>
          <w:sz w:val="22"/>
          <w:lang w:val="en-GB"/>
        </w:rPr>
        <w:t>,</w:t>
      </w:r>
      <w:r w:rsidRPr="002C75B8">
        <w:rPr>
          <w:color w:val="000000"/>
          <w:sz w:val="22"/>
          <w:lang w:val="en-GB"/>
        </w:rPr>
        <w:t xml:space="preserve"> 78% of the cases are CL and 2</w:t>
      </w:r>
      <w:r>
        <w:rPr>
          <w:color w:val="000000"/>
          <w:sz w:val="22"/>
          <w:lang w:val="en-GB"/>
        </w:rPr>
        <w:t>2</w:t>
      </w:r>
      <w:r w:rsidRPr="002C75B8">
        <w:rPr>
          <w:color w:val="000000"/>
          <w:sz w:val="22"/>
          <w:lang w:val="en-GB"/>
        </w:rPr>
        <w:t xml:space="preserve">% VL. </w:t>
      </w:r>
      <w:r>
        <w:rPr>
          <w:color w:val="000000"/>
          <w:sz w:val="22"/>
          <w:lang w:val="en-GB"/>
        </w:rPr>
        <w:t xml:space="preserve">In the </w:t>
      </w:r>
      <w:smartTag w:uri="urn:schemas-microsoft-com:office:smarttags" w:element="country-region">
        <w:r>
          <w:rPr>
            <w:color w:val="000000"/>
            <w:sz w:val="22"/>
            <w:lang w:val="en-GB"/>
          </w:rPr>
          <w:t>Cote d’Azur</w:t>
        </w:r>
      </w:smartTag>
      <w:r>
        <w:rPr>
          <w:color w:val="000000"/>
          <w:sz w:val="22"/>
          <w:lang w:val="en-GB"/>
        </w:rPr>
        <w:t xml:space="preserve"> and the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lang w:val="en-GB"/>
            </w:rPr>
            <w:t>Provence</w:t>
          </w:r>
        </w:smartTag>
      </w:smartTag>
      <w:r>
        <w:rPr>
          <w:color w:val="000000"/>
          <w:sz w:val="22"/>
          <w:lang w:val="en-GB"/>
        </w:rPr>
        <w:t xml:space="preserve">, 97%, resp. 99% of cases </w:t>
      </w:r>
      <w:proofErr w:type="gramStart"/>
      <w:r>
        <w:rPr>
          <w:color w:val="000000"/>
          <w:sz w:val="22"/>
          <w:lang w:val="en-GB"/>
        </w:rPr>
        <w:t>are</w:t>
      </w:r>
      <w:proofErr w:type="gramEnd"/>
      <w:r>
        <w:rPr>
          <w:color w:val="000000"/>
          <w:sz w:val="22"/>
          <w:lang w:val="en-GB"/>
        </w:rPr>
        <w:t xml:space="preserve"> VL. CL, however, </w:t>
      </w:r>
      <w:r w:rsidRPr="002C75B8">
        <w:rPr>
          <w:color w:val="000000"/>
          <w:sz w:val="22"/>
          <w:lang w:val="en-GB"/>
        </w:rPr>
        <w:t xml:space="preserve">often remains undiagnosed. </w:t>
      </w:r>
    </w:p>
    <w:p w:rsidR="0030181E" w:rsidRDefault="0030181E" w:rsidP="0030181E">
      <w:pPr>
        <w:ind w:left="0" w:firstLine="0"/>
        <w:rPr>
          <w:color w:val="000000"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color w:val="000000"/>
          <w:sz w:val="22"/>
          <w:lang w:val="en-GB"/>
        </w:rPr>
      </w:pPr>
      <w:r>
        <w:rPr>
          <w:color w:val="000000"/>
          <w:sz w:val="22"/>
          <w:lang w:val="en-GB"/>
        </w:rPr>
        <w:t xml:space="preserve">Both VL and CL are imported diseases. Between 2006 and 2010, 31 cases of VL and 248 cases of CL were imported.  </w:t>
      </w: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lastRenderedPageBreak/>
        <w:t>PARASITOLOGICAL INFORMATION</w:t>
      </w: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2079"/>
        <w:gridCol w:w="2085"/>
        <w:gridCol w:w="2182"/>
      </w:tblGrid>
      <w:tr w:rsidR="0030181E" w:rsidRPr="002C75B8" w:rsidTr="00A7768B">
        <w:tc>
          <w:tcPr>
            <w:tcW w:w="2176" w:type="dxa"/>
            <w:vAlign w:val="center"/>
          </w:tcPr>
          <w:p w:rsidR="0030181E" w:rsidRPr="002C75B8" w:rsidRDefault="0030181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079" w:type="dxa"/>
            <w:vAlign w:val="center"/>
          </w:tcPr>
          <w:p w:rsidR="0030181E" w:rsidRPr="002C75B8" w:rsidRDefault="0030181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0181E" w:rsidRPr="002C75B8" w:rsidRDefault="0030181E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085" w:type="dxa"/>
            <w:vAlign w:val="center"/>
          </w:tcPr>
          <w:p w:rsidR="0030181E" w:rsidRPr="002C75B8" w:rsidRDefault="0030181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0181E" w:rsidRPr="002C75B8" w:rsidRDefault="0030181E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182" w:type="dxa"/>
            <w:vAlign w:val="center"/>
          </w:tcPr>
          <w:p w:rsidR="0030181E" w:rsidRPr="002C75B8" w:rsidRDefault="0030181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30181E" w:rsidRPr="002C75B8" w:rsidRDefault="0030181E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30181E" w:rsidRPr="002C75B8" w:rsidTr="00A7768B">
        <w:tc>
          <w:tcPr>
            <w:tcW w:w="2176" w:type="dxa"/>
            <w:vAlign w:val="center"/>
          </w:tcPr>
          <w:p w:rsidR="0030181E" w:rsidRPr="00A068A7" w:rsidRDefault="0030181E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pt-BR"/>
              </w:rPr>
              <w:t>L. infantum</w:t>
            </w:r>
          </w:p>
          <w:p w:rsidR="0030181E" w:rsidRPr="00A068A7" w:rsidRDefault="0030181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30181E" w:rsidRPr="00A068A7" w:rsidRDefault="0030181E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A068A7">
              <w:rPr>
                <w:color w:val="000000"/>
                <w:sz w:val="22"/>
                <w:lang w:val="pt-BR"/>
              </w:rPr>
              <w:t>ZVL, CL</w:t>
            </w:r>
          </w:p>
          <w:p w:rsidR="0030181E" w:rsidRPr="00A068A7" w:rsidRDefault="0030181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30181E" w:rsidRPr="00A068A7" w:rsidRDefault="0030181E" w:rsidP="00A7768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en-US"/>
              </w:rPr>
              <w:t xml:space="preserve">P.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perniciosus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en-US"/>
              </w:rPr>
              <w:t xml:space="preserve">, </w:t>
            </w:r>
          </w:p>
          <w:p w:rsidR="0030181E" w:rsidRPr="00A068A7" w:rsidRDefault="0030181E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r w:rsidRPr="00A068A7">
              <w:rPr>
                <w:i/>
                <w:iCs/>
                <w:color w:val="000000"/>
                <w:sz w:val="22"/>
                <w:lang w:val="en-US"/>
              </w:rPr>
              <w:t>P</w:t>
            </w:r>
            <w:r>
              <w:rPr>
                <w:i/>
                <w:iCs/>
                <w:color w:val="000000"/>
                <w:sz w:val="22"/>
                <w:lang w:val="en-US"/>
              </w:rPr>
              <w:t>.</w:t>
            </w:r>
            <w:r w:rsidRPr="00A068A7">
              <w:rPr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ariasi</w:t>
            </w:r>
            <w:proofErr w:type="spellEnd"/>
          </w:p>
          <w:p w:rsidR="0030181E" w:rsidRPr="00A068A7" w:rsidRDefault="0030181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30181E" w:rsidRPr="00A068A7" w:rsidRDefault="0030181E" w:rsidP="00A7768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Canis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familiaris</w:t>
            </w:r>
            <w:proofErr w:type="spellEnd"/>
            <w:r w:rsidRPr="00A068A7">
              <w:rPr>
                <w:i/>
                <w:iCs/>
                <w:color w:val="000000"/>
                <w:sz w:val="22"/>
                <w:lang w:val="en-US"/>
              </w:rPr>
              <w:t>,</w:t>
            </w:r>
          </w:p>
          <w:p w:rsidR="0030181E" w:rsidRPr="00A068A7" w:rsidRDefault="0030181E" w:rsidP="00A7768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lang w:val="en-US"/>
              </w:rPr>
            </w:pP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V</w:t>
            </w:r>
            <w:r>
              <w:rPr>
                <w:i/>
                <w:iCs/>
                <w:color w:val="000000"/>
                <w:sz w:val="22"/>
                <w:lang w:val="en-US"/>
              </w:rPr>
              <w:t>ulpes</w:t>
            </w:r>
            <w:proofErr w:type="spellEnd"/>
            <w:r w:rsidRPr="00A068A7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068A7">
              <w:rPr>
                <w:i/>
                <w:iCs/>
                <w:color w:val="000000"/>
                <w:sz w:val="22"/>
                <w:lang w:val="en-US"/>
              </w:rPr>
              <w:t>vulpes</w:t>
            </w:r>
            <w:proofErr w:type="spellEnd"/>
          </w:p>
          <w:p w:rsidR="0030181E" w:rsidRPr="00A068A7" w:rsidRDefault="0030181E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t>MAPS AND TRENDS</w:t>
      </w: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106045</wp:posOffset>
            </wp:positionV>
            <wp:extent cx="3201035" cy="2734945"/>
            <wp:effectExtent l="19050" t="0" r="0" b="0"/>
            <wp:wrapNone/>
            <wp:docPr id="7" name="Picture 7" descr="FR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73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lang w:val="en-GB"/>
        </w:rPr>
        <w:t>Visceral leishmaniasis</w:t>
      </w: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56515</wp:posOffset>
            </wp:positionV>
            <wp:extent cx="3296285" cy="2743200"/>
            <wp:effectExtent l="19050" t="0" r="0" b="0"/>
            <wp:wrapNone/>
            <wp:docPr id="6" name="Picture 6" descr="FR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V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Cutaneous leishmaniasis</w:t>
      </w: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57150</wp:posOffset>
            </wp:positionV>
            <wp:extent cx="3146425" cy="2857500"/>
            <wp:effectExtent l="19050" t="0" r="0" b="0"/>
            <wp:wrapNone/>
            <wp:docPr id="5" name="Picture 5" descr="FRCLIR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CLIR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57150</wp:posOffset>
            </wp:positionV>
            <wp:extent cx="3241675" cy="2857500"/>
            <wp:effectExtent l="19050" t="0" r="0" b="0"/>
            <wp:wrapNone/>
            <wp:docPr id="4" name="Picture 4" descr="FR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CLmo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GB"/>
        </w:rPr>
      </w:pPr>
      <w:r w:rsidRPr="002C75B8">
        <w:rPr>
          <w:b/>
          <w:bCs/>
          <w:sz w:val="22"/>
          <w:lang w:val="en-GB"/>
        </w:rPr>
        <w:lastRenderedPageBreak/>
        <w:t>Visceral leishmaniasis trend</w:t>
      </w:r>
    </w:p>
    <w:p w:rsidR="0030181E" w:rsidRPr="002C75B8" w:rsidRDefault="0030181E" w:rsidP="0030181E">
      <w:pPr>
        <w:ind w:left="0" w:firstLine="0"/>
        <w:rPr>
          <w:b/>
          <w:bCs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sz w:val="22"/>
          <w:lang w:val="en-GB" w:eastAsia="es-ES"/>
        </w:rPr>
      </w:pPr>
      <w:r>
        <w:rPr>
          <w:rFonts w:eastAsia="Times New Roman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89535</wp:posOffset>
            </wp:positionV>
            <wp:extent cx="6743700" cy="2854960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>
        <w:rPr>
          <w:rFonts w:eastAsia="Times New Roman"/>
          <w:b/>
          <w:bCs/>
          <w:sz w:val="22"/>
          <w:lang w:val="en-GB" w:eastAsia="es-ES"/>
        </w:rPr>
        <w:t>Cutaneous leishmaniasis cases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06"/>
        <w:gridCol w:w="706"/>
      </w:tblGrid>
      <w:tr w:rsidR="0030181E" w:rsidRPr="00754DC4" w:rsidTr="00A7768B">
        <w:tc>
          <w:tcPr>
            <w:tcW w:w="796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1999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2000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2001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2002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2003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2004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2005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2006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2007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 w:rsidRPr="00754DC4">
              <w:rPr>
                <w:rFonts w:eastAsia="Times New Roman"/>
                <w:b/>
                <w:bCs/>
                <w:sz w:val="22"/>
                <w:lang w:val="en-GB" w:eastAsia="es-ES"/>
              </w:rPr>
              <w:t>2008</w:t>
            </w:r>
          </w:p>
        </w:tc>
        <w:tc>
          <w:tcPr>
            <w:tcW w:w="538" w:type="dxa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>
              <w:rPr>
                <w:rFonts w:eastAsia="Times New Roman"/>
                <w:b/>
                <w:bCs/>
                <w:sz w:val="22"/>
                <w:lang w:val="en-GB" w:eastAsia="es-ES"/>
              </w:rPr>
              <w:t>2009</w:t>
            </w:r>
          </w:p>
        </w:tc>
        <w:tc>
          <w:tcPr>
            <w:tcW w:w="538" w:type="dxa"/>
          </w:tcPr>
          <w:p w:rsidR="0030181E" w:rsidRPr="00754DC4" w:rsidRDefault="0030181E" w:rsidP="00A7768B">
            <w:pPr>
              <w:ind w:left="0" w:firstLine="0"/>
              <w:rPr>
                <w:rFonts w:eastAsia="Times New Roman"/>
                <w:b/>
                <w:bCs/>
                <w:sz w:val="22"/>
                <w:lang w:val="en-GB" w:eastAsia="es-ES"/>
              </w:rPr>
            </w:pPr>
            <w:r>
              <w:rPr>
                <w:rFonts w:eastAsia="Times New Roman"/>
                <w:b/>
                <w:bCs/>
                <w:sz w:val="22"/>
                <w:lang w:val="en-GB" w:eastAsia="es-ES"/>
              </w:rPr>
              <w:t>2010</w:t>
            </w:r>
          </w:p>
        </w:tc>
      </w:tr>
      <w:tr w:rsidR="0030181E" w:rsidRPr="00754DC4" w:rsidTr="00A7768B">
        <w:tc>
          <w:tcPr>
            <w:tcW w:w="796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 w:rsidRPr="00754DC4">
              <w:rPr>
                <w:rFonts w:eastAsia="Times New Roman"/>
                <w:sz w:val="22"/>
                <w:lang w:val="en-GB" w:eastAsia="es-ES"/>
              </w:rPr>
              <w:t>4</w:t>
            </w:r>
          </w:p>
        </w:tc>
        <w:tc>
          <w:tcPr>
            <w:tcW w:w="538" w:type="dxa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>
              <w:rPr>
                <w:rFonts w:eastAsia="Times New Roman"/>
                <w:sz w:val="22"/>
                <w:lang w:val="en-GB" w:eastAsia="es-ES"/>
              </w:rPr>
              <w:t>2</w:t>
            </w:r>
          </w:p>
        </w:tc>
        <w:tc>
          <w:tcPr>
            <w:tcW w:w="538" w:type="dxa"/>
          </w:tcPr>
          <w:p w:rsidR="0030181E" w:rsidRPr="00754DC4" w:rsidRDefault="0030181E" w:rsidP="00A7768B">
            <w:pPr>
              <w:ind w:left="0" w:firstLine="0"/>
              <w:jc w:val="center"/>
              <w:rPr>
                <w:rFonts w:eastAsia="Times New Roman"/>
                <w:sz w:val="22"/>
                <w:lang w:val="en-GB" w:eastAsia="es-ES"/>
              </w:rPr>
            </w:pPr>
            <w:r>
              <w:rPr>
                <w:rFonts w:eastAsia="Times New Roman"/>
                <w:sz w:val="22"/>
                <w:lang w:val="en-GB" w:eastAsia="es-ES"/>
              </w:rPr>
              <w:t>8</w:t>
            </w:r>
          </w:p>
        </w:tc>
      </w:tr>
    </w:tbl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</w:p>
    <w:p w:rsidR="0030181E" w:rsidRPr="002C75B8" w:rsidRDefault="0030181E" w:rsidP="0030181E">
      <w:pPr>
        <w:ind w:left="0" w:firstLine="0"/>
        <w:rPr>
          <w:rFonts w:eastAsia="Times New Roman"/>
          <w:b/>
          <w:bCs/>
          <w:sz w:val="22"/>
          <w:lang w:val="en-GB" w:eastAsia="es-ES"/>
        </w:rPr>
      </w:pPr>
      <w:r w:rsidRPr="002C75B8">
        <w:rPr>
          <w:rFonts w:eastAsia="Times New Roman"/>
          <w:b/>
          <w:bCs/>
          <w:sz w:val="22"/>
          <w:lang w:val="en-GB" w:eastAsia="es-ES"/>
        </w:rPr>
        <w:t>CONTROL</w:t>
      </w:r>
    </w:p>
    <w:p w:rsidR="0030181E" w:rsidRPr="002C75B8" w:rsidRDefault="0030181E" w:rsidP="0030181E">
      <w:pPr>
        <w:ind w:left="0" w:firstLine="0"/>
        <w:rPr>
          <w:rFonts w:eastAsia="Times New Roman"/>
          <w:sz w:val="22"/>
          <w:lang w:val="en-GB" w:eastAsia="es-ES"/>
        </w:rPr>
      </w:pPr>
    </w:p>
    <w:p w:rsidR="0030181E" w:rsidRDefault="0030181E" w:rsidP="0030181E">
      <w:pPr>
        <w:ind w:left="0" w:firstLine="0"/>
        <w:rPr>
          <w:bCs/>
          <w:color w:val="000000"/>
          <w:sz w:val="22"/>
          <w:lang w:val="en-US"/>
        </w:rPr>
      </w:pPr>
      <w:r w:rsidRPr="002C75B8">
        <w:rPr>
          <w:bCs/>
          <w:color w:val="000000"/>
          <w:sz w:val="22"/>
          <w:lang w:val="en-GB"/>
        </w:rPr>
        <w:t xml:space="preserve">The notification of leishmaniasis is not mandatory and there is no </w:t>
      </w:r>
      <w:r w:rsidRPr="002C75B8">
        <w:rPr>
          <w:bCs/>
          <w:color w:val="000000"/>
          <w:sz w:val="22"/>
          <w:lang w:val="en-US"/>
        </w:rPr>
        <w:t xml:space="preserve">national </w:t>
      </w:r>
      <w:r>
        <w:rPr>
          <w:bCs/>
          <w:color w:val="000000"/>
          <w:sz w:val="22"/>
          <w:lang w:val="en-US"/>
        </w:rPr>
        <w:t>l</w:t>
      </w:r>
      <w:r w:rsidRPr="002C75B8">
        <w:rPr>
          <w:bCs/>
          <w:color w:val="000000"/>
          <w:sz w:val="22"/>
          <w:lang w:val="en-US"/>
        </w:rPr>
        <w:t xml:space="preserve">eishmaniasis control program. Case detection is passive. There is no leishmaniasis vector control program, no </w:t>
      </w:r>
      <w:proofErr w:type="spellStart"/>
      <w:r w:rsidRPr="002C75B8">
        <w:rPr>
          <w:bCs/>
          <w:color w:val="000000"/>
          <w:sz w:val="22"/>
          <w:lang w:val="en-US"/>
        </w:rPr>
        <w:t>bednet</w:t>
      </w:r>
      <w:proofErr w:type="spellEnd"/>
      <w:r w:rsidRPr="002C75B8">
        <w:rPr>
          <w:bCs/>
          <w:color w:val="000000"/>
          <w:sz w:val="22"/>
          <w:lang w:val="en-US"/>
        </w:rPr>
        <w:t xml:space="preserve"> distribution program and no insecticide spraying. There is no leishmaniasis reservoir control program</w:t>
      </w:r>
      <w:r>
        <w:rPr>
          <w:bCs/>
          <w:color w:val="000000"/>
          <w:sz w:val="22"/>
          <w:lang w:val="en-US"/>
        </w:rPr>
        <w:t>,</w:t>
      </w:r>
      <w:r w:rsidRPr="002C75B8">
        <w:rPr>
          <w:bCs/>
          <w:color w:val="000000"/>
          <w:sz w:val="22"/>
          <w:lang w:val="en-US"/>
        </w:rPr>
        <w:t xml:space="preserve"> but serological surveys of dogs are regularly performed.</w:t>
      </w:r>
    </w:p>
    <w:p w:rsidR="0030181E" w:rsidRDefault="0030181E" w:rsidP="0030181E">
      <w:pPr>
        <w:ind w:left="0" w:firstLine="0"/>
        <w:rPr>
          <w:bCs/>
          <w:color w:val="000000"/>
          <w:sz w:val="22"/>
          <w:lang w:val="en-US"/>
        </w:rPr>
      </w:pPr>
    </w:p>
    <w:p w:rsidR="0030181E" w:rsidRPr="00106566" w:rsidRDefault="0030181E" w:rsidP="0030181E">
      <w:pPr>
        <w:ind w:left="0" w:firstLine="0"/>
        <w:rPr>
          <w:color w:val="000000"/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b/>
          <w:sz w:val="22"/>
          <w:lang w:val="nl-NL"/>
        </w:rPr>
      </w:pPr>
      <w:r w:rsidRPr="002C75B8">
        <w:rPr>
          <w:b/>
          <w:sz w:val="22"/>
          <w:lang w:val="nl-NL"/>
        </w:rPr>
        <w:t xml:space="preserve">DIAGNOSIS, TREATMENT </w:t>
      </w:r>
    </w:p>
    <w:p w:rsidR="0030181E" w:rsidRPr="002C75B8" w:rsidRDefault="0030181E" w:rsidP="0030181E">
      <w:pPr>
        <w:ind w:left="0" w:firstLine="0"/>
        <w:rPr>
          <w:b/>
          <w:sz w:val="22"/>
          <w:lang w:val="nl-NL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nl-NL"/>
        </w:rPr>
      </w:pPr>
      <w:r w:rsidRPr="002C75B8">
        <w:rPr>
          <w:b/>
          <w:bCs/>
          <w:sz w:val="22"/>
          <w:lang w:val="nl-NL"/>
        </w:rPr>
        <w:t xml:space="preserve">Diagnosis: </w:t>
      </w:r>
    </w:p>
    <w:p w:rsidR="0030181E" w:rsidRPr="00EF6EC8" w:rsidRDefault="0030181E" w:rsidP="0030181E">
      <w:pPr>
        <w:ind w:left="0" w:firstLine="0"/>
        <w:rPr>
          <w:color w:val="000000"/>
          <w:sz w:val="22"/>
          <w:lang w:val="en-US"/>
        </w:rPr>
      </w:pPr>
      <w:r w:rsidRPr="00EF6EC8">
        <w:rPr>
          <w:bCs/>
          <w:color w:val="000000"/>
          <w:sz w:val="22"/>
          <w:lang w:val="en-GB"/>
        </w:rPr>
        <w:t>VL</w:t>
      </w:r>
      <w:r w:rsidRPr="00EF6EC8">
        <w:rPr>
          <w:color w:val="000000"/>
          <w:sz w:val="22"/>
          <w:lang w:val="en-GB"/>
        </w:rPr>
        <w:t xml:space="preserve">: </w:t>
      </w:r>
      <w:r w:rsidRPr="00EF6EC8">
        <w:rPr>
          <w:color w:val="000000"/>
          <w:sz w:val="22"/>
          <w:lang w:val="en-US"/>
        </w:rPr>
        <w:t xml:space="preserve">parasitological, immunological methods and PCR are used. </w:t>
      </w:r>
    </w:p>
    <w:p w:rsidR="0030181E" w:rsidRPr="002C75B8" w:rsidRDefault="0030181E" w:rsidP="0030181E">
      <w:pPr>
        <w:ind w:left="0" w:firstLine="0"/>
        <w:rPr>
          <w:color w:val="000000"/>
          <w:sz w:val="22"/>
          <w:lang w:val="en-GB"/>
        </w:rPr>
      </w:pPr>
      <w:r w:rsidRPr="00EF6EC8">
        <w:rPr>
          <w:bCs/>
          <w:color w:val="000000"/>
          <w:sz w:val="22"/>
          <w:lang w:val="en-US"/>
        </w:rPr>
        <w:t>CL</w:t>
      </w:r>
      <w:r w:rsidRPr="00EF6EC8">
        <w:rPr>
          <w:color w:val="000000"/>
          <w:sz w:val="22"/>
          <w:lang w:val="en-US"/>
        </w:rPr>
        <w:t>:</w:t>
      </w:r>
      <w:r w:rsidRPr="002C75B8">
        <w:rPr>
          <w:color w:val="000000"/>
          <w:sz w:val="22"/>
          <w:lang w:val="en-US"/>
        </w:rPr>
        <w:t xml:space="preserve"> </w:t>
      </w:r>
      <w:r>
        <w:rPr>
          <w:color w:val="000000"/>
          <w:sz w:val="22"/>
          <w:lang w:val="en-US"/>
        </w:rPr>
        <w:t>p</w:t>
      </w:r>
      <w:r w:rsidRPr="002C75B8">
        <w:rPr>
          <w:color w:val="000000"/>
          <w:sz w:val="22"/>
          <w:lang w:val="en-US"/>
        </w:rPr>
        <w:t>arasitological, sometimes PCR</w:t>
      </w:r>
      <w:r>
        <w:rPr>
          <w:color w:val="000000"/>
          <w:sz w:val="22"/>
          <w:lang w:val="en-US"/>
        </w:rPr>
        <w:t>.</w:t>
      </w:r>
      <w:r w:rsidRPr="002C75B8">
        <w:rPr>
          <w:color w:val="000000"/>
          <w:sz w:val="22"/>
          <w:lang w:val="en-US"/>
        </w:rPr>
        <w:t xml:space="preserve">  </w:t>
      </w:r>
    </w:p>
    <w:p w:rsidR="0030181E" w:rsidRPr="002C75B8" w:rsidRDefault="0030181E" w:rsidP="0030181E">
      <w:pPr>
        <w:ind w:left="0" w:firstLine="0"/>
        <w:rPr>
          <w:b/>
          <w:bCs/>
          <w:sz w:val="22"/>
          <w:lang w:val="en-US"/>
        </w:rPr>
      </w:pPr>
    </w:p>
    <w:p w:rsidR="0030181E" w:rsidRPr="002C75B8" w:rsidRDefault="0030181E" w:rsidP="0030181E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Treatment </w:t>
      </w:r>
    </w:p>
    <w:p w:rsidR="0030181E" w:rsidRPr="002C75B8" w:rsidRDefault="0030181E" w:rsidP="0030181E">
      <w:pPr>
        <w:ind w:left="0" w:firstLine="0"/>
        <w:rPr>
          <w:color w:val="000000"/>
          <w:sz w:val="22"/>
          <w:lang w:val="en-GB"/>
        </w:rPr>
      </w:pPr>
    </w:p>
    <w:p w:rsidR="0030181E" w:rsidRPr="00EF6EC8" w:rsidRDefault="0030181E" w:rsidP="0030181E">
      <w:pPr>
        <w:ind w:left="0" w:firstLine="0"/>
        <w:rPr>
          <w:bCs/>
          <w:color w:val="000000"/>
          <w:sz w:val="22"/>
          <w:lang w:val="en-GB"/>
        </w:rPr>
      </w:pPr>
      <w:r w:rsidRPr="00EF6EC8">
        <w:rPr>
          <w:bCs/>
          <w:color w:val="000000"/>
          <w:sz w:val="22"/>
          <w:lang w:val="en-GB"/>
        </w:rPr>
        <w:t>VL</w:t>
      </w:r>
      <w:r w:rsidRPr="00EF6EC8">
        <w:rPr>
          <w:color w:val="000000"/>
          <w:sz w:val="22"/>
          <w:lang w:val="en-GB"/>
        </w:rPr>
        <w:t xml:space="preserve">: First line treatment is with liposomal amphotericin B, 3 mg/kg/day for 5 + 1 day. Cure rate is &gt; 95%. Second line treatment is with miltefosine 2.5 mg/kg/day for 28 days and antimonials, </w:t>
      </w:r>
      <w:r w:rsidRPr="00EF6EC8">
        <w:rPr>
          <w:bCs/>
          <w:color w:val="000000"/>
          <w:sz w:val="22"/>
          <w:lang w:val="en-GB"/>
        </w:rPr>
        <w:t xml:space="preserve">20 mg </w:t>
      </w:r>
      <w:proofErr w:type="spellStart"/>
      <w:r w:rsidRPr="00EF6EC8">
        <w:rPr>
          <w:bCs/>
          <w:color w:val="000000"/>
          <w:sz w:val="22"/>
          <w:lang w:val="en-GB"/>
        </w:rPr>
        <w:t>Sb</w:t>
      </w:r>
      <w:r w:rsidRPr="00EF6EC8">
        <w:rPr>
          <w:bCs/>
          <w:color w:val="000000"/>
          <w:sz w:val="22"/>
          <w:vertAlign w:val="superscript"/>
          <w:lang w:val="en-GB"/>
        </w:rPr>
        <w:t>v</w:t>
      </w:r>
      <w:proofErr w:type="spellEnd"/>
      <w:r w:rsidRPr="00EF6EC8">
        <w:rPr>
          <w:bCs/>
          <w:color w:val="000000"/>
          <w:sz w:val="22"/>
          <w:lang w:val="en-GB"/>
        </w:rPr>
        <w:t xml:space="preserve">/kg/day for 28 days. </w:t>
      </w:r>
    </w:p>
    <w:p w:rsidR="0030181E" w:rsidRDefault="0030181E" w:rsidP="0030181E">
      <w:pPr>
        <w:ind w:left="0" w:firstLine="0"/>
        <w:rPr>
          <w:bCs/>
          <w:color w:val="000000"/>
          <w:sz w:val="22"/>
          <w:lang w:val="en-GB"/>
        </w:rPr>
      </w:pPr>
      <w:r w:rsidRPr="00EF6EC8">
        <w:rPr>
          <w:bCs/>
          <w:color w:val="000000"/>
          <w:sz w:val="22"/>
          <w:lang w:val="en-GB"/>
        </w:rPr>
        <w:t>CL</w:t>
      </w:r>
      <w:r w:rsidRPr="00EF6EC8">
        <w:rPr>
          <w:color w:val="000000"/>
          <w:sz w:val="22"/>
          <w:lang w:val="en-GB"/>
        </w:rPr>
        <w:t>: antimonials</w:t>
      </w:r>
      <w:r w:rsidRPr="002C75B8">
        <w:rPr>
          <w:bCs/>
          <w:color w:val="000000"/>
          <w:sz w:val="22"/>
          <w:lang w:val="en-GB"/>
        </w:rPr>
        <w:t xml:space="preserve">, 20 mg </w:t>
      </w:r>
      <w:proofErr w:type="spellStart"/>
      <w:r w:rsidRPr="002C75B8">
        <w:rPr>
          <w:bCs/>
          <w:color w:val="000000"/>
          <w:sz w:val="22"/>
          <w:lang w:val="en-GB"/>
        </w:rPr>
        <w:t>Sb</w:t>
      </w:r>
      <w:r w:rsidRPr="002C75B8">
        <w:rPr>
          <w:bCs/>
          <w:color w:val="000000"/>
          <w:sz w:val="22"/>
          <w:vertAlign w:val="superscript"/>
          <w:lang w:val="en-GB"/>
        </w:rPr>
        <w:t>v</w:t>
      </w:r>
      <w:proofErr w:type="spellEnd"/>
      <w:r w:rsidRPr="002C75B8">
        <w:rPr>
          <w:bCs/>
          <w:color w:val="000000"/>
          <w:sz w:val="22"/>
          <w:lang w:val="en-GB"/>
        </w:rPr>
        <w:t xml:space="preserve">/kg/day for 28 days. </w:t>
      </w:r>
    </w:p>
    <w:p w:rsidR="0030181E" w:rsidRPr="002C75B8" w:rsidRDefault="0030181E" w:rsidP="0030181E">
      <w:pPr>
        <w:ind w:left="0" w:firstLine="0"/>
        <w:rPr>
          <w:bCs/>
          <w:color w:val="000000"/>
          <w:sz w:val="22"/>
          <w:lang w:val="en-GB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US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US"/>
        </w:rPr>
      </w:pPr>
    </w:p>
    <w:p w:rsidR="0030181E" w:rsidRDefault="0030181E" w:rsidP="0030181E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 xml:space="preserve">ACCESS TO CARE </w:t>
      </w:r>
    </w:p>
    <w:p w:rsidR="0030181E" w:rsidRPr="002C75B8" w:rsidRDefault="0030181E" w:rsidP="0030181E">
      <w:pPr>
        <w:ind w:left="0" w:firstLine="0"/>
        <w:rPr>
          <w:b/>
          <w:bCs/>
          <w:sz w:val="22"/>
          <w:lang w:val="en-US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Care for leishmaniasis is provided for free. Diagnosis and treatment are only offered at advanced health care levels. All patients are thought to have access to care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France</w:t>
          </w:r>
        </w:smartTag>
      </w:smartTag>
      <w:r w:rsidRPr="002C75B8">
        <w:rPr>
          <w:sz w:val="22"/>
          <w:lang w:val="en-GB"/>
        </w:rPr>
        <w:t xml:space="preserve">. </w:t>
      </w: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  <w:r w:rsidRPr="002C75B8">
        <w:rPr>
          <w:b/>
          <w:sz w:val="22"/>
          <w:lang w:val="en-GB"/>
        </w:rPr>
        <w:t>ACCESS TO DRUGS</w:t>
      </w:r>
      <w:r w:rsidRPr="002C75B8">
        <w:rPr>
          <w:sz w:val="22"/>
          <w:lang w:val="en-GB"/>
        </w:rPr>
        <w:t xml:space="preserve"> </w:t>
      </w:r>
    </w:p>
    <w:p w:rsidR="0030181E" w:rsidRPr="002C75B8" w:rsidRDefault="0030181E" w:rsidP="0030181E">
      <w:pPr>
        <w:ind w:left="0" w:firstLine="0"/>
        <w:rPr>
          <w:sz w:val="22"/>
          <w:lang w:val="en-GB"/>
        </w:rPr>
      </w:pPr>
    </w:p>
    <w:p w:rsidR="0030181E" w:rsidRDefault="0030181E" w:rsidP="0030181E">
      <w:pPr>
        <w:ind w:left="0" w:firstLine="0"/>
        <w:rPr>
          <w:iCs/>
          <w:sz w:val="22"/>
          <w:lang w:val="en-GB"/>
        </w:rPr>
      </w:pPr>
      <w:r w:rsidRPr="002C75B8">
        <w:rPr>
          <w:sz w:val="22"/>
          <w:lang w:val="en-GB"/>
        </w:rPr>
        <w:t>Meglumine antimoniate, liposomal amphotericin B and miltefosine are included in the National Essential Drug List for VL. For CL</w:t>
      </w:r>
      <w:r>
        <w:rPr>
          <w:sz w:val="22"/>
          <w:lang w:val="en-GB"/>
        </w:rPr>
        <w:t>,</w:t>
      </w:r>
      <w:r w:rsidRPr="002C75B8">
        <w:rPr>
          <w:sz w:val="22"/>
          <w:lang w:val="en-GB"/>
        </w:rPr>
        <w:t xml:space="preserve"> meglumine antimoniate and </w:t>
      </w:r>
      <w:proofErr w:type="spellStart"/>
      <w:r w:rsidRPr="002C75B8">
        <w:rPr>
          <w:sz w:val="22"/>
          <w:lang w:val="en-GB"/>
        </w:rPr>
        <w:t>pentamidine</w:t>
      </w:r>
      <w:proofErr w:type="spellEnd"/>
      <w:r w:rsidRPr="002C75B8">
        <w:rPr>
          <w:sz w:val="22"/>
          <w:lang w:val="en-GB"/>
        </w:rPr>
        <w:t xml:space="preserve"> are included. </w:t>
      </w:r>
      <w:r w:rsidRPr="002C75B8">
        <w:rPr>
          <w:iCs/>
          <w:sz w:val="22"/>
          <w:lang w:val="en-GB"/>
        </w:rPr>
        <w:t>Glucantime (</w:t>
      </w:r>
      <w:proofErr w:type="spellStart"/>
      <w:r>
        <w:rPr>
          <w:iCs/>
          <w:sz w:val="22"/>
          <w:lang w:val="en-GB"/>
        </w:rPr>
        <w:t>Sanofi</w:t>
      </w:r>
      <w:proofErr w:type="spellEnd"/>
      <w:r w:rsidRPr="002C75B8">
        <w:rPr>
          <w:iCs/>
          <w:sz w:val="22"/>
          <w:lang w:val="en-GB"/>
        </w:rPr>
        <w:t xml:space="preserve">) is registered. </w:t>
      </w:r>
    </w:p>
    <w:p w:rsidR="0030181E" w:rsidRDefault="0030181E" w:rsidP="0030181E">
      <w:pPr>
        <w:ind w:left="0" w:firstLine="0"/>
        <w:rPr>
          <w:iCs/>
          <w:sz w:val="22"/>
          <w:lang w:val="en-GB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Pr="00984ED5" w:rsidRDefault="0030181E" w:rsidP="0030181E">
      <w:pPr>
        <w:rPr>
          <w:b/>
          <w:sz w:val="22"/>
          <w:lang w:val="en-GB"/>
        </w:rPr>
      </w:pPr>
      <w:r w:rsidRPr="00984ED5">
        <w:rPr>
          <w:b/>
          <w:sz w:val="22"/>
          <w:lang w:val="en-GB"/>
        </w:rPr>
        <w:t>SOURCES OF INFORMATION</w:t>
      </w: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Pr="00104339" w:rsidRDefault="0030181E" w:rsidP="0030181E">
      <w:pPr>
        <w:ind w:left="0" w:firstLine="0"/>
        <w:rPr>
          <w:lang w:val="en-GB"/>
        </w:rPr>
      </w:pPr>
      <w:r>
        <w:rPr>
          <w:sz w:val="22"/>
          <w:lang w:val="en-GB"/>
        </w:rPr>
        <w:t>1.</w:t>
      </w:r>
      <w:r>
        <w:rPr>
          <w:sz w:val="14"/>
          <w:szCs w:val="14"/>
          <w:lang w:val="en-GB"/>
        </w:rPr>
        <w:t xml:space="preserve"> </w:t>
      </w:r>
      <w:hyperlink r:id="rId11" w:tooltip="blocked::http://www.ncbi.nlm.nih.gov/pubmed?term=&quot;Lachaud L&quot;[Author]" w:history="1">
        <w:proofErr w:type="spellStart"/>
        <w:r>
          <w:rPr>
            <w:sz w:val="22"/>
            <w:lang w:val="en-GB"/>
          </w:rPr>
          <w:t>Lachaud</w:t>
        </w:r>
        <w:proofErr w:type="spellEnd"/>
        <w:r>
          <w:rPr>
            <w:sz w:val="22"/>
            <w:lang w:val="en-GB"/>
          </w:rPr>
          <w:t xml:space="preserve"> L</w:t>
        </w:r>
      </w:hyperlink>
      <w:r>
        <w:rPr>
          <w:sz w:val="22"/>
          <w:lang w:val="en-GB"/>
        </w:rPr>
        <w:t xml:space="preserve">, </w:t>
      </w:r>
      <w:hyperlink r:id="rId12" w:tooltip="blocked::http://www.ncbi.nlm.nih.gov/pubmed?term=&quot;Chabbert E&quot;[Author]" w:history="1">
        <w:proofErr w:type="spellStart"/>
        <w:r w:rsidRPr="00104339">
          <w:rPr>
            <w:sz w:val="22"/>
          </w:rPr>
          <w:t>Chabbert</w:t>
        </w:r>
        <w:proofErr w:type="spellEnd"/>
        <w:r>
          <w:rPr>
            <w:sz w:val="22"/>
            <w:lang w:val="en-GB"/>
          </w:rPr>
          <w:t xml:space="preserve"> E</w:t>
        </w:r>
      </w:hyperlink>
      <w:r>
        <w:rPr>
          <w:sz w:val="22"/>
          <w:lang w:val="en-GB"/>
        </w:rPr>
        <w:t xml:space="preserve">, </w:t>
      </w:r>
      <w:hyperlink r:id="rId13" w:tooltip="blocked::http://www.ncbi.nlm.nih.gov/pubmed?term=&quot;Dubessay P&quot;[Author]" w:history="1">
        <w:proofErr w:type="spellStart"/>
        <w:r>
          <w:rPr>
            <w:sz w:val="22"/>
            <w:lang w:val="en-GB"/>
          </w:rPr>
          <w:t>Dubessay</w:t>
        </w:r>
        <w:proofErr w:type="spellEnd"/>
        <w:r>
          <w:rPr>
            <w:sz w:val="22"/>
            <w:lang w:val="en-GB"/>
          </w:rPr>
          <w:t xml:space="preserve"> P</w:t>
        </w:r>
      </w:hyperlink>
      <w:r>
        <w:rPr>
          <w:sz w:val="22"/>
          <w:lang w:val="en-GB"/>
        </w:rPr>
        <w:t xml:space="preserve">, </w:t>
      </w:r>
      <w:hyperlink r:id="rId14" w:tooltip="blocked::http://www.ncbi.nlm.nih.gov/pubmed?term=&quot;Dereure J&quot;[Author]" w:history="1">
        <w:proofErr w:type="spellStart"/>
        <w:r>
          <w:rPr>
            <w:sz w:val="22"/>
            <w:lang w:val="en-GB"/>
          </w:rPr>
          <w:t>Dereure</w:t>
        </w:r>
        <w:proofErr w:type="spellEnd"/>
        <w:r>
          <w:rPr>
            <w:sz w:val="22"/>
            <w:lang w:val="en-GB"/>
          </w:rPr>
          <w:t xml:space="preserve"> J</w:t>
        </w:r>
      </w:hyperlink>
      <w:r>
        <w:rPr>
          <w:sz w:val="22"/>
          <w:lang w:val="en-GB"/>
        </w:rPr>
        <w:t xml:space="preserve">, </w:t>
      </w:r>
      <w:hyperlink r:id="rId15" w:tooltip="blocked::http://www.ncbi.nlm.nih.gov/pubmed?term=&quot;Lamothe J&quot;[Author]" w:history="1">
        <w:proofErr w:type="spellStart"/>
        <w:r>
          <w:rPr>
            <w:sz w:val="22"/>
            <w:lang w:val="en-GB"/>
          </w:rPr>
          <w:t>Lamothe</w:t>
        </w:r>
        <w:proofErr w:type="spellEnd"/>
        <w:r>
          <w:rPr>
            <w:sz w:val="22"/>
            <w:lang w:val="en-GB"/>
          </w:rPr>
          <w:t xml:space="preserve"> J</w:t>
        </w:r>
      </w:hyperlink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Sanofi</w:t>
      </w:r>
      <w:proofErr w:type="spellEnd"/>
      <w:r>
        <w:rPr>
          <w:sz w:val="22"/>
          <w:lang w:val="en-GB"/>
        </w:rPr>
        <w:t xml:space="preserve"> (2002). </w:t>
      </w:r>
      <w:proofErr w:type="gramStart"/>
      <w:r>
        <w:rPr>
          <w:sz w:val="22"/>
          <w:lang w:val="en-GB"/>
        </w:rPr>
        <w:t>Value of two PCR methods for the diagnosis of canine visceral leishmaniasis and the detection of asymptomatic carriers.</w:t>
      </w:r>
      <w:proofErr w:type="gramEnd"/>
      <w:r>
        <w:rPr>
          <w:b/>
          <w:bCs/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Parasitology</w:t>
      </w:r>
      <w:proofErr w:type="spellEnd"/>
      <w:r>
        <w:rPr>
          <w:sz w:val="22"/>
          <w:lang w:val="en-GB"/>
        </w:rPr>
        <w:t xml:space="preserve"> 125:197-207.</w:t>
      </w:r>
    </w:p>
    <w:p w:rsidR="0030181E" w:rsidRPr="00104339" w:rsidRDefault="0030181E" w:rsidP="0030181E">
      <w:pPr>
        <w:spacing w:before="100" w:beforeAutospacing="1" w:after="100" w:afterAutospacing="1"/>
        <w:ind w:left="0" w:firstLine="0"/>
        <w:rPr>
          <w:lang w:val="en-GB"/>
        </w:rPr>
      </w:pPr>
      <w:r>
        <w:rPr>
          <w:sz w:val="22"/>
          <w:lang w:val="en-GB"/>
        </w:rPr>
        <w:t xml:space="preserve">2. </w:t>
      </w:r>
      <w:hyperlink r:id="rId16" w:tooltip="blocked::http://www.ncbi.nlm.nih.gov/pubmed?term=&quot;Marty P&quot;[Author]" w:history="1">
        <w:r>
          <w:rPr>
            <w:sz w:val="22"/>
            <w:lang w:val="en-GB"/>
          </w:rPr>
          <w:t>Marty P</w:t>
        </w:r>
      </w:hyperlink>
      <w:r>
        <w:rPr>
          <w:sz w:val="22"/>
          <w:lang w:val="en-GB"/>
        </w:rPr>
        <w:t xml:space="preserve">, </w:t>
      </w:r>
      <w:hyperlink r:id="rId17" w:tooltip="blocked::http://www.ncbi.nlm.nih.gov/pubmed?term=&quot;Izri A&quot;[Author]" w:history="1">
        <w:proofErr w:type="spellStart"/>
        <w:r>
          <w:rPr>
            <w:sz w:val="22"/>
            <w:lang w:val="en-GB"/>
          </w:rPr>
          <w:t>Izri</w:t>
        </w:r>
        <w:proofErr w:type="spellEnd"/>
        <w:r>
          <w:rPr>
            <w:sz w:val="22"/>
            <w:lang w:val="en-GB"/>
          </w:rPr>
          <w:t xml:space="preserve"> A</w:t>
        </w:r>
      </w:hyperlink>
      <w:r>
        <w:rPr>
          <w:sz w:val="22"/>
          <w:lang w:val="en-GB"/>
        </w:rPr>
        <w:t xml:space="preserve">, </w:t>
      </w:r>
      <w:hyperlink r:id="rId18" w:tooltip="blocked::http://www.ncbi.nlm.nih.gov/pubmed?term=&quot;Ozon C&quot;[Author]" w:history="1">
        <w:proofErr w:type="spellStart"/>
        <w:r>
          <w:rPr>
            <w:sz w:val="22"/>
            <w:lang w:val="en-GB"/>
          </w:rPr>
          <w:t>Ozon</w:t>
        </w:r>
        <w:proofErr w:type="spellEnd"/>
        <w:r>
          <w:rPr>
            <w:sz w:val="22"/>
            <w:lang w:val="en-GB"/>
          </w:rPr>
          <w:t xml:space="preserve"> C</w:t>
        </w:r>
      </w:hyperlink>
      <w:r>
        <w:rPr>
          <w:sz w:val="22"/>
          <w:lang w:val="en-GB"/>
        </w:rPr>
        <w:t xml:space="preserve">, </w:t>
      </w:r>
      <w:hyperlink r:id="rId19" w:tooltip="blocked::http://www.ncbi.nlm.nih.gov/pubmed?term=&quot;Haas P&quot;[Author]" w:history="1">
        <w:r>
          <w:rPr>
            <w:sz w:val="22"/>
            <w:lang w:val="en-GB"/>
          </w:rPr>
          <w:t>Haas P</w:t>
        </w:r>
      </w:hyperlink>
      <w:r>
        <w:rPr>
          <w:sz w:val="22"/>
          <w:lang w:val="en-GB"/>
        </w:rPr>
        <w:t xml:space="preserve">, </w:t>
      </w:r>
      <w:hyperlink r:id="rId20" w:tooltip="blocked::http://www.ncbi.nlm.nih.gov/pubmed?term=&quot;Rosenthal E&quot;[Author]" w:history="1">
        <w:r>
          <w:rPr>
            <w:sz w:val="22"/>
            <w:lang w:val="en-GB"/>
          </w:rPr>
          <w:t>Rosenthal E</w:t>
        </w:r>
      </w:hyperlink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Sanofi</w:t>
      </w:r>
      <w:proofErr w:type="spellEnd"/>
      <w:r>
        <w:rPr>
          <w:sz w:val="22"/>
          <w:lang w:val="en-GB"/>
        </w:rPr>
        <w:t xml:space="preserve"> (2007). </w:t>
      </w:r>
      <w:proofErr w:type="gramStart"/>
      <w:r>
        <w:rPr>
          <w:sz w:val="22"/>
          <w:lang w:val="en-GB"/>
        </w:rPr>
        <w:t xml:space="preserve">A century of leishmaniasis in </w:t>
      </w:r>
      <w:proofErr w:type="spellStart"/>
      <w:r>
        <w:rPr>
          <w:sz w:val="22"/>
          <w:lang w:val="en-GB"/>
        </w:rPr>
        <w:t>Alpes</w:t>
      </w:r>
      <w:proofErr w:type="spellEnd"/>
      <w:r>
        <w:rPr>
          <w:sz w:val="22"/>
          <w:lang w:val="en-GB"/>
        </w:rPr>
        <w:t>-Maritimes, France.</w:t>
      </w:r>
      <w:proofErr w:type="gramEnd"/>
      <w:r>
        <w:rPr>
          <w:b/>
          <w:bCs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Ann </w:t>
      </w:r>
      <w:proofErr w:type="spellStart"/>
      <w:r>
        <w:rPr>
          <w:sz w:val="22"/>
          <w:lang w:val="en-GB"/>
        </w:rPr>
        <w:t>Trop</w:t>
      </w:r>
      <w:proofErr w:type="spellEnd"/>
      <w:r>
        <w:rPr>
          <w:sz w:val="22"/>
          <w:lang w:val="en-GB"/>
        </w:rPr>
        <w:t xml:space="preserve"> Med </w:t>
      </w:r>
      <w:proofErr w:type="spellStart"/>
      <w:r>
        <w:rPr>
          <w:sz w:val="22"/>
          <w:lang w:val="en-GB"/>
        </w:rPr>
        <w:t>Parasitol</w:t>
      </w:r>
      <w:proofErr w:type="spellEnd"/>
      <w:r>
        <w:rPr>
          <w:sz w:val="22"/>
          <w:lang w:val="en-GB"/>
        </w:rPr>
        <w:t xml:space="preserve"> 101(7):563-74.</w:t>
      </w: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30181E" w:rsidRDefault="0030181E" w:rsidP="0030181E">
      <w:pPr>
        <w:ind w:left="0" w:firstLine="0"/>
        <w:rPr>
          <w:sz w:val="22"/>
          <w:lang w:val="en-US"/>
        </w:rPr>
      </w:pPr>
    </w:p>
    <w:p w:rsidR="002F7C1A" w:rsidRDefault="002F7C1A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181E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0181E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E45AB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1E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30181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1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?term=%22Dubessay%20P%22%5BAuthor%5D" TargetMode="External"/><Relationship Id="rId18" Type="http://schemas.openxmlformats.org/officeDocument/2006/relationships/hyperlink" Target="http://www.ncbi.nlm.nih.gov/pubmed?term=%22Ozon%20C%22%5BAuthor%5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Chabbert%20E%22%5BAuthor%5D" TargetMode="External"/><Relationship Id="rId17" Type="http://schemas.openxmlformats.org/officeDocument/2006/relationships/hyperlink" Target="http://www.ncbi.nlm.nih.gov/pubmed?term=%22Izri%20A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Marty%20P%22%5BAuthor%5D" TargetMode="External"/><Relationship Id="rId20" Type="http://schemas.openxmlformats.org/officeDocument/2006/relationships/hyperlink" Target="http://www.ncbi.nlm.nih.gov/pubmed?term=%22Rosenthal%20E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Lachaud%20L%22%5BAuthor%5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Lamothe%20J%22%5BAuthor%5D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ncbi.nlm.nih.gov/pubmed?term=%22Haas%20P%22%5BAuthor%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?term=%22Dereure%20J%22%5BAuthor%5D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1379310344827586E-2"/>
          <c:w val="0.90401146131805155"/>
          <c:h val="0.782758620689655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Sheet1!$B$1:$R$1</c:f>
              <c:numCache>
                <c:formatCode>General</c:formatCode>
                <c:ptCount val="12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</c:numCache>
            </c:numRef>
          </c:cat>
          <c:val>
            <c:numRef>
              <c:f>Sheet1!$B$2:$R$2</c:f>
              <c:numCache>
                <c:formatCode>General</c:formatCode>
                <c:ptCount val="12"/>
                <c:pt idx="0">
                  <c:v>22</c:v>
                </c:pt>
                <c:pt idx="1">
                  <c:v>30</c:v>
                </c:pt>
                <c:pt idx="2">
                  <c:v>31</c:v>
                </c:pt>
                <c:pt idx="3">
                  <c:v>18</c:v>
                </c:pt>
                <c:pt idx="4">
                  <c:v>20</c:v>
                </c:pt>
                <c:pt idx="5">
                  <c:v>18</c:v>
                </c:pt>
                <c:pt idx="6">
                  <c:v>19</c:v>
                </c:pt>
                <c:pt idx="7">
                  <c:v>16</c:v>
                </c:pt>
                <c:pt idx="8">
                  <c:v>22</c:v>
                </c:pt>
                <c:pt idx="9">
                  <c:v>17</c:v>
                </c:pt>
                <c:pt idx="10">
                  <c:v>14</c:v>
                </c:pt>
                <c:pt idx="11">
                  <c:v>5</c:v>
                </c:pt>
              </c:numCache>
            </c:numRef>
          </c:val>
        </c:ser>
        <c:gapDepth val="0"/>
        <c:shape val="box"/>
        <c:axId val="279502208"/>
        <c:axId val="282318336"/>
        <c:axId val="0"/>
      </c:bar3DChart>
      <c:catAx>
        <c:axId val="27950220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318336"/>
        <c:crosses val="autoZero"/>
        <c:auto val="1"/>
        <c:lblAlgn val="ctr"/>
        <c:lblOffset val="100"/>
        <c:tickLblSkip val="1"/>
        <c:tickMarkSkip val="1"/>
      </c:catAx>
      <c:valAx>
        <c:axId val="282318336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79502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2012-04-01T20:49:00Z</dcterms:created>
  <dcterms:modified xsi:type="dcterms:W3CDTF">2012-04-01T20:51:00Z</dcterms:modified>
</cp:coreProperties>
</file>