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9A" w:rsidRPr="00AF4C12" w:rsidRDefault="00BF299A" w:rsidP="00BF299A">
      <w:pPr>
        <w:spacing w:line="480" w:lineRule="auto"/>
        <w:ind w:left="0" w:firstLine="0"/>
        <w:rPr>
          <w:b/>
          <w:sz w:val="22"/>
          <w:u w:val="single"/>
          <w:lang w:val="en-GB"/>
        </w:rPr>
      </w:pPr>
      <w:smartTag w:uri="urn:schemas-microsoft-com:office:smarttags" w:element="place">
        <w:smartTag w:uri="urn:schemas-microsoft-com:office:smarttags" w:element="country-region">
          <w:r w:rsidRPr="00AF4C12">
            <w:rPr>
              <w:b/>
              <w:sz w:val="22"/>
              <w:u w:val="single"/>
              <w:lang w:val="en-GB"/>
            </w:rPr>
            <w:t>EGYPT</w:t>
          </w:r>
        </w:smartTag>
      </w:smartTag>
    </w:p>
    <w:p w:rsidR="00BF299A" w:rsidRPr="002C75B8" w:rsidRDefault="00BF299A" w:rsidP="00BF299A">
      <w:pPr>
        <w:spacing w:line="480" w:lineRule="auto"/>
        <w:ind w:left="0" w:firstLine="0"/>
        <w:rPr>
          <w:bCs/>
          <w:sz w:val="22"/>
          <w:lang w:val="en-US"/>
        </w:rPr>
      </w:pPr>
      <w:r>
        <w:rPr>
          <w:bCs/>
          <w:noProof/>
          <w:sz w:val="22"/>
          <w:lang w:val="en-US"/>
        </w:rPr>
        <w:drawing>
          <wp:inline distT="0" distB="0" distL="0" distR="0">
            <wp:extent cx="3086100" cy="20675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9A" w:rsidRDefault="00BF299A" w:rsidP="00BF299A">
      <w:pPr>
        <w:ind w:left="0" w:firstLine="0"/>
        <w:rPr>
          <w:b/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>BASIC COUNTRY DATA</w:t>
      </w:r>
    </w:p>
    <w:p w:rsidR="00BF299A" w:rsidRPr="002C75B8" w:rsidRDefault="00BF299A" w:rsidP="00BF299A">
      <w:pPr>
        <w:ind w:left="0" w:firstLine="0"/>
        <w:rPr>
          <w:b/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Total Population: </w:t>
      </w:r>
      <w:r>
        <w:rPr>
          <w:bCs/>
          <w:sz w:val="22"/>
          <w:lang w:val="en-US"/>
        </w:rPr>
        <w:t>81,121,077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Population 0-14 years: 3</w:t>
      </w:r>
      <w:r>
        <w:rPr>
          <w:bCs/>
          <w:sz w:val="22"/>
          <w:lang w:val="en-US"/>
        </w:rPr>
        <w:t>2</w:t>
      </w:r>
      <w:r w:rsidRPr="002C75B8">
        <w:rPr>
          <w:bCs/>
          <w:sz w:val="22"/>
          <w:lang w:val="en-US"/>
        </w:rPr>
        <w:t xml:space="preserve">% 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Rural population: 57% 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Population living under USD 1</w:t>
      </w:r>
      <w:r>
        <w:rPr>
          <w:bCs/>
          <w:sz w:val="22"/>
          <w:lang w:val="en-US"/>
        </w:rPr>
        <w:t>.</w:t>
      </w:r>
      <w:r w:rsidRPr="002C75B8">
        <w:rPr>
          <w:bCs/>
          <w:sz w:val="22"/>
          <w:lang w:val="en-US"/>
        </w:rPr>
        <w:t>25 a day: 2%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Population living under the national poverty line: </w:t>
      </w:r>
      <w:r>
        <w:rPr>
          <w:bCs/>
          <w:sz w:val="22"/>
          <w:lang w:val="en-US"/>
        </w:rPr>
        <w:t>2</w:t>
      </w:r>
      <w:r w:rsidRPr="002C75B8">
        <w:rPr>
          <w:bCs/>
          <w:sz w:val="22"/>
          <w:lang w:val="en-US"/>
        </w:rPr>
        <w:t xml:space="preserve">2% 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Income status: Lower middle income </w:t>
      </w:r>
      <w:r>
        <w:rPr>
          <w:bCs/>
          <w:sz w:val="22"/>
          <w:lang w:val="en-US"/>
        </w:rPr>
        <w:t>economy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Ranking: Medium human development (ranking 1</w:t>
      </w:r>
      <w:r>
        <w:rPr>
          <w:bCs/>
          <w:sz w:val="22"/>
          <w:lang w:val="en-US"/>
        </w:rPr>
        <w:t>1</w:t>
      </w:r>
      <w:r w:rsidRPr="002C75B8">
        <w:rPr>
          <w:bCs/>
          <w:sz w:val="22"/>
          <w:lang w:val="en-US"/>
        </w:rPr>
        <w:t>3)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Per capita total expenditure on health at average exchange rate (US dollar): </w:t>
      </w:r>
      <w:r>
        <w:rPr>
          <w:bCs/>
          <w:sz w:val="22"/>
          <w:lang w:val="en-US"/>
        </w:rPr>
        <w:t>112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Life expectancy at birth (years): </w:t>
      </w:r>
      <w:r>
        <w:rPr>
          <w:bCs/>
          <w:sz w:val="22"/>
          <w:lang w:val="en-US"/>
        </w:rPr>
        <w:t>73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Health</w:t>
      </w:r>
      <w:r>
        <w:rPr>
          <w:bCs/>
          <w:sz w:val="22"/>
          <w:lang w:val="en-US"/>
        </w:rPr>
        <w:t>y</w:t>
      </w:r>
      <w:r w:rsidRPr="002C75B8">
        <w:rPr>
          <w:bCs/>
          <w:sz w:val="22"/>
          <w:lang w:val="en-US"/>
        </w:rPr>
        <w:t xml:space="preserve"> life expectancy at birth (years): 59 </w:t>
      </w: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bCs/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 xml:space="preserve">BACKGROUND INFORMATION </w:t>
      </w: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</w:p>
    <w:p w:rsidR="00BF299A" w:rsidRPr="002C75B8" w:rsidRDefault="00BF299A" w:rsidP="00BF299A">
      <w:pPr>
        <w:ind w:left="0" w:firstLine="0"/>
        <w:rPr>
          <w:sz w:val="22"/>
          <w:lang w:val="en-US"/>
        </w:rPr>
      </w:pPr>
      <w:r w:rsidRPr="002C75B8">
        <w:rPr>
          <w:i/>
          <w:iCs/>
          <w:sz w:val="22"/>
          <w:lang w:val="en-US"/>
        </w:rPr>
        <w:t>L</w:t>
      </w:r>
      <w:r>
        <w:rPr>
          <w:i/>
          <w:iCs/>
          <w:sz w:val="22"/>
          <w:lang w:val="en-US"/>
        </w:rPr>
        <w:t>eishmania</w:t>
      </w:r>
      <w:r w:rsidRPr="002C75B8">
        <w:rPr>
          <w:i/>
          <w:iCs/>
          <w:sz w:val="22"/>
          <w:lang w:val="en-US"/>
        </w:rPr>
        <w:t xml:space="preserve"> donovani</w:t>
      </w:r>
      <w:r w:rsidRPr="002C75B8">
        <w:rPr>
          <w:sz w:val="22"/>
          <w:lang w:val="en-US"/>
        </w:rPr>
        <w:t xml:space="preserve"> DNA was already found in bone marrow samples </w:t>
      </w:r>
      <w:r>
        <w:rPr>
          <w:sz w:val="22"/>
          <w:lang w:val="en-US"/>
        </w:rPr>
        <w:t xml:space="preserve">taken </w:t>
      </w:r>
      <w:r w:rsidRPr="002C75B8">
        <w:rPr>
          <w:sz w:val="22"/>
          <w:lang w:val="en-US"/>
        </w:rPr>
        <w:t xml:space="preserve">from ancient Egyptian and Nubian mummies </w:t>
      </w:r>
      <w:r>
        <w:rPr>
          <w:sz w:val="22"/>
          <w:lang w:val="en-US"/>
        </w:rPr>
        <w:t xml:space="preserve">that </w:t>
      </w:r>
      <w:r w:rsidRPr="002C75B8">
        <w:rPr>
          <w:sz w:val="22"/>
          <w:lang w:val="en-US"/>
        </w:rPr>
        <w:t>originat</w:t>
      </w:r>
      <w:r>
        <w:rPr>
          <w:sz w:val="22"/>
          <w:lang w:val="en-US"/>
        </w:rPr>
        <w:t>e</w:t>
      </w:r>
      <w:r w:rsidRPr="002C75B8">
        <w:rPr>
          <w:sz w:val="22"/>
          <w:lang w:val="en-US"/>
        </w:rPr>
        <w:t xml:space="preserve"> from around 4000 BC</w:t>
      </w:r>
      <w:r>
        <w:rPr>
          <w:sz w:val="22"/>
          <w:lang w:val="en-US"/>
        </w:rPr>
        <w:t xml:space="preserve"> [1]</w:t>
      </w:r>
      <w:r w:rsidRPr="002C75B8">
        <w:rPr>
          <w:sz w:val="22"/>
          <w:lang w:val="en-US"/>
        </w:rPr>
        <w:t xml:space="preserve">. Since 1904, rare cases of VL have been reported in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sz w:val="22"/>
              <w:lang w:val="en-US"/>
            </w:rPr>
            <w:t>Egypt</w:t>
          </w:r>
        </w:smartTag>
      </w:smartTag>
      <w:r w:rsidRPr="002C75B8">
        <w:rPr>
          <w:sz w:val="22"/>
          <w:lang w:val="en-US"/>
        </w:rPr>
        <w:t xml:space="preserve">; some were imported, others were probably </w:t>
      </w:r>
      <w:proofErr w:type="spellStart"/>
      <w:r>
        <w:rPr>
          <w:sz w:val="22"/>
          <w:lang w:val="en-US"/>
        </w:rPr>
        <w:t>autochtonous</w:t>
      </w:r>
      <w:proofErr w:type="spellEnd"/>
      <w:r w:rsidRPr="002C75B8">
        <w:rPr>
          <w:sz w:val="22"/>
          <w:lang w:val="en-US"/>
        </w:rPr>
        <w:t xml:space="preserve">. A focus of VL was discovered </w:t>
      </w:r>
      <w:r>
        <w:rPr>
          <w:sz w:val="22"/>
          <w:lang w:val="en-US"/>
        </w:rPr>
        <w:t>in</w:t>
      </w:r>
      <w:r w:rsidRPr="002C75B8">
        <w:rPr>
          <w:sz w:val="22"/>
          <w:lang w:val="en-US"/>
        </w:rPr>
        <w:t xml:space="preserve"> El </w:t>
      </w:r>
      <w:proofErr w:type="spellStart"/>
      <w:r w:rsidRPr="002C75B8">
        <w:rPr>
          <w:sz w:val="22"/>
          <w:lang w:val="en-US"/>
        </w:rPr>
        <w:t>Agamy</w:t>
      </w:r>
      <w:proofErr w:type="spellEnd"/>
      <w:r w:rsidRPr="002C75B8">
        <w:rPr>
          <w:sz w:val="22"/>
          <w:lang w:val="en-US"/>
        </w:rPr>
        <w:t xml:space="preserve">, </w:t>
      </w:r>
      <w:smartTag w:uri="urn:schemas-microsoft-com:office:smarttags" w:element="metricconverter">
        <w:smartTagPr>
          <w:attr w:name="ProductID" w:val="25 km"/>
        </w:smartTagPr>
        <w:r w:rsidRPr="002C75B8">
          <w:rPr>
            <w:sz w:val="22"/>
            <w:lang w:val="en-US"/>
          </w:rPr>
          <w:t>25 km</w:t>
        </w:r>
      </w:smartTag>
      <w:r w:rsidRPr="002C75B8">
        <w:rPr>
          <w:sz w:val="22"/>
          <w:lang w:val="en-US"/>
        </w:rPr>
        <w:t xml:space="preserve"> west of Alexandria</w:t>
      </w:r>
      <w:r>
        <w:rPr>
          <w:sz w:val="22"/>
          <w:lang w:val="en-US"/>
        </w:rPr>
        <w:t xml:space="preserve"> in 1982 [2].</w:t>
      </w:r>
      <w:r w:rsidRPr="002C75B8">
        <w:rPr>
          <w:sz w:val="22"/>
          <w:lang w:val="en-US"/>
        </w:rPr>
        <w:t xml:space="preserve"> The last case there was </w:t>
      </w:r>
      <w:r>
        <w:rPr>
          <w:sz w:val="22"/>
          <w:lang w:val="en-US"/>
        </w:rPr>
        <w:t>reported</w:t>
      </w:r>
      <w:r w:rsidRPr="002C75B8">
        <w:rPr>
          <w:sz w:val="22"/>
          <w:lang w:val="en-US"/>
        </w:rPr>
        <w:t xml:space="preserve"> in 2005 and only one </w:t>
      </w:r>
      <w:r>
        <w:rPr>
          <w:sz w:val="22"/>
          <w:lang w:val="en-US"/>
        </w:rPr>
        <w:t xml:space="preserve">more </w:t>
      </w:r>
      <w:r w:rsidRPr="002C75B8">
        <w:rPr>
          <w:sz w:val="22"/>
          <w:lang w:val="en-US"/>
        </w:rPr>
        <w:t>case of VL was reported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in the </w:t>
      </w:r>
      <w:smartTag w:uri="urn:schemas-microsoft-com:office:smarttags" w:element="City">
        <w:smartTag w:uri="urn:schemas-microsoft-com:office:smarttags" w:element="place">
          <w:r w:rsidRPr="002C75B8">
            <w:rPr>
              <w:sz w:val="22"/>
              <w:lang w:val="en-US"/>
            </w:rPr>
            <w:t>Suez</w:t>
          </w:r>
        </w:smartTag>
      </w:smartTag>
      <w:r w:rsidRPr="002C75B8">
        <w:rPr>
          <w:sz w:val="22"/>
          <w:lang w:val="en-US"/>
        </w:rPr>
        <w:t xml:space="preserve"> region</w:t>
      </w:r>
      <w:r>
        <w:rPr>
          <w:sz w:val="22"/>
          <w:lang w:val="en-US"/>
        </w:rPr>
        <w:t xml:space="preserve"> </w:t>
      </w:r>
      <w:r w:rsidRPr="002C75B8">
        <w:rPr>
          <w:sz w:val="22"/>
          <w:lang w:val="en-US"/>
        </w:rPr>
        <w:t>in 2008. However, due to a lack of awareness among medical practitioners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VL is suspected to be underreported. Import of cases from </w:t>
      </w:r>
      <w:smartTag w:uri="urn:schemas-microsoft-com:office:smarttags" w:element="country-region">
        <w:r w:rsidRPr="002C75B8">
          <w:rPr>
            <w:sz w:val="22"/>
            <w:lang w:val="en-US"/>
          </w:rPr>
          <w:t>Libya</w:t>
        </w:r>
      </w:smartTag>
      <w:r w:rsidRPr="002C75B8">
        <w:rPr>
          <w:sz w:val="22"/>
          <w:lang w:val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2C75B8">
            <w:rPr>
              <w:sz w:val="22"/>
              <w:lang w:val="en-US"/>
            </w:rPr>
            <w:t>Sudan</w:t>
          </w:r>
        </w:smartTag>
      </w:smartTag>
      <w:r w:rsidRPr="002C75B8">
        <w:rPr>
          <w:sz w:val="22"/>
          <w:lang w:val="en-US"/>
        </w:rPr>
        <w:t xml:space="preserve"> may </w:t>
      </w:r>
      <w:r>
        <w:rPr>
          <w:sz w:val="22"/>
          <w:lang w:val="en-US"/>
        </w:rPr>
        <w:t xml:space="preserve">occur </w:t>
      </w:r>
      <w:r w:rsidRPr="002C75B8">
        <w:rPr>
          <w:sz w:val="22"/>
          <w:lang w:val="en-US"/>
        </w:rPr>
        <w:t xml:space="preserve">regularly and go unnoticed </w:t>
      </w:r>
      <w:r>
        <w:rPr>
          <w:sz w:val="22"/>
          <w:lang w:val="en-US"/>
        </w:rPr>
        <w:t>[3].</w:t>
      </w:r>
    </w:p>
    <w:p w:rsidR="00BF299A" w:rsidRPr="002C75B8" w:rsidRDefault="00BF299A" w:rsidP="00BF299A">
      <w:pPr>
        <w:ind w:left="0" w:firstLine="0"/>
        <w:rPr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 xml:space="preserve">CL </w:t>
      </w:r>
      <w:r>
        <w:rPr>
          <w:sz w:val="22"/>
          <w:lang w:val="en-US"/>
        </w:rPr>
        <w:t>has been</w:t>
      </w:r>
      <w:r w:rsidRPr="002C75B8">
        <w:rPr>
          <w:sz w:val="22"/>
          <w:lang w:val="en-US"/>
        </w:rPr>
        <w:t xml:space="preserve"> an increasing problem in </w:t>
      </w:r>
      <w:smartTag w:uri="urn:schemas-microsoft-com:office:smarttags" w:element="country-region">
        <w:smartTag w:uri="urn:schemas-microsoft-com:office:smarttags" w:element="place">
          <w:r w:rsidRPr="002C75B8">
            <w:rPr>
              <w:sz w:val="22"/>
              <w:lang w:val="en-US"/>
            </w:rPr>
            <w:t>Egypt</w:t>
          </w:r>
        </w:smartTag>
      </w:smartTag>
      <w:r>
        <w:rPr>
          <w:sz w:val="22"/>
          <w:lang w:val="en-US"/>
        </w:rPr>
        <w:t xml:space="preserve"> [4]</w:t>
      </w:r>
      <w:r w:rsidRPr="002C75B8">
        <w:rPr>
          <w:sz w:val="22"/>
          <w:lang w:val="en-US"/>
        </w:rPr>
        <w:t xml:space="preserve">. Known foci are among nomads in </w:t>
      </w:r>
      <w:smartTag w:uri="urn:schemas-microsoft-com:office:smarttags" w:element="place">
        <w:r w:rsidRPr="002C75B8">
          <w:rPr>
            <w:sz w:val="22"/>
            <w:lang w:val="en-US"/>
          </w:rPr>
          <w:t>North Sinai</w:t>
        </w:r>
      </w:smartTag>
      <w:r w:rsidRPr="002C75B8">
        <w:rPr>
          <w:sz w:val="22"/>
          <w:lang w:val="en-US"/>
        </w:rPr>
        <w:t xml:space="preserve"> with 471 reported cases in 2008</w:t>
      </w:r>
      <w:r>
        <w:rPr>
          <w:sz w:val="22"/>
          <w:lang w:val="en-US"/>
        </w:rPr>
        <w:t xml:space="preserve"> [5]</w:t>
      </w:r>
      <w:r w:rsidRPr="002C75B8">
        <w:rPr>
          <w:sz w:val="22"/>
          <w:lang w:val="en-US"/>
        </w:rPr>
        <w:t>. In a</w:t>
      </w:r>
      <w:r>
        <w:rPr>
          <w:sz w:val="22"/>
          <w:lang w:val="en-US"/>
        </w:rPr>
        <w:t xml:space="preserve">n active case detection </w:t>
      </w:r>
      <w:r w:rsidRPr="002C75B8">
        <w:rPr>
          <w:sz w:val="22"/>
          <w:lang w:val="en-US"/>
        </w:rPr>
        <w:t>survey 200 new cases were identified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confirming underreporting to a large degree.</w:t>
      </w:r>
      <w:r>
        <w:rPr>
          <w:sz w:val="22"/>
          <w:lang w:val="en-US"/>
        </w:rPr>
        <w:t xml:space="preserve"> The reported number of cases is estimated to be 4-5 times lower than the real number of cases. In 2010 (until July only), 133 cases were reported. People at risk are soldiers, laborers, and </w:t>
      </w:r>
      <w:proofErr w:type="spellStart"/>
      <w:r>
        <w:rPr>
          <w:sz w:val="22"/>
          <w:lang w:val="en-US"/>
        </w:rPr>
        <w:t>immunocompromised</w:t>
      </w:r>
      <w:proofErr w:type="spellEnd"/>
      <w:r>
        <w:rPr>
          <w:sz w:val="22"/>
          <w:lang w:val="en-US"/>
        </w:rPr>
        <w:t xml:space="preserve"> adults. </w:t>
      </w:r>
    </w:p>
    <w:p w:rsidR="00BF299A" w:rsidRPr="002C75B8" w:rsidRDefault="00BF299A" w:rsidP="00BF299A">
      <w:pPr>
        <w:ind w:left="0" w:firstLine="0"/>
        <w:rPr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There are no reported cases of HIV-</w:t>
      </w:r>
      <w:r w:rsidRPr="002C75B8">
        <w:rPr>
          <w:i/>
          <w:iCs/>
          <w:sz w:val="22"/>
          <w:lang w:val="en-US"/>
        </w:rPr>
        <w:t xml:space="preserve">Leishmania </w:t>
      </w:r>
      <w:r w:rsidRPr="002C75B8">
        <w:rPr>
          <w:sz w:val="22"/>
          <w:lang w:val="en-US"/>
        </w:rPr>
        <w:t>co</w:t>
      </w:r>
      <w:r>
        <w:rPr>
          <w:sz w:val="22"/>
          <w:lang w:val="en-US"/>
        </w:rPr>
        <w:t>-</w:t>
      </w:r>
      <w:r w:rsidRPr="002C75B8">
        <w:rPr>
          <w:sz w:val="22"/>
          <w:lang w:val="en-US"/>
        </w:rPr>
        <w:t xml:space="preserve">infection. </w:t>
      </w: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</w:p>
    <w:p w:rsidR="00BF299A" w:rsidRDefault="00BF299A" w:rsidP="00BF299A">
      <w:pPr>
        <w:ind w:left="0" w:firstLine="0"/>
        <w:rPr>
          <w:b/>
          <w:bCs/>
          <w:sz w:val="22"/>
        </w:rPr>
      </w:pPr>
    </w:p>
    <w:p w:rsidR="00BF299A" w:rsidRPr="002C75B8" w:rsidRDefault="00BF299A" w:rsidP="00BF299A">
      <w:pPr>
        <w:ind w:left="0" w:firstLine="0"/>
        <w:rPr>
          <w:b/>
          <w:bCs/>
          <w:sz w:val="22"/>
        </w:rPr>
      </w:pPr>
      <w:r w:rsidRPr="002C75B8">
        <w:rPr>
          <w:b/>
          <w:bCs/>
          <w:sz w:val="22"/>
        </w:rPr>
        <w:lastRenderedPageBreak/>
        <w:t>PARASITOLOGICAL INFORMATION</w:t>
      </w:r>
    </w:p>
    <w:p w:rsidR="00BF299A" w:rsidRPr="002C75B8" w:rsidRDefault="00BF299A" w:rsidP="00BF299A">
      <w:pPr>
        <w:ind w:left="0" w:firstLine="0"/>
        <w:rPr>
          <w:sz w:val="22"/>
        </w:rPr>
      </w:pP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360"/>
        <w:gridCol w:w="1547"/>
        <w:gridCol w:w="2169"/>
        <w:gridCol w:w="2996"/>
      </w:tblGrid>
      <w:tr w:rsidR="00BF299A" w:rsidRPr="002C75B8" w:rsidTr="00A7768B">
        <w:trPr>
          <w:trHeight w:val="315"/>
          <w:tblCellSpacing w:w="0" w:type="dxa"/>
        </w:trPr>
        <w:tc>
          <w:tcPr>
            <w:tcW w:w="1170" w:type="dxa"/>
            <w:tcBorders>
              <w:top w:val="single" w:sz="6" w:space="0" w:color="376092"/>
              <w:left w:val="single" w:sz="6" w:space="0" w:color="376092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0"/>
              <w:rPr>
                <w:rFonts w:eastAsia="SimSun"/>
                <w:b/>
                <w:bCs/>
                <w:i/>
                <w:iCs/>
                <w:sz w:val="22"/>
                <w:lang w:val="en-US"/>
              </w:rPr>
            </w:pPr>
          </w:p>
          <w:p w:rsidR="00BF299A" w:rsidRPr="002C75B8" w:rsidRDefault="00BF299A" w:rsidP="00A7768B">
            <w:pPr>
              <w:ind w:left="0" w:firstLine="0"/>
              <w:rPr>
                <w:sz w:val="22"/>
              </w:rPr>
            </w:pPr>
            <w:r>
              <w:rPr>
                <w:b/>
                <w:bCs/>
                <w:i/>
                <w:iCs/>
                <w:sz w:val="22"/>
                <w:lang w:val="en-US"/>
              </w:rPr>
              <w:t xml:space="preserve"> </w:t>
            </w:r>
            <w:r w:rsidRPr="002C75B8">
              <w:rPr>
                <w:b/>
                <w:bCs/>
                <w:i/>
                <w:iCs/>
                <w:sz w:val="22"/>
                <w:lang w:val="en-US"/>
              </w:rPr>
              <w:t xml:space="preserve">Leishmania </w:t>
            </w:r>
            <w:r w:rsidRPr="002C75B8">
              <w:rPr>
                <w:b/>
                <w:bCs/>
                <w:sz w:val="22"/>
                <w:lang w:val="en-US"/>
              </w:rPr>
              <w:t>species</w:t>
            </w:r>
          </w:p>
        </w:tc>
        <w:tc>
          <w:tcPr>
            <w:tcW w:w="780" w:type="dxa"/>
            <w:tcBorders>
              <w:top w:val="single" w:sz="6" w:space="0" w:color="376092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0"/>
              <w:rPr>
                <w:rFonts w:eastAsia="SimSun"/>
                <w:b/>
                <w:bCs/>
                <w:sz w:val="22"/>
                <w:lang w:val="en-US"/>
              </w:rPr>
            </w:pPr>
          </w:p>
          <w:p w:rsidR="00BF299A" w:rsidRPr="002C75B8" w:rsidRDefault="00BF299A" w:rsidP="00A7768B">
            <w:pPr>
              <w:ind w:left="0" w:firstLine="0"/>
              <w:rPr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 xml:space="preserve"> </w:t>
            </w:r>
            <w:r w:rsidRPr="002C75B8">
              <w:rPr>
                <w:b/>
                <w:bCs/>
                <w:sz w:val="22"/>
                <w:lang w:val="en-US"/>
              </w:rPr>
              <w:t>Clinical form</w:t>
            </w:r>
          </w:p>
        </w:tc>
        <w:tc>
          <w:tcPr>
            <w:tcW w:w="1140" w:type="dxa"/>
            <w:tcBorders>
              <w:top w:val="single" w:sz="6" w:space="0" w:color="376092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0"/>
              <w:rPr>
                <w:rFonts w:eastAsia="SimSun"/>
                <w:b/>
                <w:bCs/>
                <w:sz w:val="22"/>
                <w:lang w:val="en-US"/>
              </w:rPr>
            </w:pPr>
          </w:p>
          <w:p w:rsidR="00BF299A" w:rsidRPr="002C75B8" w:rsidRDefault="00BF299A" w:rsidP="00A7768B">
            <w:pPr>
              <w:ind w:left="0"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2C75B8">
              <w:rPr>
                <w:b/>
                <w:bCs/>
                <w:sz w:val="22"/>
              </w:rPr>
              <w:t xml:space="preserve">Vector </w:t>
            </w: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1575" w:type="dxa"/>
            <w:tcBorders>
              <w:top w:val="single" w:sz="6" w:space="0" w:color="376092"/>
              <w:left w:val="single" w:sz="6" w:space="0" w:color="4F81BD"/>
              <w:bottom w:val="single" w:sz="6" w:space="0" w:color="4F81BD"/>
              <w:right w:val="single" w:sz="6" w:space="0" w:color="376092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0"/>
              <w:rPr>
                <w:rFonts w:eastAsia="SimSun"/>
                <w:b/>
                <w:bCs/>
                <w:sz w:val="22"/>
              </w:rPr>
            </w:pPr>
          </w:p>
          <w:p w:rsidR="00BF299A" w:rsidRPr="002C75B8" w:rsidRDefault="00BF299A" w:rsidP="00A7768B">
            <w:pPr>
              <w:ind w:left="0"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proofErr w:type="spellStart"/>
            <w:r w:rsidRPr="002C75B8">
              <w:rPr>
                <w:b/>
                <w:bCs/>
                <w:sz w:val="22"/>
              </w:rPr>
              <w:t>Reservoirs</w:t>
            </w:r>
            <w:proofErr w:type="spellEnd"/>
          </w:p>
        </w:tc>
      </w:tr>
      <w:tr w:rsidR="00BF299A" w:rsidRPr="002C75B8" w:rsidTr="00A7768B">
        <w:trPr>
          <w:trHeight w:val="165"/>
          <w:tblCellSpacing w:w="0" w:type="dxa"/>
        </w:trPr>
        <w:tc>
          <w:tcPr>
            <w:tcW w:w="1170" w:type="dxa"/>
            <w:tcBorders>
              <w:top w:val="single" w:sz="6" w:space="0" w:color="4F81BD"/>
              <w:left w:val="single" w:sz="6" w:space="0" w:color="376092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180"/>
              <w:rPr>
                <w:sz w:val="22"/>
              </w:rPr>
            </w:pPr>
            <w:r w:rsidRPr="002C75B8">
              <w:rPr>
                <w:i/>
                <w:iCs/>
                <w:sz w:val="22"/>
                <w:lang w:val="en-US"/>
              </w:rPr>
              <w:t>L infantum</w:t>
            </w:r>
          </w:p>
        </w:tc>
        <w:tc>
          <w:tcPr>
            <w:tcW w:w="78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160"/>
              <w:rPr>
                <w:sz w:val="22"/>
              </w:rPr>
            </w:pPr>
            <w:r w:rsidRPr="002C75B8">
              <w:rPr>
                <w:sz w:val="22"/>
                <w:lang w:val="en-US"/>
              </w:rPr>
              <w:t>ZVL</w:t>
            </w:r>
          </w:p>
        </w:tc>
        <w:tc>
          <w:tcPr>
            <w:tcW w:w="114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233"/>
              <w:rPr>
                <w:sz w:val="22"/>
              </w:rPr>
            </w:pPr>
            <w:r w:rsidRPr="002C75B8">
              <w:rPr>
                <w:i/>
                <w:iCs/>
                <w:sz w:val="22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2"/>
                <w:lang w:val="en-US"/>
              </w:rPr>
              <w:t>l</w:t>
            </w:r>
            <w:r w:rsidRPr="002C75B8">
              <w:rPr>
                <w:i/>
                <w:iCs/>
                <w:sz w:val="22"/>
                <w:lang w:val="en-US"/>
              </w:rPr>
              <w:t>angeroni</w:t>
            </w:r>
            <w:proofErr w:type="spellEnd"/>
          </w:p>
        </w:tc>
        <w:tc>
          <w:tcPr>
            <w:tcW w:w="157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376092"/>
            </w:tcBorders>
            <w:shd w:val="clear" w:color="auto" w:fill="FFFFFF"/>
            <w:vAlign w:val="center"/>
          </w:tcPr>
          <w:p w:rsidR="00BF299A" w:rsidRPr="003A5186" w:rsidRDefault="00BF299A" w:rsidP="00A7768B">
            <w:pPr>
              <w:ind w:left="0" w:firstLine="222"/>
              <w:rPr>
                <w:i/>
                <w:iCs/>
                <w:sz w:val="22"/>
              </w:rPr>
            </w:pPr>
            <w:proofErr w:type="spellStart"/>
            <w:r w:rsidRPr="003A5186">
              <w:rPr>
                <w:i/>
                <w:iCs/>
                <w:sz w:val="22"/>
                <w:lang w:val="en-US"/>
              </w:rPr>
              <w:t>Canis</w:t>
            </w:r>
            <w:proofErr w:type="spellEnd"/>
            <w:r w:rsidRPr="003A5186">
              <w:rPr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3A5186">
              <w:rPr>
                <w:i/>
                <w:iCs/>
                <w:sz w:val="22"/>
                <w:lang w:val="en-US"/>
              </w:rPr>
              <w:t>familiaris</w:t>
            </w:r>
            <w:proofErr w:type="spellEnd"/>
          </w:p>
        </w:tc>
      </w:tr>
      <w:tr w:rsidR="00BF299A" w:rsidRPr="002C75B8" w:rsidTr="00A7768B">
        <w:trPr>
          <w:trHeight w:val="165"/>
          <w:tblCellSpacing w:w="0" w:type="dxa"/>
        </w:trPr>
        <w:tc>
          <w:tcPr>
            <w:tcW w:w="1170" w:type="dxa"/>
            <w:tcBorders>
              <w:top w:val="single" w:sz="6" w:space="0" w:color="4F81BD"/>
              <w:left w:val="single" w:sz="6" w:space="0" w:color="376092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180"/>
              <w:rPr>
                <w:sz w:val="22"/>
              </w:rPr>
            </w:pPr>
            <w:r w:rsidRPr="002C75B8">
              <w:rPr>
                <w:i/>
                <w:iCs/>
                <w:sz w:val="22"/>
                <w:lang w:val="en-US"/>
              </w:rPr>
              <w:t>L major</w:t>
            </w:r>
          </w:p>
        </w:tc>
        <w:tc>
          <w:tcPr>
            <w:tcW w:w="78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160"/>
              <w:rPr>
                <w:sz w:val="22"/>
              </w:rPr>
            </w:pPr>
            <w:r w:rsidRPr="002C75B8">
              <w:rPr>
                <w:sz w:val="22"/>
                <w:lang w:val="en-US"/>
              </w:rPr>
              <w:t>ZCL</w:t>
            </w:r>
          </w:p>
        </w:tc>
        <w:tc>
          <w:tcPr>
            <w:tcW w:w="114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233"/>
              <w:rPr>
                <w:sz w:val="22"/>
              </w:rPr>
            </w:pPr>
            <w:r w:rsidRPr="002C75B8">
              <w:rPr>
                <w:i/>
                <w:iCs/>
                <w:sz w:val="22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2"/>
                <w:lang w:val="en-US"/>
              </w:rPr>
              <w:t>p</w:t>
            </w:r>
            <w:r w:rsidRPr="002C75B8">
              <w:rPr>
                <w:i/>
                <w:iCs/>
                <w:sz w:val="22"/>
                <w:lang w:val="en-US"/>
              </w:rPr>
              <w:t>apatasi</w:t>
            </w:r>
            <w:proofErr w:type="spellEnd"/>
          </w:p>
        </w:tc>
        <w:tc>
          <w:tcPr>
            <w:tcW w:w="157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376092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222" w:firstLine="0"/>
              <w:jc w:val="left"/>
              <w:rPr>
                <w:sz w:val="22"/>
              </w:rPr>
            </w:pPr>
            <w:proofErr w:type="spellStart"/>
            <w:r w:rsidRPr="002C75B8">
              <w:rPr>
                <w:i/>
                <w:iCs/>
                <w:sz w:val="22"/>
                <w:lang w:val="en-US"/>
              </w:rPr>
              <w:t>Ps</w:t>
            </w:r>
            <w:r>
              <w:rPr>
                <w:i/>
                <w:iCs/>
                <w:sz w:val="22"/>
                <w:lang w:val="en-US"/>
              </w:rPr>
              <w:t>ammomys</w:t>
            </w:r>
            <w:proofErr w:type="spellEnd"/>
            <w:r>
              <w:rPr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2C75B8">
              <w:rPr>
                <w:i/>
                <w:iCs/>
                <w:sz w:val="22"/>
                <w:lang w:val="en-US"/>
              </w:rPr>
              <w:t>obesus</w:t>
            </w:r>
            <w:proofErr w:type="spellEnd"/>
            <w:r w:rsidRPr="002C75B8">
              <w:rPr>
                <w:i/>
                <w:iCs/>
                <w:sz w:val="22"/>
                <w:lang w:val="en-US"/>
              </w:rPr>
              <w:t xml:space="preserve">, </w:t>
            </w:r>
            <w:proofErr w:type="spellStart"/>
            <w:r w:rsidRPr="002C75B8">
              <w:rPr>
                <w:i/>
                <w:iCs/>
                <w:sz w:val="22"/>
                <w:lang w:val="en-US"/>
              </w:rPr>
              <w:t>Gerbillus</w:t>
            </w:r>
            <w:proofErr w:type="spellEnd"/>
            <w:r w:rsidRPr="002C75B8">
              <w:rPr>
                <w:i/>
                <w:iCs/>
                <w:sz w:val="22"/>
                <w:lang w:val="en-US"/>
              </w:rPr>
              <w:t xml:space="preserve"> sp. </w:t>
            </w:r>
          </w:p>
        </w:tc>
      </w:tr>
      <w:tr w:rsidR="00BF299A" w:rsidRPr="002C75B8" w:rsidTr="00A7768B">
        <w:trPr>
          <w:trHeight w:val="195"/>
          <w:tblCellSpacing w:w="0" w:type="dxa"/>
        </w:trPr>
        <w:tc>
          <w:tcPr>
            <w:tcW w:w="1170" w:type="dxa"/>
            <w:tcBorders>
              <w:top w:val="single" w:sz="6" w:space="0" w:color="4F81BD"/>
              <w:left w:val="single" w:sz="6" w:space="0" w:color="376092"/>
              <w:bottom w:val="single" w:sz="6" w:space="0" w:color="376092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180"/>
              <w:rPr>
                <w:sz w:val="22"/>
              </w:rPr>
            </w:pPr>
            <w:r w:rsidRPr="002C75B8">
              <w:rPr>
                <w:i/>
                <w:iCs/>
                <w:sz w:val="22"/>
                <w:lang w:val="en-US"/>
              </w:rPr>
              <w:t>L. tropica</w:t>
            </w:r>
          </w:p>
        </w:tc>
        <w:tc>
          <w:tcPr>
            <w:tcW w:w="780" w:type="dxa"/>
            <w:tcBorders>
              <w:top w:val="single" w:sz="6" w:space="0" w:color="4F81BD"/>
              <w:left w:val="single" w:sz="6" w:space="0" w:color="4F81BD"/>
              <w:bottom w:val="single" w:sz="6" w:space="0" w:color="376092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160"/>
              <w:rPr>
                <w:sz w:val="22"/>
              </w:rPr>
            </w:pPr>
            <w:r w:rsidRPr="002C75B8">
              <w:rPr>
                <w:sz w:val="22"/>
                <w:lang w:val="en-US"/>
              </w:rPr>
              <w:t>CL</w:t>
            </w:r>
          </w:p>
        </w:tc>
        <w:tc>
          <w:tcPr>
            <w:tcW w:w="1140" w:type="dxa"/>
            <w:tcBorders>
              <w:top w:val="single" w:sz="6" w:space="0" w:color="4F81BD"/>
              <w:left w:val="single" w:sz="6" w:space="0" w:color="4F81BD"/>
              <w:bottom w:val="single" w:sz="6" w:space="0" w:color="376092"/>
              <w:right w:val="single" w:sz="6" w:space="0" w:color="4F81BD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233"/>
              <w:rPr>
                <w:sz w:val="22"/>
              </w:rPr>
            </w:pPr>
            <w:r w:rsidRPr="002C75B8">
              <w:rPr>
                <w:sz w:val="22"/>
                <w:lang w:val="en-US"/>
              </w:rPr>
              <w:t xml:space="preserve">unknown              </w:t>
            </w:r>
          </w:p>
        </w:tc>
        <w:tc>
          <w:tcPr>
            <w:tcW w:w="1575" w:type="dxa"/>
            <w:tcBorders>
              <w:top w:val="single" w:sz="6" w:space="0" w:color="4F81BD"/>
              <w:left w:val="single" w:sz="6" w:space="0" w:color="4F81BD"/>
              <w:bottom w:val="single" w:sz="6" w:space="0" w:color="376092"/>
              <w:right w:val="single" w:sz="6" w:space="0" w:color="376092"/>
            </w:tcBorders>
            <w:shd w:val="clear" w:color="auto" w:fill="FFFFFF"/>
            <w:vAlign w:val="center"/>
          </w:tcPr>
          <w:p w:rsidR="00BF299A" w:rsidRPr="002C75B8" w:rsidRDefault="00BF299A" w:rsidP="00A7768B">
            <w:pPr>
              <w:ind w:left="0" w:firstLine="0"/>
              <w:rPr>
                <w:sz w:val="22"/>
              </w:rPr>
            </w:pPr>
            <w:r w:rsidRPr="002C75B8">
              <w:rPr>
                <w:sz w:val="22"/>
              </w:rPr>
              <w:t> </w:t>
            </w:r>
          </w:p>
        </w:tc>
      </w:tr>
    </w:tbl>
    <w:p w:rsidR="00BF299A" w:rsidRPr="002C75B8" w:rsidRDefault="00BF299A" w:rsidP="00BF299A">
      <w:pPr>
        <w:ind w:left="0" w:firstLine="0"/>
        <w:rPr>
          <w:b/>
          <w:bCs/>
          <w:sz w:val="22"/>
        </w:rPr>
      </w:pPr>
    </w:p>
    <w:p w:rsidR="00BF299A" w:rsidRPr="002C75B8" w:rsidRDefault="00BF299A" w:rsidP="00BF299A">
      <w:pPr>
        <w:ind w:left="0" w:firstLine="0"/>
        <w:rPr>
          <w:b/>
          <w:bCs/>
          <w:sz w:val="22"/>
        </w:rPr>
      </w:pPr>
    </w:p>
    <w:p w:rsidR="00BF299A" w:rsidRPr="002C75B8" w:rsidRDefault="00BF299A" w:rsidP="00BF299A">
      <w:pPr>
        <w:ind w:left="0" w:firstLine="0"/>
        <w:rPr>
          <w:b/>
          <w:bCs/>
          <w:sz w:val="22"/>
        </w:rPr>
      </w:pPr>
      <w:r w:rsidRPr="002C75B8">
        <w:rPr>
          <w:b/>
          <w:bCs/>
          <w:sz w:val="22"/>
        </w:rPr>
        <w:t>MAPS AND TRENDS</w:t>
      </w:r>
    </w:p>
    <w:p w:rsidR="00BF299A" w:rsidRPr="002C75B8" w:rsidRDefault="00BF299A" w:rsidP="00BF299A">
      <w:pPr>
        <w:ind w:left="0" w:firstLine="0"/>
        <w:rPr>
          <w:sz w:val="22"/>
        </w:rPr>
      </w:pPr>
    </w:p>
    <w:p w:rsidR="00BF299A" w:rsidRPr="003A5186" w:rsidRDefault="00BF299A" w:rsidP="00BF299A">
      <w:pPr>
        <w:ind w:left="0" w:firstLine="0"/>
        <w:rPr>
          <w:b/>
          <w:bCs/>
          <w:sz w:val="22"/>
        </w:rPr>
      </w:pPr>
      <w:r w:rsidRPr="003A5186">
        <w:rPr>
          <w:b/>
          <w:bCs/>
          <w:sz w:val="22"/>
        </w:rPr>
        <w:t>Visceral leishmaniasis</w:t>
      </w:r>
    </w:p>
    <w:p w:rsidR="00BF299A" w:rsidRPr="002C75B8" w:rsidRDefault="00BF299A" w:rsidP="00BF299A">
      <w:pPr>
        <w:ind w:left="0" w:firstLine="0"/>
        <w:rPr>
          <w:sz w:val="22"/>
        </w:rPr>
      </w:pPr>
      <w:r>
        <w:rPr>
          <w:noProof/>
          <w:sz w:val="2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121285</wp:posOffset>
            </wp:positionV>
            <wp:extent cx="3200400" cy="2263775"/>
            <wp:effectExtent l="19050" t="0" r="0" b="0"/>
            <wp:wrapNone/>
            <wp:docPr id="6" name="Picture 6" descr="EGVLIR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GVLIRm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6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299A" w:rsidRPr="002C75B8" w:rsidRDefault="00BF299A" w:rsidP="00BF299A">
      <w:pPr>
        <w:ind w:left="0" w:firstLine="0"/>
        <w:rPr>
          <w:sz w:val="22"/>
        </w:rPr>
      </w:pPr>
      <w:r>
        <w:rPr>
          <w:noProof/>
          <w:sz w:val="2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74930</wp:posOffset>
            </wp:positionV>
            <wp:extent cx="3134995" cy="2216150"/>
            <wp:effectExtent l="19050" t="0" r="8255" b="0"/>
            <wp:wrapNone/>
            <wp:docPr id="5" name="Picture 5" descr="EGVLm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GVLmod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21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  <w:r>
        <w:rPr>
          <w:rFonts w:eastAsia="Times New Roman"/>
          <w:b/>
          <w:bCs/>
          <w:sz w:val="22"/>
          <w:lang w:eastAsia="es-ES"/>
        </w:rPr>
        <w:t>Cutaneous leishmaniasis</w:t>
      </w: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  <w:r>
        <w:rPr>
          <w:rFonts w:eastAsia="Times New Roman"/>
          <w:b/>
          <w:bCs/>
          <w:noProof/>
          <w:sz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133985</wp:posOffset>
            </wp:positionV>
            <wp:extent cx="3314700" cy="2341245"/>
            <wp:effectExtent l="19050" t="0" r="0" b="0"/>
            <wp:wrapNone/>
            <wp:docPr id="3" name="Picture 3" descr="EGCLm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CLmod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133985</wp:posOffset>
            </wp:positionV>
            <wp:extent cx="3314700" cy="2344420"/>
            <wp:effectExtent l="19050" t="0" r="0" b="0"/>
            <wp:wrapNone/>
            <wp:docPr id="4" name="Picture 4" descr="EGCLIR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GCLIRm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4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  <w:r>
        <w:rPr>
          <w:rFonts w:eastAsia="Times New Roman"/>
          <w:b/>
          <w:bCs/>
          <w:sz w:val="22"/>
          <w:lang w:eastAsia="es-ES"/>
        </w:rPr>
        <w:lastRenderedPageBreak/>
        <w:t xml:space="preserve">Cutaneous leishmaniasis </w:t>
      </w:r>
      <w:proofErr w:type="spellStart"/>
      <w:r>
        <w:rPr>
          <w:rFonts w:eastAsia="Times New Roman"/>
          <w:b/>
          <w:bCs/>
          <w:sz w:val="22"/>
          <w:lang w:eastAsia="es-ES"/>
        </w:rPr>
        <w:t>trend</w:t>
      </w:r>
      <w:proofErr w:type="spellEnd"/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  <w:r>
        <w:rPr>
          <w:rFonts w:eastAsia="Times New Roman"/>
          <w:b/>
          <w:bCs/>
          <w:noProof/>
          <w:sz w:val="22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67945</wp:posOffset>
            </wp:positionV>
            <wp:extent cx="3541395" cy="1829435"/>
            <wp:effectExtent l="0" t="0" r="0" b="0"/>
            <wp:wrapNone/>
            <wp:docPr id="7" name="Obje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b/>
          <w:bCs/>
          <w:sz w:val="22"/>
          <w:lang w:eastAsia="es-ES"/>
        </w:rPr>
      </w:pPr>
      <w:r w:rsidRPr="002C75B8">
        <w:rPr>
          <w:rFonts w:eastAsia="Times New Roman"/>
          <w:b/>
          <w:bCs/>
          <w:sz w:val="22"/>
          <w:lang w:eastAsia="es-ES"/>
        </w:rPr>
        <w:t>CONTROL</w:t>
      </w:r>
    </w:p>
    <w:p w:rsidR="00BF299A" w:rsidRPr="002C75B8" w:rsidRDefault="00BF299A" w:rsidP="00BF299A">
      <w:pPr>
        <w:ind w:left="0" w:firstLine="0"/>
        <w:rPr>
          <w:rFonts w:eastAsia="Times New Roman"/>
          <w:sz w:val="22"/>
          <w:lang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sz w:val="22"/>
          <w:lang w:val="en-GB" w:eastAsia="es-ES"/>
        </w:rPr>
      </w:pPr>
      <w:r w:rsidRPr="002C75B8">
        <w:rPr>
          <w:rFonts w:eastAsia="Times New Roman"/>
          <w:sz w:val="22"/>
          <w:lang w:val="en-US" w:eastAsia="es-ES"/>
        </w:rPr>
        <w:t xml:space="preserve">Notification of leishmaniasis is not mandatory in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rFonts w:eastAsia="Times New Roman"/>
              <w:sz w:val="22"/>
              <w:lang w:val="en-US" w:eastAsia="es-ES"/>
            </w:rPr>
            <w:t>Egypt</w:t>
          </w:r>
        </w:smartTag>
      </w:smartTag>
      <w:r w:rsidRPr="002C75B8">
        <w:rPr>
          <w:rFonts w:eastAsia="Times New Roman"/>
          <w:sz w:val="22"/>
          <w:lang w:val="en-US" w:eastAsia="es-ES"/>
        </w:rPr>
        <w:t xml:space="preserve">. There </w:t>
      </w:r>
      <w:r>
        <w:rPr>
          <w:rFonts w:eastAsia="Times New Roman"/>
          <w:sz w:val="22"/>
          <w:lang w:val="en-US" w:eastAsia="es-ES"/>
        </w:rPr>
        <w:t>has been</w:t>
      </w:r>
      <w:r w:rsidRPr="002C75B8">
        <w:rPr>
          <w:rFonts w:eastAsia="Times New Roman"/>
          <w:sz w:val="22"/>
          <w:lang w:val="en-US" w:eastAsia="es-ES"/>
        </w:rPr>
        <w:t xml:space="preserve"> a national </w:t>
      </w:r>
      <w:r>
        <w:rPr>
          <w:rFonts w:eastAsia="Times New Roman"/>
          <w:sz w:val="22"/>
          <w:lang w:val="en-US" w:eastAsia="es-ES"/>
        </w:rPr>
        <w:t>l</w:t>
      </w:r>
      <w:r w:rsidRPr="002C75B8">
        <w:rPr>
          <w:rFonts w:eastAsia="Times New Roman"/>
          <w:sz w:val="22"/>
          <w:lang w:val="en-US" w:eastAsia="es-ES"/>
        </w:rPr>
        <w:t xml:space="preserve">eishmaniasis control program </w:t>
      </w:r>
      <w:r>
        <w:rPr>
          <w:rFonts w:eastAsia="Times New Roman"/>
          <w:sz w:val="22"/>
          <w:lang w:val="en-US" w:eastAsia="es-ES"/>
        </w:rPr>
        <w:t xml:space="preserve">in place </w:t>
      </w:r>
      <w:r w:rsidRPr="002C75B8">
        <w:rPr>
          <w:rFonts w:eastAsia="Times New Roman"/>
          <w:sz w:val="22"/>
          <w:lang w:val="en-US" w:eastAsia="es-ES"/>
        </w:rPr>
        <w:t>since 1985, but it is not functioning well due to a lack of financing and political commitment. Active human case detection is regularly performed</w:t>
      </w:r>
      <w:r>
        <w:rPr>
          <w:rFonts w:eastAsia="Times New Roman"/>
          <w:sz w:val="22"/>
          <w:lang w:val="en-US" w:eastAsia="es-ES"/>
        </w:rPr>
        <w:t>,</w:t>
      </w:r>
      <w:r w:rsidRPr="002C75B8">
        <w:rPr>
          <w:rFonts w:eastAsia="Times New Roman"/>
          <w:sz w:val="22"/>
          <w:lang w:val="en-US" w:eastAsia="es-ES"/>
        </w:rPr>
        <w:t xml:space="preserve"> but on</w:t>
      </w:r>
      <w:r>
        <w:rPr>
          <w:rFonts w:eastAsia="Times New Roman"/>
          <w:sz w:val="22"/>
          <w:lang w:val="en-US" w:eastAsia="es-ES"/>
        </w:rPr>
        <w:t xml:space="preserve"> a</w:t>
      </w:r>
      <w:r w:rsidRPr="002C75B8">
        <w:rPr>
          <w:rFonts w:eastAsia="Times New Roman"/>
          <w:sz w:val="22"/>
          <w:lang w:val="en-US" w:eastAsia="es-ES"/>
        </w:rPr>
        <w:t xml:space="preserve"> limited scale. Insecticide spraying is regularly done</w:t>
      </w:r>
      <w:r>
        <w:rPr>
          <w:rFonts w:eastAsia="Times New Roman"/>
          <w:sz w:val="22"/>
          <w:lang w:val="en-US" w:eastAsia="es-ES"/>
        </w:rPr>
        <w:t>,</w:t>
      </w:r>
      <w:r w:rsidRPr="002C75B8">
        <w:rPr>
          <w:rFonts w:eastAsia="Times New Roman"/>
          <w:sz w:val="22"/>
          <w:lang w:val="en-US" w:eastAsia="es-ES"/>
        </w:rPr>
        <w:t xml:space="preserve"> but deemed ineffective. There is a reservoir control program</w:t>
      </w:r>
      <w:r>
        <w:rPr>
          <w:rFonts w:eastAsia="Times New Roman"/>
          <w:sz w:val="22"/>
          <w:lang w:val="en-US" w:eastAsia="es-ES"/>
        </w:rPr>
        <w:t>,</w:t>
      </w:r>
      <w:r w:rsidRPr="002C75B8">
        <w:rPr>
          <w:rFonts w:eastAsia="Times New Roman"/>
          <w:sz w:val="22"/>
          <w:lang w:val="en-US" w:eastAsia="es-ES"/>
        </w:rPr>
        <w:t xml:space="preserve"> but it is not specifically targeted for leishmaniasis. </w:t>
      </w:r>
    </w:p>
    <w:p w:rsidR="00BF299A" w:rsidRPr="002C75B8" w:rsidRDefault="00BF299A" w:rsidP="00BF299A">
      <w:pPr>
        <w:ind w:left="0" w:firstLine="0"/>
        <w:rPr>
          <w:rFonts w:eastAsia="Times New Roman"/>
          <w:sz w:val="22"/>
          <w:lang w:val="en-GB" w:eastAsia="es-ES"/>
        </w:rPr>
      </w:pPr>
    </w:p>
    <w:p w:rsidR="00BF299A" w:rsidRPr="002C75B8" w:rsidRDefault="00BF299A" w:rsidP="00BF299A">
      <w:pPr>
        <w:ind w:left="0" w:firstLine="0"/>
        <w:rPr>
          <w:rFonts w:eastAsia="Times New Roman"/>
          <w:sz w:val="22"/>
          <w:lang w:val="en-US" w:eastAsia="es-ES"/>
        </w:rPr>
      </w:pPr>
    </w:p>
    <w:p w:rsidR="00BF299A" w:rsidRPr="002C75B8" w:rsidRDefault="00BF299A" w:rsidP="00BF299A">
      <w:pPr>
        <w:ind w:left="0" w:firstLine="0"/>
        <w:rPr>
          <w:rFonts w:eastAsia="SimSun"/>
          <w:b/>
          <w:sz w:val="22"/>
          <w:lang w:val="en-US" w:eastAsia="zh-CN"/>
        </w:rPr>
      </w:pPr>
      <w:r w:rsidRPr="002C75B8">
        <w:rPr>
          <w:b/>
          <w:sz w:val="22"/>
          <w:lang w:val="en-US"/>
        </w:rPr>
        <w:t xml:space="preserve">DIAGNOSIS, TREATMENT </w:t>
      </w:r>
    </w:p>
    <w:p w:rsidR="00BF299A" w:rsidRPr="002C75B8" w:rsidRDefault="00BF299A" w:rsidP="00BF299A">
      <w:pPr>
        <w:ind w:left="0" w:firstLine="0"/>
        <w:rPr>
          <w:b/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b/>
          <w:bCs/>
          <w:sz w:val="22"/>
          <w:lang w:val="en-US"/>
        </w:rPr>
      </w:pPr>
      <w:r w:rsidRPr="002C75B8">
        <w:rPr>
          <w:b/>
          <w:bCs/>
          <w:sz w:val="22"/>
          <w:lang w:val="en-US"/>
        </w:rPr>
        <w:t>Diagnosis</w:t>
      </w:r>
    </w:p>
    <w:p w:rsidR="00BF299A" w:rsidRPr="00EF6EC8" w:rsidRDefault="00BF299A" w:rsidP="00BF299A">
      <w:pPr>
        <w:ind w:left="0" w:firstLine="0"/>
        <w:rPr>
          <w:sz w:val="22"/>
        </w:rPr>
      </w:pPr>
      <w:r w:rsidRPr="00EF6EC8">
        <w:rPr>
          <w:sz w:val="22"/>
        </w:rPr>
        <w:t xml:space="preserve">CL: </w:t>
      </w:r>
      <w:proofErr w:type="spellStart"/>
      <w:r w:rsidRPr="00EF6EC8">
        <w:rPr>
          <w:sz w:val="22"/>
        </w:rPr>
        <w:t>on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clinical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picture</w:t>
      </w:r>
      <w:proofErr w:type="spellEnd"/>
      <w:r w:rsidRPr="00EF6EC8">
        <w:rPr>
          <w:sz w:val="22"/>
        </w:rPr>
        <w:t xml:space="preserve"> and </w:t>
      </w:r>
      <w:proofErr w:type="spellStart"/>
      <w:r w:rsidRPr="00EF6EC8">
        <w:rPr>
          <w:sz w:val="22"/>
        </w:rPr>
        <w:t>exclusion</w:t>
      </w:r>
      <w:proofErr w:type="spellEnd"/>
      <w:r w:rsidRPr="00EF6EC8">
        <w:rPr>
          <w:sz w:val="22"/>
        </w:rPr>
        <w:t xml:space="preserve"> of </w:t>
      </w:r>
      <w:proofErr w:type="spellStart"/>
      <w:r w:rsidRPr="00EF6EC8">
        <w:rPr>
          <w:sz w:val="22"/>
        </w:rPr>
        <w:t>other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infections</w:t>
      </w:r>
      <w:proofErr w:type="spellEnd"/>
      <w:r w:rsidRPr="00EF6EC8">
        <w:rPr>
          <w:sz w:val="22"/>
        </w:rPr>
        <w:t>.</w:t>
      </w:r>
    </w:p>
    <w:p w:rsidR="00BF299A" w:rsidRPr="00EF6EC8" w:rsidRDefault="00BF299A" w:rsidP="00BF299A">
      <w:pPr>
        <w:ind w:left="0" w:firstLine="0"/>
        <w:rPr>
          <w:sz w:val="22"/>
        </w:rPr>
      </w:pPr>
      <w:r w:rsidRPr="00EF6EC8">
        <w:rPr>
          <w:sz w:val="22"/>
        </w:rPr>
        <w:t xml:space="preserve">VL: </w:t>
      </w:r>
      <w:proofErr w:type="spellStart"/>
      <w:r w:rsidRPr="00EF6EC8">
        <w:rPr>
          <w:sz w:val="22"/>
        </w:rPr>
        <w:t>clinical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suspicion</w:t>
      </w:r>
      <w:proofErr w:type="spellEnd"/>
      <w:r w:rsidRPr="00EF6EC8">
        <w:rPr>
          <w:sz w:val="22"/>
        </w:rPr>
        <w:t xml:space="preserve"> and </w:t>
      </w:r>
      <w:proofErr w:type="spellStart"/>
      <w:r w:rsidRPr="00EF6EC8">
        <w:rPr>
          <w:sz w:val="22"/>
        </w:rPr>
        <w:t>confirmation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by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microscopic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examination</w:t>
      </w:r>
      <w:proofErr w:type="spellEnd"/>
      <w:r w:rsidRPr="00EF6EC8">
        <w:rPr>
          <w:sz w:val="22"/>
        </w:rPr>
        <w:t xml:space="preserve"> of </w:t>
      </w:r>
      <w:proofErr w:type="spellStart"/>
      <w:r w:rsidRPr="00EF6EC8">
        <w:rPr>
          <w:sz w:val="22"/>
        </w:rPr>
        <w:t>bone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marrow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aspirate</w:t>
      </w:r>
      <w:proofErr w:type="spellEnd"/>
      <w:r w:rsidRPr="00EF6EC8">
        <w:rPr>
          <w:sz w:val="22"/>
        </w:rPr>
        <w:t xml:space="preserve">. </w:t>
      </w:r>
    </w:p>
    <w:p w:rsidR="00BF299A" w:rsidRPr="002C75B8" w:rsidRDefault="00BF299A" w:rsidP="00BF299A">
      <w:pPr>
        <w:ind w:left="0" w:firstLine="0"/>
        <w:rPr>
          <w:b/>
          <w:bCs/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sz w:val="22"/>
          <w:lang w:val="en-US"/>
        </w:rPr>
      </w:pPr>
      <w:r w:rsidRPr="002C75B8">
        <w:rPr>
          <w:b/>
          <w:bCs/>
          <w:sz w:val="22"/>
          <w:lang w:val="en-US"/>
        </w:rPr>
        <w:t xml:space="preserve">Treatment </w:t>
      </w:r>
    </w:p>
    <w:p w:rsidR="00BF299A" w:rsidRPr="00EF6EC8" w:rsidRDefault="00BF299A" w:rsidP="00BF299A">
      <w:pPr>
        <w:ind w:left="0" w:firstLine="0"/>
        <w:rPr>
          <w:sz w:val="22"/>
        </w:rPr>
      </w:pPr>
      <w:r w:rsidRPr="00EF6EC8">
        <w:rPr>
          <w:sz w:val="22"/>
        </w:rPr>
        <w:t xml:space="preserve">CL: antimonials, intralesional </w:t>
      </w:r>
      <w:proofErr w:type="spellStart"/>
      <w:r w:rsidRPr="00EF6EC8">
        <w:rPr>
          <w:sz w:val="22"/>
        </w:rPr>
        <w:t>or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systemic</w:t>
      </w:r>
      <w:proofErr w:type="spellEnd"/>
      <w:r w:rsidRPr="00EF6EC8">
        <w:rPr>
          <w:sz w:val="22"/>
        </w:rPr>
        <w:t xml:space="preserve"> (20 mg</w:t>
      </w:r>
      <w:r w:rsidRPr="001905E8">
        <w:rPr>
          <w:sz w:val="22"/>
        </w:rPr>
        <w:t xml:space="preserve"> </w:t>
      </w:r>
      <w:proofErr w:type="spellStart"/>
      <w:r>
        <w:rPr>
          <w:sz w:val="22"/>
        </w:rPr>
        <w:t>Sb</w:t>
      </w:r>
      <w:r w:rsidRPr="001905E8">
        <w:rPr>
          <w:sz w:val="22"/>
          <w:vertAlign w:val="superscript"/>
        </w:rPr>
        <w:t>v</w:t>
      </w:r>
      <w:proofErr w:type="spellEnd"/>
      <w:r w:rsidRPr="00EF6EC8">
        <w:rPr>
          <w:sz w:val="22"/>
        </w:rPr>
        <w:t>/kg</w:t>
      </w:r>
      <w:r>
        <w:rPr>
          <w:sz w:val="22"/>
        </w:rPr>
        <w:t>/</w:t>
      </w:r>
      <w:proofErr w:type="spellStart"/>
      <w:r>
        <w:rPr>
          <w:sz w:val="22"/>
        </w:rPr>
        <w:t>day</w:t>
      </w:r>
      <w:proofErr w:type="spellEnd"/>
      <w:r w:rsidRPr="00EF6EC8">
        <w:rPr>
          <w:sz w:val="22"/>
        </w:rPr>
        <w:t xml:space="preserve">) </w:t>
      </w:r>
      <w:proofErr w:type="spellStart"/>
      <w:r w:rsidRPr="00EF6EC8">
        <w:rPr>
          <w:sz w:val="22"/>
        </w:rPr>
        <w:t>with</w:t>
      </w:r>
      <w:proofErr w:type="spellEnd"/>
      <w:r w:rsidRPr="00EF6EC8">
        <w:rPr>
          <w:sz w:val="22"/>
        </w:rPr>
        <w:t xml:space="preserve"> a </w:t>
      </w:r>
      <w:proofErr w:type="spellStart"/>
      <w:r w:rsidRPr="00EF6EC8">
        <w:rPr>
          <w:sz w:val="22"/>
        </w:rPr>
        <w:t>maximum</w:t>
      </w:r>
      <w:proofErr w:type="spellEnd"/>
      <w:r w:rsidRPr="00EF6EC8">
        <w:rPr>
          <w:sz w:val="22"/>
        </w:rPr>
        <w:t xml:space="preserve"> of 850 mg Sb</w:t>
      </w:r>
      <w:r w:rsidRPr="00EF6EC8">
        <w:rPr>
          <w:sz w:val="22"/>
          <w:vertAlign w:val="superscript"/>
        </w:rPr>
        <w:t>5</w:t>
      </w:r>
      <w:r w:rsidRPr="00EF6EC8">
        <w:rPr>
          <w:sz w:val="22"/>
        </w:rPr>
        <w:t>/kg/</w:t>
      </w:r>
      <w:proofErr w:type="spellStart"/>
      <w:r w:rsidRPr="00EF6EC8">
        <w:rPr>
          <w:sz w:val="22"/>
        </w:rPr>
        <w:t>day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for</w:t>
      </w:r>
      <w:proofErr w:type="spellEnd"/>
      <w:r w:rsidRPr="00EF6EC8">
        <w:rPr>
          <w:sz w:val="22"/>
        </w:rPr>
        <w:t xml:space="preserve"> 20 </w:t>
      </w:r>
      <w:proofErr w:type="spellStart"/>
      <w:r w:rsidRPr="00EF6EC8">
        <w:rPr>
          <w:sz w:val="22"/>
        </w:rPr>
        <w:t>days</w:t>
      </w:r>
      <w:proofErr w:type="spellEnd"/>
      <w:r w:rsidRPr="00EF6EC8">
        <w:rPr>
          <w:sz w:val="22"/>
        </w:rPr>
        <w:t xml:space="preserve">, </w:t>
      </w:r>
      <w:proofErr w:type="spellStart"/>
      <w:r w:rsidRPr="00EF6EC8">
        <w:rPr>
          <w:sz w:val="22"/>
        </w:rPr>
        <w:t>to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be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repeated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after</w:t>
      </w:r>
      <w:proofErr w:type="spellEnd"/>
      <w:r w:rsidRPr="00EF6EC8">
        <w:rPr>
          <w:sz w:val="22"/>
        </w:rPr>
        <w:t xml:space="preserve"> 10 </w:t>
      </w:r>
      <w:proofErr w:type="spellStart"/>
      <w:r w:rsidRPr="00EF6EC8">
        <w:rPr>
          <w:sz w:val="22"/>
        </w:rPr>
        <w:t>days</w:t>
      </w:r>
      <w:proofErr w:type="spellEnd"/>
      <w:r w:rsidRPr="00EF6EC8">
        <w:rPr>
          <w:sz w:val="22"/>
        </w:rPr>
        <w:t>.</w:t>
      </w:r>
    </w:p>
    <w:p w:rsidR="00BF299A" w:rsidRPr="00EF6EC8" w:rsidRDefault="00BF299A" w:rsidP="00BF299A">
      <w:pPr>
        <w:ind w:left="0" w:firstLine="0"/>
        <w:rPr>
          <w:sz w:val="22"/>
        </w:rPr>
      </w:pPr>
      <w:r w:rsidRPr="00EF6EC8">
        <w:rPr>
          <w:sz w:val="22"/>
        </w:rPr>
        <w:t xml:space="preserve">VL: antimonials, 20 mg </w:t>
      </w:r>
      <w:proofErr w:type="spellStart"/>
      <w:r>
        <w:rPr>
          <w:sz w:val="22"/>
        </w:rPr>
        <w:t>Sb</w:t>
      </w:r>
      <w:r w:rsidRPr="001905E8">
        <w:rPr>
          <w:sz w:val="22"/>
          <w:vertAlign w:val="superscript"/>
        </w:rPr>
        <w:t>v</w:t>
      </w:r>
      <w:proofErr w:type="spellEnd"/>
      <w:r w:rsidRPr="00EF6EC8">
        <w:rPr>
          <w:sz w:val="22"/>
        </w:rPr>
        <w:t>/kg/</w:t>
      </w:r>
      <w:proofErr w:type="spellStart"/>
      <w:r w:rsidRPr="00EF6EC8">
        <w:rPr>
          <w:sz w:val="22"/>
        </w:rPr>
        <w:t>day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for</w:t>
      </w:r>
      <w:proofErr w:type="spellEnd"/>
      <w:r w:rsidRPr="00EF6EC8">
        <w:rPr>
          <w:sz w:val="22"/>
        </w:rPr>
        <w:t xml:space="preserve"> 20 </w:t>
      </w:r>
      <w:proofErr w:type="spellStart"/>
      <w:r w:rsidRPr="00EF6EC8">
        <w:rPr>
          <w:sz w:val="22"/>
        </w:rPr>
        <w:t>days</w:t>
      </w:r>
      <w:proofErr w:type="spellEnd"/>
      <w:r w:rsidRPr="00EF6EC8">
        <w:rPr>
          <w:sz w:val="22"/>
        </w:rPr>
        <w:t xml:space="preserve">, </w:t>
      </w:r>
      <w:proofErr w:type="spellStart"/>
      <w:r w:rsidRPr="00EF6EC8">
        <w:rPr>
          <w:sz w:val="22"/>
        </w:rPr>
        <w:t>to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be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repeated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after</w:t>
      </w:r>
      <w:proofErr w:type="spellEnd"/>
      <w:r w:rsidRPr="00EF6EC8">
        <w:rPr>
          <w:sz w:val="22"/>
        </w:rPr>
        <w:t xml:space="preserve"> 10 </w:t>
      </w:r>
      <w:proofErr w:type="spellStart"/>
      <w:r w:rsidRPr="00EF6EC8">
        <w:rPr>
          <w:sz w:val="22"/>
        </w:rPr>
        <w:t>days</w:t>
      </w:r>
      <w:proofErr w:type="spellEnd"/>
      <w:r w:rsidRPr="00EF6EC8">
        <w:rPr>
          <w:sz w:val="22"/>
        </w:rPr>
        <w:t xml:space="preserve">. </w:t>
      </w:r>
    </w:p>
    <w:p w:rsidR="00BF299A" w:rsidRPr="00EF6EC8" w:rsidRDefault="00BF299A" w:rsidP="00BF299A">
      <w:pPr>
        <w:ind w:left="0" w:firstLine="0"/>
        <w:rPr>
          <w:sz w:val="22"/>
        </w:rPr>
      </w:pPr>
      <w:proofErr w:type="spellStart"/>
      <w:r w:rsidRPr="00EF6EC8">
        <w:rPr>
          <w:sz w:val="22"/>
        </w:rPr>
        <w:t>Reported</w:t>
      </w:r>
      <w:proofErr w:type="spellEnd"/>
      <w:r w:rsidRPr="00EF6EC8">
        <w:rPr>
          <w:sz w:val="22"/>
        </w:rPr>
        <w:t xml:space="preserve"> cure </w:t>
      </w:r>
      <w:proofErr w:type="spellStart"/>
      <w:r w:rsidRPr="00EF6EC8">
        <w:rPr>
          <w:sz w:val="22"/>
        </w:rPr>
        <w:t>rate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for</w:t>
      </w:r>
      <w:proofErr w:type="spellEnd"/>
      <w:r w:rsidRPr="00EF6EC8">
        <w:rPr>
          <w:sz w:val="22"/>
        </w:rPr>
        <w:t xml:space="preserve"> VL </w:t>
      </w:r>
      <w:proofErr w:type="spellStart"/>
      <w:r w:rsidRPr="00EF6EC8">
        <w:rPr>
          <w:sz w:val="22"/>
        </w:rPr>
        <w:t>is</w:t>
      </w:r>
      <w:proofErr w:type="spellEnd"/>
      <w:r w:rsidRPr="00EF6EC8">
        <w:rPr>
          <w:sz w:val="22"/>
        </w:rPr>
        <w:t xml:space="preserve"> 100%. </w:t>
      </w:r>
      <w:proofErr w:type="spellStart"/>
      <w:r w:rsidRPr="00EF6EC8">
        <w:rPr>
          <w:sz w:val="22"/>
        </w:rPr>
        <w:t>Outcome</w:t>
      </w:r>
      <w:proofErr w:type="spellEnd"/>
      <w:r w:rsidRPr="00EF6EC8">
        <w:rPr>
          <w:sz w:val="22"/>
        </w:rPr>
        <w:t xml:space="preserve"> data are </w:t>
      </w:r>
      <w:proofErr w:type="spellStart"/>
      <w:r w:rsidRPr="00EF6EC8">
        <w:rPr>
          <w:sz w:val="22"/>
        </w:rPr>
        <w:t>not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available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for</w:t>
      </w:r>
      <w:proofErr w:type="spellEnd"/>
      <w:r w:rsidRPr="00EF6EC8">
        <w:rPr>
          <w:sz w:val="22"/>
        </w:rPr>
        <w:t xml:space="preserve"> CL </w:t>
      </w:r>
      <w:proofErr w:type="spellStart"/>
      <w:r w:rsidRPr="00EF6EC8">
        <w:rPr>
          <w:sz w:val="22"/>
        </w:rPr>
        <w:t>treatment</w:t>
      </w:r>
      <w:proofErr w:type="spellEnd"/>
      <w:r w:rsidRPr="00EF6EC8">
        <w:rPr>
          <w:sz w:val="22"/>
        </w:rPr>
        <w:t xml:space="preserve">. </w:t>
      </w:r>
    </w:p>
    <w:p w:rsidR="00BF299A" w:rsidRPr="002C75B8" w:rsidRDefault="00BF299A" w:rsidP="00BF299A">
      <w:pPr>
        <w:ind w:left="0" w:firstLine="0"/>
        <w:rPr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</w:p>
    <w:p w:rsidR="00BF299A" w:rsidRPr="002C75B8" w:rsidRDefault="00BF299A" w:rsidP="00BF299A">
      <w:pPr>
        <w:ind w:left="0" w:firstLine="0"/>
        <w:rPr>
          <w:b/>
          <w:bCs/>
          <w:sz w:val="22"/>
          <w:lang w:val="en-US"/>
        </w:rPr>
      </w:pPr>
      <w:r w:rsidRPr="002C75B8">
        <w:rPr>
          <w:b/>
          <w:bCs/>
          <w:sz w:val="22"/>
          <w:lang w:val="en-US"/>
        </w:rPr>
        <w:t xml:space="preserve">ACCESS TO CARE </w:t>
      </w:r>
    </w:p>
    <w:p w:rsidR="00BF299A" w:rsidRPr="002C75B8" w:rsidRDefault="00BF299A" w:rsidP="00BF299A">
      <w:pPr>
        <w:ind w:left="0" w:firstLine="0"/>
        <w:rPr>
          <w:b/>
          <w:bCs/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  <w:r w:rsidRPr="002C75B8">
        <w:rPr>
          <w:sz w:val="22"/>
          <w:lang w:val="en-US"/>
        </w:rPr>
        <w:t xml:space="preserve">Medical care is provided for free in </w:t>
      </w:r>
      <w:smartTag w:uri="urn:schemas-microsoft-com:office:smarttags" w:element="country-region">
        <w:smartTag w:uri="urn:schemas-microsoft-com:office:smarttags" w:element="place">
          <w:r w:rsidRPr="002C75B8">
            <w:rPr>
              <w:sz w:val="22"/>
              <w:lang w:val="en-US"/>
            </w:rPr>
            <w:t>Egypt</w:t>
          </w:r>
        </w:smartTag>
      </w:smartTag>
      <w:r w:rsidRPr="002C75B8">
        <w:rPr>
          <w:sz w:val="22"/>
          <w:lang w:val="en-US"/>
        </w:rPr>
        <w:t>, with only a nominal fee of 0</w:t>
      </w:r>
      <w:r>
        <w:rPr>
          <w:sz w:val="22"/>
          <w:lang w:val="en-US"/>
        </w:rPr>
        <w:t>.</w:t>
      </w:r>
      <w:r w:rsidRPr="002C75B8">
        <w:rPr>
          <w:sz w:val="22"/>
          <w:lang w:val="en-US"/>
        </w:rPr>
        <w:t>4 USD charged as registration fee. CL is diagnosed in health posts and health cente</w:t>
      </w:r>
      <w:r>
        <w:rPr>
          <w:sz w:val="22"/>
          <w:lang w:val="en-US"/>
        </w:rPr>
        <w:t>r</w:t>
      </w:r>
      <w:r w:rsidRPr="002C75B8">
        <w:rPr>
          <w:sz w:val="22"/>
          <w:lang w:val="en-US"/>
        </w:rPr>
        <w:t xml:space="preserve">s and treated with antimonials, if available. VL is only diagnosed and treated in specialized hospitals. There are no NGOs treating leishmaniasis in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sz w:val="22"/>
              <w:lang w:val="en-US"/>
            </w:rPr>
            <w:t>Egypt</w:t>
          </w:r>
        </w:smartTag>
      </w:smartTag>
      <w:r w:rsidRPr="002C75B8">
        <w:rPr>
          <w:sz w:val="22"/>
          <w:lang w:val="en-US"/>
        </w:rPr>
        <w:t xml:space="preserve">. Drugs for leishmaniasis are not provided by the Ministry of Health. </w:t>
      </w:r>
      <w:r>
        <w:rPr>
          <w:sz w:val="22"/>
          <w:lang w:val="en-US"/>
        </w:rPr>
        <w:t>WHO is t</w:t>
      </w:r>
      <w:r w:rsidRPr="002C75B8">
        <w:rPr>
          <w:sz w:val="22"/>
          <w:lang w:val="en-US"/>
        </w:rPr>
        <w:t>he only source of drugs</w:t>
      </w:r>
      <w:r>
        <w:rPr>
          <w:sz w:val="22"/>
          <w:lang w:val="en-US"/>
        </w:rPr>
        <w:t>; it</w:t>
      </w:r>
      <w:r w:rsidRPr="002C75B8">
        <w:rPr>
          <w:sz w:val="22"/>
          <w:lang w:val="en-US"/>
        </w:rPr>
        <w:t xml:space="preserve"> donated antimonials in 2007 and </w:t>
      </w:r>
      <w:smartTag w:uri="urn:schemas-microsoft-com:office:smarttags" w:element="metricconverter">
        <w:smartTagPr>
          <w:attr w:name="ProductID" w:val="2008. In"/>
        </w:smartTagPr>
        <w:r w:rsidRPr="002C75B8">
          <w:rPr>
            <w:sz w:val="22"/>
            <w:lang w:val="en-US"/>
          </w:rPr>
          <w:t>2008. In</w:t>
        </w:r>
      </w:smartTag>
      <w:r w:rsidRPr="002C75B8">
        <w:rPr>
          <w:sz w:val="22"/>
          <w:lang w:val="en-US"/>
        </w:rPr>
        <w:t xml:space="preserve"> 2008, WHO donated antimonials for the topical treatment of less than 100 patients, with 471 reported CL patients </w:t>
      </w:r>
      <w:r>
        <w:rPr>
          <w:sz w:val="22"/>
          <w:lang w:val="en-US"/>
        </w:rPr>
        <w:t xml:space="preserve">in </w:t>
      </w:r>
      <w:r w:rsidRPr="002C75B8">
        <w:rPr>
          <w:sz w:val="22"/>
          <w:lang w:val="en-US"/>
        </w:rPr>
        <w:t>th</w:t>
      </w:r>
      <w:r>
        <w:rPr>
          <w:sz w:val="22"/>
          <w:lang w:val="en-US"/>
        </w:rPr>
        <w:t>at</w:t>
      </w:r>
      <w:r w:rsidRPr="002C75B8">
        <w:rPr>
          <w:sz w:val="22"/>
          <w:lang w:val="en-US"/>
        </w:rPr>
        <w:t xml:space="preserve"> same </w:t>
      </w:r>
      <w:proofErr w:type="gramStart"/>
      <w:r w:rsidRPr="002C75B8">
        <w:rPr>
          <w:sz w:val="22"/>
          <w:lang w:val="en-US"/>
        </w:rPr>
        <w:t>year.</w:t>
      </w:r>
      <w:proofErr w:type="gramEnd"/>
      <w:r w:rsidRPr="002C75B8">
        <w:rPr>
          <w:sz w:val="22"/>
          <w:lang w:val="en-US"/>
        </w:rPr>
        <w:t xml:space="preserve"> Subsequently, in 2008, not all cases could be treated. In lack of treatment, nomads </w:t>
      </w:r>
      <w:r>
        <w:rPr>
          <w:sz w:val="22"/>
          <w:lang w:val="en-US"/>
        </w:rPr>
        <w:t>from</w:t>
      </w:r>
      <w:r w:rsidRPr="002C75B8">
        <w:rPr>
          <w:sz w:val="22"/>
          <w:lang w:val="en-US"/>
        </w:rPr>
        <w:t xml:space="preserve"> the </w:t>
      </w:r>
      <w:smartTag w:uri="urn:schemas-microsoft-com:office:smarttags" w:element="place">
        <w:r w:rsidRPr="002C75B8">
          <w:rPr>
            <w:sz w:val="22"/>
            <w:lang w:val="en-US"/>
          </w:rPr>
          <w:t>North Sinai</w:t>
        </w:r>
      </w:smartTag>
      <w:r w:rsidRPr="002C75B8">
        <w:rPr>
          <w:sz w:val="22"/>
          <w:lang w:val="en-US"/>
        </w:rPr>
        <w:t xml:space="preserve"> region extinguish cigarettes </w:t>
      </w:r>
      <w:r>
        <w:rPr>
          <w:sz w:val="22"/>
          <w:lang w:val="en-US"/>
        </w:rPr>
        <w:t>o</w:t>
      </w:r>
      <w:r w:rsidRPr="002C75B8">
        <w:rPr>
          <w:sz w:val="22"/>
          <w:lang w:val="en-US"/>
        </w:rPr>
        <w:t xml:space="preserve">n their lesions or use remedies such as vinegar and bleach. </w:t>
      </w: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</w:p>
    <w:p w:rsidR="00BF299A" w:rsidRDefault="00BF299A" w:rsidP="00BF299A">
      <w:pPr>
        <w:ind w:left="0" w:firstLine="0"/>
        <w:rPr>
          <w:sz w:val="22"/>
          <w:lang w:val="en-GB"/>
        </w:rPr>
      </w:pPr>
    </w:p>
    <w:p w:rsidR="00BF299A" w:rsidRDefault="00BF299A" w:rsidP="00BF299A">
      <w:pPr>
        <w:ind w:left="0" w:firstLine="0"/>
        <w:rPr>
          <w:sz w:val="22"/>
          <w:lang w:val="en-GB"/>
        </w:rPr>
      </w:pP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  <w:r w:rsidRPr="002C75B8">
        <w:rPr>
          <w:b/>
          <w:sz w:val="22"/>
          <w:lang w:val="en-GB"/>
        </w:rPr>
        <w:lastRenderedPageBreak/>
        <w:t>ACCESS TO DRUGS</w:t>
      </w:r>
      <w:r w:rsidRPr="002C75B8">
        <w:rPr>
          <w:sz w:val="22"/>
          <w:lang w:val="en-GB"/>
        </w:rPr>
        <w:t xml:space="preserve"> </w:t>
      </w:r>
    </w:p>
    <w:p w:rsidR="00BF299A" w:rsidRPr="002C75B8" w:rsidRDefault="00BF299A" w:rsidP="00BF299A">
      <w:pPr>
        <w:ind w:left="0" w:firstLine="0"/>
        <w:rPr>
          <w:sz w:val="22"/>
          <w:lang w:val="en-GB"/>
        </w:rPr>
      </w:pPr>
    </w:p>
    <w:p w:rsidR="00BF299A" w:rsidRPr="002C75B8" w:rsidRDefault="00BF299A" w:rsidP="00BF299A">
      <w:pPr>
        <w:ind w:left="0" w:firstLine="0"/>
        <w:rPr>
          <w:b/>
          <w:bCs/>
          <w:sz w:val="22"/>
          <w:lang w:val="en-US"/>
        </w:rPr>
      </w:pPr>
      <w:r w:rsidRPr="002C75B8">
        <w:rPr>
          <w:sz w:val="22"/>
          <w:lang w:val="en-GB"/>
        </w:rPr>
        <w:t>No other drug than sodium stibogluconate is included in the National Essential Drug List</w:t>
      </w:r>
      <w:r>
        <w:rPr>
          <w:sz w:val="22"/>
          <w:lang w:val="en-GB"/>
        </w:rPr>
        <w:t xml:space="preserve"> </w:t>
      </w:r>
      <w:r w:rsidRPr="002C75B8">
        <w:rPr>
          <w:sz w:val="22"/>
          <w:lang w:val="en-GB"/>
        </w:rPr>
        <w:t xml:space="preserve">for leishmaniasis. Liposomal amphotericin B (AmBisome, Gilead) is registered in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sz w:val="22"/>
              <w:lang w:val="en-GB"/>
            </w:rPr>
            <w:t>Egypt</w:t>
          </w:r>
        </w:smartTag>
      </w:smartTag>
      <w:r w:rsidRPr="002C75B8">
        <w:rPr>
          <w:sz w:val="22"/>
          <w:lang w:val="en-GB"/>
        </w:rPr>
        <w:t xml:space="preserve">, but no antimonials are registered. Drugs for leishmaniasis are not available </w:t>
      </w:r>
      <w:r>
        <w:rPr>
          <w:sz w:val="22"/>
          <w:lang w:val="en-GB"/>
        </w:rPr>
        <w:t>at</w:t>
      </w:r>
      <w:r w:rsidRPr="002C75B8">
        <w:rPr>
          <w:sz w:val="22"/>
          <w:lang w:val="en-GB"/>
        </w:rPr>
        <w:t xml:space="preserve"> private pharmacies. </w:t>
      </w:r>
      <w:r w:rsidRPr="002C75B8">
        <w:rPr>
          <w:b/>
          <w:bCs/>
          <w:sz w:val="22"/>
          <w:lang w:val="en-US"/>
        </w:rPr>
        <w:t> </w:t>
      </w:r>
    </w:p>
    <w:p w:rsidR="00BF299A" w:rsidRDefault="00BF299A" w:rsidP="00BF299A">
      <w:pPr>
        <w:ind w:left="0" w:firstLine="0"/>
        <w:rPr>
          <w:sz w:val="22"/>
          <w:lang w:val="en-US"/>
        </w:rPr>
      </w:pPr>
    </w:p>
    <w:p w:rsidR="00BF299A" w:rsidRPr="002C75B8" w:rsidRDefault="00BF299A" w:rsidP="00BF299A">
      <w:pPr>
        <w:ind w:left="0" w:firstLine="0"/>
        <w:rPr>
          <w:sz w:val="22"/>
          <w:lang w:val="en-US"/>
        </w:rPr>
      </w:pPr>
    </w:p>
    <w:p w:rsidR="00BF299A" w:rsidRDefault="00BF299A" w:rsidP="00BF299A">
      <w:pPr>
        <w:ind w:left="0" w:firstLine="0"/>
        <w:rPr>
          <w:b/>
          <w:sz w:val="22"/>
          <w:lang w:val="en-GB"/>
        </w:rPr>
      </w:pPr>
      <w:r w:rsidRPr="002C75B8">
        <w:rPr>
          <w:b/>
          <w:sz w:val="22"/>
          <w:lang w:val="en-GB"/>
        </w:rPr>
        <w:t>SOURCES OF INFORMATION</w:t>
      </w:r>
    </w:p>
    <w:p w:rsidR="00BF299A" w:rsidRPr="002C75B8" w:rsidRDefault="00BF299A" w:rsidP="00BF299A">
      <w:pPr>
        <w:ind w:left="0" w:firstLine="0"/>
        <w:rPr>
          <w:b/>
          <w:sz w:val="22"/>
          <w:lang w:val="en-GB"/>
        </w:rPr>
      </w:pPr>
    </w:p>
    <w:p w:rsidR="00BF299A" w:rsidRPr="002C75B8" w:rsidRDefault="00BF299A" w:rsidP="00BF299A">
      <w:pPr>
        <w:numPr>
          <w:ilvl w:val="0"/>
          <w:numId w:val="5"/>
        </w:numPr>
        <w:rPr>
          <w:sz w:val="22"/>
          <w:lang w:val="en-US"/>
        </w:rPr>
      </w:pPr>
      <w:r w:rsidRPr="002C75B8">
        <w:rPr>
          <w:sz w:val="22"/>
          <w:lang w:val="en-US"/>
        </w:rPr>
        <w:t xml:space="preserve">Dr </w:t>
      </w:r>
      <w:proofErr w:type="spellStart"/>
      <w:r w:rsidRPr="002C75B8">
        <w:rPr>
          <w:sz w:val="22"/>
          <w:lang w:val="en-US"/>
        </w:rPr>
        <w:t>Samir</w:t>
      </w:r>
      <w:proofErr w:type="spellEnd"/>
      <w:r w:rsidRPr="002C75B8">
        <w:rPr>
          <w:sz w:val="22"/>
          <w:lang w:val="en-US"/>
        </w:rPr>
        <w:t xml:space="preserve"> Mahfouz</w:t>
      </w:r>
      <w:r>
        <w:rPr>
          <w:sz w:val="22"/>
          <w:lang w:val="en-US"/>
        </w:rPr>
        <w:t xml:space="preserve">. </w:t>
      </w:r>
      <w:r w:rsidRPr="002C75B8">
        <w:rPr>
          <w:sz w:val="22"/>
          <w:lang w:val="en-US"/>
        </w:rPr>
        <w:t>M</w:t>
      </w:r>
      <w:r>
        <w:rPr>
          <w:sz w:val="22"/>
          <w:lang w:val="en-US"/>
        </w:rPr>
        <w:t>inistry of Health.</w:t>
      </w:r>
    </w:p>
    <w:p w:rsidR="00BF299A" w:rsidRDefault="00BF299A" w:rsidP="00BF299A">
      <w:pPr>
        <w:ind w:left="0" w:firstLine="0"/>
        <w:rPr>
          <w:sz w:val="22"/>
          <w:lang w:val="en-US"/>
        </w:rPr>
      </w:pP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  <w:r w:rsidRPr="00BF299A">
        <w:rPr>
          <w:sz w:val="22"/>
          <w:lang w:val="en-GB"/>
        </w:rPr>
        <w:t xml:space="preserve">1. </w:t>
      </w:r>
      <w:proofErr w:type="spellStart"/>
      <w:r w:rsidRPr="00BF299A">
        <w:rPr>
          <w:sz w:val="22"/>
          <w:lang w:val="en-GB"/>
        </w:rPr>
        <w:t>Kupfer</w:t>
      </w:r>
      <w:proofErr w:type="spellEnd"/>
      <w:r w:rsidRPr="00BF299A">
        <w:rPr>
          <w:sz w:val="22"/>
          <w:lang w:val="en-GB"/>
        </w:rPr>
        <w:t xml:space="preserve"> B, </w:t>
      </w:r>
      <w:proofErr w:type="spellStart"/>
      <w:r w:rsidRPr="00BF299A">
        <w:rPr>
          <w:sz w:val="22"/>
          <w:lang w:val="en-GB"/>
        </w:rPr>
        <w:t>Vehreschild</w:t>
      </w:r>
      <w:proofErr w:type="spellEnd"/>
      <w:r w:rsidRPr="00BF299A">
        <w:rPr>
          <w:sz w:val="22"/>
          <w:lang w:val="en-GB"/>
        </w:rPr>
        <w:t xml:space="preserve"> J, </w:t>
      </w:r>
      <w:proofErr w:type="spellStart"/>
      <w:r w:rsidRPr="00BF299A">
        <w:rPr>
          <w:sz w:val="22"/>
          <w:lang w:val="en-GB"/>
        </w:rPr>
        <w:t>Cornely</w:t>
      </w:r>
      <w:proofErr w:type="spellEnd"/>
      <w:r w:rsidRPr="00BF299A">
        <w:rPr>
          <w:sz w:val="22"/>
          <w:lang w:val="en-GB"/>
        </w:rPr>
        <w:t xml:space="preserve"> O, Kaiser R, Plum G et al (2006). </w:t>
      </w:r>
      <w:proofErr w:type="gramStart"/>
      <w:r w:rsidRPr="00BF299A">
        <w:rPr>
          <w:sz w:val="22"/>
          <w:lang w:val="en-US"/>
        </w:rPr>
        <w:t xml:space="preserve">Leishmaniasis in Ancient Egypt and Upper </w:t>
      </w:r>
      <w:proofErr w:type="spellStart"/>
      <w:r w:rsidRPr="00BF299A">
        <w:rPr>
          <w:sz w:val="22"/>
          <w:lang w:val="en-US"/>
        </w:rPr>
        <w:t>Nubia</w:t>
      </w:r>
      <w:proofErr w:type="spellEnd"/>
      <w:r w:rsidRPr="00BF299A">
        <w:rPr>
          <w:i/>
          <w:iCs/>
          <w:sz w:val="22"/>
          <w:lang w:val="en-US"/>
        </w:rPr>
        <w:t>.</w:t>
      </w:r>
      <w:proofErr w:type="gramEnd"/>
      <w:r w:rsidRPr="00BF299A">
        <w:rPr>
          <w:i/>
          <w:iCs/>
          <w:sz w:val="22"/>
          <w:lang w:val="en-US"/>
        </w:rPr>
        <w:t xml:space="preserve"> </w:t>
      </w:r>
      <w:proofErr w:type="spellStart"/>
      <w:r w:rsidRPr="00BF299A">
        <w:rPr>
          <w:sz w:val="22"/>
          <w:lang w:val="en-US"/>
        </w:rPr>
        <w:t>Emerg</w:t>
      </w:r>
      <w:proofErr w:type="spellEnd"/>
      <w:r w:rsidRPr="00BF299A">
        <w:rPr>
          <w:sz w:val="22"/>
          <w:lang w:val="en-US"/>
        </w:rPr>
        <w:t xml:space="preserve"> Infect </w:t>
      </w:r>
      <w:proofErr w:type="spellStart"/>
      <w:r w:rsidRPr="00BF299A">
        <w:rPr>
          <w:sz w:val="22"/>
          <w:lang w:val="en-US"/>
        </w:rPr>
        <w:t>Dis</w:t>
      </w:r>
      <w:proofErr w:type="spellEnd"/>
      <w:r w:rsidRPr="00BF299A">
        <w:rPr>
          <w:sz w:val="22"/>
          <w:lang w:val="en-US"/>
        </w:rPr>
        <w:t xml:space="preserve"> 12(10):1616.</w:t>
      </w: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  <w:r w:rsidRPr="00BF299A">
        <w:rPr>
          <w:sz w:val="22"/>
          <w:lang w:val="en-US"/>
        </w:rPr>
        <w:t xml:space="preserve">2. </w:t>
      </w:r>
      <w:hyperlink r:id="rId11" w:tgtFrame="_parent" w:history="1">
        <w:proofErr w:type="spellStart"/>
        <w:r w:rsidRPr="00BF299A">
          <w:rPr>
            <w:rStyle w:val="Hyperlink"/>
            <w:color w:val="auto"/>
            <w:sz w:val="22"/>
            <w:u w:val="none"/>
            <w:lang w:val="en-US"/>
          </w:rPr>
          <w:t>Morsy</w:t>
        </w:r>
        <w:proofErr w:type="spellEnd"/>
        <w:r w:rsidRPr="00BF299A">
          <w:rPr>
            <w:rStyle w:val="Hyperlink"/>
            <w:color w:val="auto"/>
            <w:sz w:val="22"/>
            <w:u w:val="none"/>
            <w:lang w:val="en-US"/>
          </w:rPr>
          <w:t xml:space="preserve"> TA</w:t>
        </w:r>
      </w:hyperlink>
      <w:r w:rsidRPr="00BF299A">
        <w:rPr>
          <w:sz w:val="22"/>
          <w:lang w:val="en-US"/>
        </w:rPr>
        <w:t xml:space="preserve"> (1997). </w:t>
      </w:r>
      <w:proofErr w:type="gramStart"/>
      <w:r w:rsidRPr="00BF299A">
        <w:rPr>
          <w:sz w:val="22"/>
          <w:lang w:val="en-US"/>
        </w:rPr>
        <w:t>Visceral leishmaniasis with special reference to Egypt (review and comment).</w:t>
      </w:r>
      <w:proofErr w:type="gramEnd"/>
      <w:r w:rsidRPr="00BF299A">
        <w:rPr>
          <w:sz w:val="22"/>
          <w:lang w:val="en-US"/>
        </w:rPr>
        <w:t xml:space="preserve"> J Egypt Soc </w:t>
      </w:r>
      <w:proofErr w:type="spellStart"/>
      <w:r w:rsidRPr="00BF299A">
        <w:rPr>
          <w:sz w:val="22"/>
          <w:lang w:val="en-US"/>
        </w:rPr>
        <w:t>Parasitol</w:t>
      </w:r>
      <w:proofErr w:type="spellEnd"/>
      <w:r w:rsidRPr="00BF299A">
        <w:rPr>
          <w:sz w:val="22"/>
          <w:lang w:val="en-US"/>
        </w:rPr>
        <w:t xml:space="preserve"> 27(2):373-96.</w:t>
      </w: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  <w:r w:rsidRPr="00BF299A">
        <w:rPr>
          <w:sz w:val="22"/>
          <w:lang w:val="en-US"/>
        </w:rPr>
        <w:t xml:space="preserve">3. WHO, Report of the consultative meeting on cutaneous </w:t>
      </w:r>
      <w:proofErr w:type="gramStart"/>
      <w:r w:rsidRPr="00BF299A">
        <w:rPr>
          <w:sz w:val="22"/>
          <w:lang w:val="en-US"/>
        </w:rPr>
        <w:t>leishmaniasis.</w:t>
      </w:r>
      <w:proofErr w:type="gramEnd"/>
      <w:r w:rsidRPr="00BF299A">
        <w:rPr>
          <w:sz w:val="22"/>
          <w:lang w:val="en-US"/>
        </w:rPr>
        <w:t xml:space="preserve"> </w:t>
      </w:r>
      <w:proofErr w:type="gramStart"/>
      <w:r w:rsidRPr="00BF299A">
        <w:rPr>
          <w:sz w:val="22"/>
          <w:lang w:val="en-US"/>
        </w:rPr>
        <w:t>30 April–2 May 2007; Geneva, World Health Organization, Geneva (2008) WHO/HTM/NTD/IDM/2008.7.</w:t>
      </w:r>
      <w:proofErr w:type="gramEnd"/>
      <w:r w:rsidRPr="00BF299A">
        <w:rPr>
          <w:sz w:val="22"/>
          <w:lang w:val="en-US"/>
        </w:rPr>
        <w:t xml:space="preserve"> </w:t>
      </w:r>
    </w:p>
    <w:p w:rsidR="00BF299A" w:rsidRPr="00BF299A" w:rsidRDefault="00BF299A" w:rsidP="00BF299A">
      <w:pPr>
        <w:ind w:left="0" w:firstLine="0"/>
        <w:rPr>
          <w:sz w:val="22"/>
          <w:lang w:val="en-GB"/>
        </w:rPr>
      </w:pP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  <w:r w:rsidRPr="00BF299A">
        <w:rPr>
          <w:sz w:val="22"/>
          <w:lang w:val="en-US"/>
        </w:rPr>
        <w:t xml:space="preserve">4. </w:t>
      </w:r>
      <w:hyperlink r:id="rId12" w:tgtFrame="_parent" w:history="1">
        <w:proofErr w:type="spellStart"/>
        <w:r w:rsidRPr="00BF299A">
          <w:rPr>
            <w:rStyle w:val="Hyperlink"/>
            <w:color w:val="auto"/>
            <w:sz w:val="22"/>
            <w:u w:val="none"/>
            <w:lang w:val="en-US"/>
          </w:rPr>
          <w:t>Postigo</w:t>
        </w:r>
        <w:proofErr w:type="spellEnd"/>
        <w:r w:rsidRPr="00BF299A">
          <w:rPr>
            <w:rStyle w:val="Hyperlink"/>
            <w:color w:val="auto"/>
            <w:sz w:val="22"/>
            <w:u w:val="none"/>
            <w:lang w:val="en-US"/>
          </w:rPr>
          <w:t xml:space="preserve"> JA</w:t>
        </w:r>
      </w:hyperlink>
      <w:r w:rsidRPr="00BF299A">
        <w:rPr>
          <w:sz w:val="22"/>
          <w:lang w:val="en-US"/>
        </w:rPr>
        <w:t xml:space="preserve"> (2010). </w:t>
      </w:r>
      <w:proofErr w:type="gramStart"/>
      <w:r w:rsidRPr="00BF299A">
        <w:rPr>
          <w:sz w:val="22"/>
          <w:lang w:val="en-US"/>
        </w:rPr>
        <w:t>Leishmaniasis in the World Health Organization Eastern Mediterranean Region.</w:t>
      </w:r>
      <w:proofErr w:type="gramEnd"/>
      <w:r w:rsidRPr="00BF299A">
        <w:rPr>
          <w:sz w:val="22"/>
          <w:lang w:val="en-US"/>
        </w:rPr>
        <w:t xml:space="preserve"> </w:t>
      </w:r>
      <w:proofErr w:type="spellStart"/>
      <w:r w:rsidRPr="00BF299A">
        <w:rPr>
          <w:sz w:val="22"/>
          <w:lang w:val="en-US"/>
        </w:rPr>
        <w:t>Int</w:t>
      </w:r>
      <w:proofErr w:type="spellEnd"/>
      <w:r w:rsidRPr="00BF299A">
        <w:rPr>
          <w:sz w:val="22"/>
          <w:lang w:val="en-US"/>
        </w:rPr>
        <w:t xml:space="preserve"> J </w:t>
      </w:r>
      <w:proofErr w:type="spellStart"/>
      <w:r w:rsidRPr="00BF299A">
        <w:rPr>
          <w:sz w:val="22"/>
          <w:lang w:val="en-US"/>
        </w:rPr>
        <w:t>Antimicrob</w:t>
      </w:r>
      <w:proofErr w:type="spellEnd"/>
      <w:r w:rsidRPr="00BF299A">
        <w:rPr>
          <w:sz w:val="22"/>
          <w:lang w:val="en-US"/>
        </w:rPr>
        <w:t xml:space="preserve"> Agents 36 </w:t>
      </w:r>
      <w:proofErr w:type="spellStart"/>
      <w:r w:rsidRPr="00BF299A">
        <w:rPr>
          <w:sz w:val="22"/>
          <w:lang w:val="en-US"/>
        </w:rPr>
        <w:t>Suppl</w:t>
      </w:r>
      <w:proofErr w:type="spellEnd"/>
      <w:r w:rsidRPr="00BF299A">
        <w:rPr>
          <w:sz w:val="22"/>
          <w:lang w:val="en-US"/>
        </w:rPr>
        <w:t xml:space="preserve"> 1:S62-5.  </w:t>
      </w: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  <w:r w:rsidRPr="00BF299A">
        <w:rPr>
          <w:sz w:val="22"/>
          <w:lang w:val="en-US"/>
        </w:rPr>
        <w:t xml:space="preserve">5. </w:t>
      </w:r>
      <w:proofErr w:type="spellStart"/>
      <w:r w:rsidRPr="00BF299A">
        <w:rPr>
          <w:sz w:val="22"/>
          <w:lang w:val="en-US"/>
        </w:rPr>
        <w:t>Shehata</w:t>
      </w:r>
      <w:proofErr w:type="spellEnd"/>
      <w:r w:rsidRPr="00BF299A">
        <w:rPr>
          <w:sz w:val="22"/>
          <w:lang w:val="en-US"/>
        </w:rPr>
        <w:t xml:space="preserve"> MG, </w:t>
      </w:r>
      <w:proofErr w:type="spellStart"/>
      <w:r w:rsidRPr="00BF299A">
        <w:rPr>
          <w:sz w:val="22"/>
          <w:lang w:val="en-US"/>
        </w:rPr>
        <w:t>Samy</w:t>
      </w:r>
      <w:proofErr w:type="spellEnd"/>
      <w:r w:rsidRPr="00BF299A">
        <w:rPr>
          <w:sz w:val="22"/>
          <w:lang w:val="en-US"/>
        </w:rPr>
        <w:t xml:space="preserve"> AM, Doha SA, </w:t>
      </w:r>
      <w:proofErr w:type="spellStart"/>
      <w:r w:rsidRPr="00BF299A">
        <w:rPr>
          <w:sz w:val="22"/>
          <w:lang w:val="en-US"/>
        </w:rPr>
        <w:t>Fahmy</w:t>
      </w:r>
      <w:proofErr w:type="spellEnd"/>
      <w:r w:rsidRPr="00BF299A">
        <w:rPr>
          <w:sz w:val="22"/>
          <w:lang w:val="en-US"/>
        </w:rPr>
        <w:t xml:space="preserve"> AR, </w:t>
      </w:r>
      <w:proofErr w:type="spellStart"/>
      <w:r w:rsidRPr="00BF299A">
        <w:rPr>
          <w:sz w:val="22"/>
          <w:lang w:val="en-US"/>
        </w:rPr>
        <w:t>Kaldas</w:t>
      </w:r>
      <w:proofErr w:type="spellEnd"/>
      <w:r w:rsidRPr="00BF299A">
        <w:rPr>
          <w:sz w:val="22"/>
          <w:lang w:val="en-US"/>
        </w:rPr>
        <w:t xml:space="preserve"> RM et al (2009). </w:t>
      </w:r>
      <w:r w:rsidRPr="00BF299A">
        <w:rPr>
          <w:bCs/>
          <w:sz w:val="22"/>
          <w:lang w:val="en-US"/>
        </w:rPr>
        <w:t>First Report of Leishmania tropica from a Classical Focus of L. major in North-Sinai, Egypt</w:t>
      </w:r>
      <w:r w:rsidRPr="00BF299A">
        <w:rPr>
          <w:b/>
          <w:bCs/>
          <w:sz w:val="22"/>
          <w:lang w:val="en-US"/>
        </w:rPr>
        <w:t xml:space="preserve"> </w:t>
      </w:r>
      <w:r w:rsidRPr="00BF299A">
        <w:rPr>
          <w:sz w:val="22"/>
          <w:lang w:val="en-US"/>
        </w:rPr>
        <w:t xml:space="preserve">Am J </w:t>
      </w:r>
      <w:proofErr w:type="spellStart"/>
      <w:r w:rsidRPr="00BF299A">
        <w:rPr>
          <w:sz w:val="22"/>
          <w:lang w:val="en-US"/>
        </w:rPr>
        <w:t>Trop</w:t>
      </w:r>
      <w:proofErr w:type="spellEnd"/>
      <w:r w:rsidRPr="00BF299A">
        <w:rPr>
          <w:sz w:val="22"/>
          <w:lang w:val="en-US"/>
        </w:rPr>
        <w:t xml:space="preserve"> Med </w:t>
      </w:r>
      <w:proofErr w:type="spellStart"/>
      <w:r w:rsidRPr="00BF299A">
        <w:rPr>
          <w:sz w:val="22"/>
          <w:lang w:val="en-US"/>
        </w:rPr>
        <w:t>Hyg</w:t>
      </w:r>
      <w:proofErr w:type="spellEnd"/>
      <w:r w:rsidRPr="00BF299A">
        <w:rPr>
          <w:sz w:val="22"/>
          <w:lang w:val="en-US"/>
        </w:rPr>
        <w:t xml:space="preserve"> 81(2): 213 - 218.</w:t>
      </w: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</w:p>
    <w:p w:rsidR="00BF299A" w:rsidRPr="00BF299A" w:rsidRDefault="00BF299A" w:rsidP="00BF299A">
      <w:pPr>
        <w:ind w:left="0" w:firstLine="0"/>
        <w:rPr>
          <w:sz w:val="22"/>
          <w:lang w:val="en-GB"/>
        </w:rPr>
      </w:pPr>
    </w:p>
    <w:p w:rsidR="00BF299A" w:rsidRPr="00BF299A" w:rsidRDefault="00BF299A" w:rsidP="00BF299A">
      <w:pPr>
        <w:ind w:left="0" w:firstLine="0"/>
        <w:rPr>
          <w:sz w:val="22"/>
          <w:lang w:val="en-US"/>
        </w:rPr>
      </w:pPr>
    </w:p>
    <w:p w:rsidR="00BF299A" w:rsidRPr="002C75B8" w:rsidRDefault="00BF299A" w:rsidP="00BF299A">
      <w:pPr>
        <w:pStyle w:val="rprtbody1"/>
        <w:shd w:val="clear" w:color="auto" w:fill="FFFFFF"/>
        <w:spacing w:before="0" w:after="0"/>
        <w:rPr>
          <w:rFonts w:ascii="Arial" w:hAnsi="Arial" w:cs="Arial"/>
          <w:sz w:val="22"/>
          <w:szCs w:val="22"/>
          <w:lang w:val="en-GB"/>
        </w:rPr>
      </w:pPr>
    </w:p>
    <w:p w:rsidR="00BF299A" w:rsidRPr="00B37375" w:rsidRDefault="00BF299A" w:rsidP="00BF299A">
      <w:pPr>
        <w:ind w:left="0" w:firstLine="0"/>
        <w:rPr>
          <w:bCs/>
          <w:sz w:val="22"/>
          <w:lang w:val="en-US"/>
        </w:rPr>
      </w:pPr>
    </w:p>
    <w:p w:rsidR="002F7C1A" w:rsidRDefault="002F7C1A" w:rsidP="00BF299A"/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CE9"/>
    <w:multiLevelType w:val="hybridMultilevel"/>
    <w:tmpl w:val="69EC07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299A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4F98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BF299A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9A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styleId="Hyperlink">
    <w:name w:val="Hyperlink"/>
    <w:basedOn w:val="DefaultParagraphFont"/>
    <w:unhideWhenUsed/>
    <w:rsid w:val="00BF299A"/>
    <w:rPr>
      <w:color w:val="0000FF"/>
      <w:u w:val="single"/>
    </w:rPr>
  </w:style>
  <w:style w:type="paragraph" w:customStyle="1" w:styleId="rprtbody1">
    <w:name w:val="rprtbody1"/>
    <w:basedOn w:val="Normal"/>
    <w:rsid w:val="00BF299A"/>
    <w:pPr>
      <w:spacing w:before="34" w:after="34"/>
      <w:ind w:left="0" w:firstLine="0"/>
      <w:jc w:val="left"/>
    </w:pPr>
    <w:rPr>
      <w:rFonts w:ascii="Times New Roman" w:hAnsi="Times New Roman" w:cs="Times New Roman"/>
      <w:sz w:val="28"/>
      <w:szCs w:val="28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9A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ncbi.nlm.nih.gov/pubmed?term=%22Postigo%20JA%22%5BAuthor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cbi.nlm.nih.gov/pubmed?term=%22Morsy%20TA%22%5BAuthor%5D" TargetMode="External"/><Relationship Id="rId5" Type="http://schemas.openxmlformats.org/officeDocument/2006/relationships/image" Target="media/image1.jpe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906077348066299"/>
          <c:y val="7.1428571428571425E-2"/>
          <c:w val="0.7817679558011047"/>
          <c:h val="0.648351648351648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Cl cases</c:v>
                </c:pt>
              </c:strCache>
            </c:strRef>
          </c:tx>
          <c:spPr>
            <a:solidFill>
              <a:srgbClr val="3366FF"/>
            </a:solidFill>
            <a:ln w="12693">
              <a:solidFill>
                <a:srgbClr val="000000"/>
              </a:solidFill>
              <a:prstDash val="solid"/>
            </a:ln>
          </c:spPr>
          <c:cat>
            <c:numRef>
              <c:f>Sheet1!$B$1:$G$1</c:f>
              <c:numCache>
                <c:formatCode>General</c:formatCode>
                <c:ptCount val="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229</c:v>
                </c:pt>
                <c:pt idx="1">
                  <c:v>178</c:v>
                </c:pt>
                <c:pt idx="2">
                  <c:v>287</c:v>
                </c:pt>
                <c:pt idx="3">
                  <c:v>467</c:v>
                </c:pt>
                <c:pt idx="4">
                  <c:v>174</c:v>
                </c:pt>
                <c:pt idx="5">
                  <c:v>318</c:v>
                </c:pt>
              </c:numCache>
            </c:numRef>
          </c:val>
        </c:ser>
        <c:gapDepth val="0"/>
        <c:shape val="box"/>
        <c:axId val="285525888"/>
        <c:axId val="524669696"/>
        <c:axId val="0"/>
      </c:bar3DChart>
      <c:catAx>
        <c:axId val="285525888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4669696"/>
        <c:crosses val="autoZero"/>
        <c:auto val="1"/>
        <c:lblAlgn val="ctr"/>
        <c:lblOffset val="100"/>
        <c:tickLblSkip val="1"/>
        <c:tickMarkSkip val="1"/>
      </c:catAx>
      <c:valAx>
        <c:axId val="524669696"/>
        <c:scaling>
          <c:orientation val="minMax"/>
        </c:scaling>
        <c:axPos val="l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855258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5386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2012-04-01T20:31:00Z</dcterms:created>
  <dcterms:modified xsi:type="dcterms:W3CDTF">2012-04-01T20:33:00Z</dcterms:modified>
</cp:coreProperties>
</file>