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7" w:rsidRPr="00A03B02" w:rsidRDefault="000F0C67" w:rsidP="000F0C67">
      <w:pPr>
        <w:spacing w:line="480" w:lineRule="auto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A03B02">
            <w:rPr>
              <w:b/>
              <w:sz w:val="22"/>
              <w:u w:val="single"/>
              <w:lang w:val="en-US"/>
            </w:rPr>
            <w:t>DOMINICAN REPUBLIC</w:t>
          </w:r>
        </w:smartTag>
      </w:smartTag>
    </w:p>
    <w:p w:rsidR="000F0C67" w:rsidRPr="00A03B02" w:rsidRDefault="000F0C67" w:rsidP="000F0C67">
      <w:pPr>
        <w:spacing w:line="480" w:lineRule="auto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017520" cy="2022475"/>
            <wp:effectExtent l="19050" t="0" r="0" b="0"/>
            <wp:docPr id="1" name="Picture 37" descr="DO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O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67" w:rsidRPr="00A03B02" w:rsidRDefault="000F0C67" w:rsidP="000F0C67">
      <w:pPr>
        <w:spacing w:line="480" w:lineRule="auto"/>
        <w:rPr>
          <w:b/>
          <w:sz w:val="22"/>
          <w:lang w:val="en-US"/>
        </w:rPr>
      </w:pPr>
      <w:r w:rsidRPr="00A03B02">
        <w:rPr>
          <w:b/>
          <w:sz w:val="22"/>
          <w:lang w:val="en-US"/>
        </w:rPr>
        <w:t>BASIC COUNTRY DATA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Total Population: 9</w:t>
      </w:r>
      <w:r>
        <w:rPr>
          <w:sz w:val="22"/>
          <w:lang w:val="en-US"/>
        </w:rPr>
        <w:t>,927,320</w:t>
      </w:r>
      <w:r w:rsidRPr="00A03B02">
        <w:rPr>
          <w:sz w:val="22"/>
          <w:lang w:val="en-US"/>
        </w:rPr>
        <w:t xml:space="preserve"> 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Population 0-14 years: 3</w:t>
      </w:r>
      <w:r>
        <w:rPr>
          <w:sz w:val="22"/>
          <w:lang w:val="en-US"/>
        </w:rPr>
        <w:t>1</w:t>
      </w:r>
      <w:r w:rsidRPr="00A03B02">
        <w:rPr>
          <w:sz w:val="22"/>
          <w:lang w:val="en-US"/>
        </w:rPr>
        <w:t xml:space="preserve">% 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Rural population: 3</w:t>
      </w:r>
      <w:r>
        <w:rPr>
          <w:sz w:val="22"/>
          <w:lang w:val="en-US"/>
        </w:rPr>
        <w:t>0</w:t>
      </w:r>
      <w:r w:rsidRPr="00A03B02">
        <w:rPr>
          <w:sz w:val="22"/>
          <w:lang w:val="en-US"/>
        </w:rPr>
        <w:t xml:space="preserve">% 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A03B02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4.3</w:t>
      </w:r>
      <w:r w:rsidRPr="00A03B02">
        <w:rPr>
          <w:sz w:val="22"/>
          <w:lang w:val="en-US"/>
        </w:rPr>
        <w:t xml:space="preserve">% 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50.5</w:t>
      </w:r>
      <w:r w:rsidRPr="00A03B02">
        <w:rPr>
          <w:sz w:val="22"/>
          <w:lang w:val="en-US"/>
        </w:rPr>
        <w:t>%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 xml:space="preserve">Income status: Upper middle income economy 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Ranking:</w:t>
      </w:r>
      <w:r>
        <w:rPr>
          <w:iCs/>
          <w:color w:val="003399"/>
          <w:sz w:val="22"/>
          <w:lang w:val="en-US" w:eastAsia="es-CO"/>
        </w:rPr>
        <w:t xml:space="preserve"> </w:t>
      </w:r>
      <w:r>
        <w:rPr>
          <w:bCs/>
          <w:sz w:val="22"/>
          <w:lang w:val="en-US"/>
        </w:rPr>
        <w:t>Medium</w:t>
      </w:r>
      <w:r w:rsidRPr="00A03B02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h</w:t>
      </w:r>
      <w:r w:rsidRPr="00A03B02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A03B02">
        <w:rPr>
          <w:bCs/>
          <w:sz w:val="22"/>
          <w:lang w:val="en-US"/>
        </w:rPr>
        <w:t xml:space="preserve">evelopment (ranking </w:t>
      </w:r>
      <w:r>
        <w:rPr>
          <w:bCs/>
          <w:sz w:val="22"/>
          <w:lang w:val="en-US"/>
        </w:rPr>
        <w:t>98</w:t>
      </w:r>
      <w:r w:rsidRPr="00A03B02">
        <w:rPr>
          <w:bCs/>
          <w:sz w:val="22"/>
          <w:lang w:val="en-US"/>
        </w:rPr>
        <w:t>)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Per capita total expenditure on health at average exchange rate (US dollar): 2</w:t>
      </w:r>
      <w:r>
        <w:rPr>
          <w:sz w:val="22"/>
          <w:lang w:val="en-US"/>
        </w:rPr>
        <w:t>71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3</w:t>
      </w:r>
    </w:p>
    <w:p w:rsidR="000F0C67" w:rsidRPr="00A03B02" w:rsidRDefault="000F0C67" w:rsidP="000F0C67">
      <w:pPr>
        <w:rPr>
          <w:sz w:val="22"/>
          <w:lang w:val="en-US"/>
        </w:rPr>
      </w:pPr>
      <w:r w:rsidRPr="00A03B02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A03B02">
        <w:rPr>
          <w:sz w:val="22"/>
          <w:lang w:val="en-US"/>
        </w:rPr>
        <w:t xml:space="preserve"> life expectancy at birth (years): 60 </w:t>
      </w:r>
    </w:p>
    <w:p w:rsidR="000F0C67" w:rsidRDefault="000F0C67" w:rsidP="000F0C67">
      <w:pPr>
        <w:spacing w:line="276" w:lineRule="auto"/>
        <w:rPr>
          <w:sz w:val="22"/>
          <w:lang w:val="en-US"/>
        </w:rPr>
      </w:pPr>
    </w:p>
    <w:p w:rsidR="000F0C67" w:rsidRPr="00A03B02" w:rsidRDefault="000F0C67" w:rsidP="000F0C67">
      <w:pPr>
        <w:spacing w:line="276" w:lineRule="auto"/>
        <w:rPr>
          <w:sz w:val="22"/>
          <w:lang w:val="en-US"/>
        </w:rPr>
      </w:pPr>
    </w:p>
    <w:p w:rsidR="000F0C67" w:rsidRPr="00A03B02" w:rsidRDefault="000F0C67" w:rsidP="000F0C67">
      <w:pPr>
        <w:spacing w:line="480" w:lineRule="auto"/>
        <w:rPr>
          <w:sz w:val="22"/>
          <w:lang w:val="en-GB"/>
        </w:rPr>
      </w:pPr>
      <w:r w:rsidRPr="00A03B02">
        <w:rPr>
          <w:b/>
          <w:sz w:val="22"/>
          <w:lang w:val="en-US"/>
        </w:rPr>
        <w:t xml:space="preserve">BACKGROUND INFORMATION </w:t>
      </w:r>
    </w:p>
    <w:p w:rsidR="000F0C67" w:rsidRPr="00A03B02" w:rsidRDefault="000F0C67" w:rsidP="000F0C67">
      <w:pPr>
        <w:ind w:left="0" w:firstLine="0"/>
        <w:rPr>
          <w:sz w:val="22"/>
          <w:lang w:val="en-US"/>
        </w:rPr>
      </w:pPr>
      <w:r w:rsidRPr="00A03B02">
        <w:rPr>
          <w:sz w:val="22"/>
          <w:lang w:val="en-US"/>
        </w:rPr>
        <w:t xml:space="preserve">Since 1975, human cases of diffuse CL have been reported from the provinces of El </w:t>
      </w:r>
      <w:proofErr w:type="spellStart"/>
      <w:r w:rsidRPr="00A03B02">
        <w:rPr>
          <w:sz w:val="22"/>
          <w:lang w:val="en-US"/>
        </w:rPr>
        <w:t>Seibo</w:t>
      </w:r>
      <w:proofErr w:type="spellEnd"/>
      <w:r w:rsidRPr="00A03B02">
        <w:rPr>
          <w:sz w:val="22"/>
          <w:lang w:val="en-US"/>
        </w:rPr>
        <w:t xml:space="preserve">, La </w:t>
      </w:r>
      <w:proofErr w:type="spellStart"/>
      <w:r w:rsidRPr="00A03B02">
        <w:rPr>
          <w:sz w:val="22"/>
          <w:lang w:val="en-US"/>
        </w:rPr>
        <w:t>Altagracia</w:t>
      </w:r>
      <w:proofErr w:type="spellEnd"/>
      <w:r w:rsidRPr="00A03B02">
        <w:rPr>
          <w:sz w:val="22"/>
          <w:lang w:val="en-US"/>
        </w:rPr>
        <w:t xml:space="preserve"> and </w:t>
      </w:r>
      <w:proofErr w:type="spellStart"/>
      <w:r w:rsidRPr="00A03B02">
        <w:rPr>
          <w:sz w:val="22"/>
          <w:lang w:val="en-US"/>
        </w:rPr>
        <w:t>Sánchez</w:t>
      </w:r>
      <w:proofErr w:type="spellEnd"/>
      <w:r w:rsidRPr="00A03B02">
        <w:rPr>
          <w:sz w:val="22"/>
          <w:lang w:val="en-US"/>
        </w:rPr>
        <w:t xml:space="preserve"> </w:t>
      </w:r>
      <w:proofErr w:type="spellStart"/>
      <w:r w:rsidRPr="00A03B02">
        <w:rPr>
          <w:sz w:val="22"/>
          <w:lang w:val="en-US"/>
        </w:rPr>
        <w:t>Ramírez</w:t>
      </w:r>
      <w:proofErr w:type="spellEnd"/>
      <w:r w:rsidRPr="00A03B02">
        <w:rPr>
          <w:sz w:val="22"/>
          <w:lang w:val="en-US"/>
        </w:rPr>
        <w:t xml:space="preserve"> in the northeastern part of the country</w:t>
      </w:r>
      <w:r>
        <w:rPr>
          <w:sz w:val="22"/>
          <w:lang w:val="en-US"/>
        </w:rPr>
        <w:t xml:space="preserve"> [1]</w:t>
      </w:r>
      <w:r w:rsidRPr="00A03B02">
        <w:rPr>
          <w:sz w:val="22"/>
          <w:lang w:val="en-US"/>
        </w:rPr>
        <w:t xml:space="preserve">. Subclinical forms are frequent. In 1982, one of the DCL cases </w:t>
      </w:r>
      <w:r>
        <w:rPr>
          <w:sz w:val="22"/>
          <w:lang w:val="en-US"/>
        </w:rPr>
        <w:t xml:space="preserve">also </w:t>
      </w:r>
      <w:r w:rsidRPr="00A03B02">
        <w:rPr>
          <w:sz w:val="22"/>
          <w:lang w:val="en-US"/>
        </w:rPr>
        <w:t xml:space="preserve">presented a mucosal involvement. </w:t>
      </w:r>
      <w:proofErr w:type="gramStart"/>
      <w:r w:rsidRPr="00A03B02">
        <w:rPr>
          <w:i/>
          <w:iCs/>
          <w:sz w:val="22"/>
          <w:lang w:val="en-US"/>
        </w:rPr>
        <w:t>Lu.</w:t>
      </w:r>
      <w:proofErr w:type="gramEnd"/>
      <w:r w:rsidRPr="00A03B02">
        <w:rPr>
          <w:i/>
          <w:iCs/>
          <w:sz w:val="22"/>
          <w:lang w:val="en-US"/>
        </w:rPr>
        <w:t xml:space="preserve"> </w:t>
      </w:r>
      <w:proofErr w:type="spellStart"/>
      <w:proofErr w:type="gramStart"/>
      <w:r w:rsidRPr="00A03B02">
        <w:rPr>
          <w:i/>
          <w:iCs/>
          <w:sz w:val="22"/>
          <w:lang w:val="en-US"/>
        </w:rPr>
        <w:t>christophei</w:t>
      </w:r>
      <w:proofErr w:type="spellEnd"/>
      <w:proofErr w:type="gramEnd"/>
      <w:r w:rsidRPr="00A03B02">
        <w:rPr>
          <w:i/>
          <w:iCs/>
          <w:sz w:val="22"/>
          <w:lang w:val="en-US"/>
        </w:rPr>
        <w:t xml:space="preserve"> </w:t>
      </w:r>
      <w:r w:rsidRPr="00A03B02">
        <w:rPr>
          <w:sz w:val="22"/>
          <w:lang w:val="en-US"/>
        </w:rPr>
        <w:t xml:space="preserve">and </w:t>
      </w:r>
      <w:r w:rsidRPr="00A03B02">
        <w:rPr>
          <w:i/>
          <w:iCs/>
          <w:sz w:val="22"/>
          <w:lang w:val="en-US"/>
        </w:rPr>
        <w:t xml:space="preserve">Lu. </w:t>
      </w:r>
      <w:proofErr w:type="spellStart"/>
      <w:proofErr w:type="gramStart"/>
      <w:r w:rsidRPr="00A03B02">
        <w:rPr>
          <w:i/>
          <w:iCs/>
          <w:sz w:val="22"/>
          <w:lang w:val="en-US"/>
        </w:rPr>
        <w:t>cayennensis</w:t>
      </w:r>
      <w:proofErr w:type="spellEnd"/>
      <w:proofErr w:type="gramEnd"/>
      <w:r w:rsidRPr="00A03B02">
        <w:rPr>
          <w:i/>
          <w:iCs/>
          <w:sz w:val="22"/>
          <w:lang w:val="en-US"/>
        </w:rPr>
        <w:t xml:space="preserve"> </w:t>
      </w:r>
      <w:proofErr w:type="spellStart"/>
      <w:r w:rsidRPr="00A03B02">
        <w:rPr>
          <w:i/>
          <w:iCs/>
          <w:sz w:val="22"/>
          <w:lang w:val="en-US"/>
        </w:rPr>
        <w:t>hispaniola</w:t>
      </w:r>
      <w:proofErr w:type="spellEnd"/>
      <w:r w:rsidRPr="00A03B02">
        <w:rPr>
          <w:sz w:val="22"/>
          <w:lang w:val="en-US"/>
        </w:rPr>
        <w:t xml:space="preserve"> are present. </w:t>
      </w:r>
      <w:proofErr w:type="gramStart"/>
      <w:r w:rsidRPr="00A03B02">
        <w:rPr>
          <w:i/>
          <w:iCs/>
          <w:sz w:val="22"/>
          <w:lang w:val="en-US"/>
        </w:rPr>
        <w:t>Lu.</w:t>
      </w:r>
      <w:proofErr w:type="gramEnd"/>
      <w:r w:rsidRPr="00A03B02">
        <w:rPr>
          <w:i/>
          <w:iCs/>
          <w:sz w:val="22"/>
          <w:lang w:val="en-US"/>
        </w:rPr>
        <w:t xml:space="preserve"> </w:t>
      </w:r>
      <w:proofErr w:type="spellStart"/>
      <w:proofErr w:type="gramStart"/>
      <w:r w:rsidRPr="00A03B02">
        <w:rPr>
          <w:i/>
          <w:iCs/>
          <w:sz w:val="22"/>
          <w:lang w:val="en-US"/>
        </w:rPr>
        <w:t>christophei</w:t>
      </w:r>
      <w:proofErr w:type="spellEnd"/>
      <w:proofErr w:type="gramEnd"/>
      <w:r w:rsidRPr="00A03B02">
        <w:rPr>
          <w:sz w:val="22"/>
          <w:lang w:val="en-US"/>
        </w:rPr>
        <w:t xml:space="preserve"> is highly suspected to be the vector. Suspected reservoirs include the black rat (</w:t>
      </w:r>
      <w:proofErr w:type="spellStart"/>
      <w:r w:rsidRPr="00A03B02">
        <w:rPr>
          <w:i/>
          <w:iCs/>
          <w:sz w:val="22"/>
          <w:lang w:val="en-US"/>
        </w:rPr>
        <w:t>Rattus</w:t>
      </w:r>
      <w:proofErr w:type="spellEnd"/>
      <w:r w:rsidRPr="00A03B02">
        <w:rPr>
          <w:i/>
          <w:iCs/>
          <w:sz w:val="22"/>
          <w:lang w:val="en-US"/>
        </w:rPr>
        <w:t xml:space="preserve"> </w:t>
      </w:r>
      <w:proofErr w:type="spellStart"/>
      <w:r w:rsidRPr="00A03B02">
        <w:rPr>
          <w:i/>
          <w:iCs/>
          <w:sz w:val="22"/>
          <w:lang w:val="en-US"/>
        </w:rPr>
        <w:t>rattus</w:t>
      </w:r>
      <w:proofErr w:type="spellEnd"/>
      <w:r w:rsidRPr="00A03B02">
        <w:rPr>
          <w:sz w:val="22"/>
          <w:lang w:val="en-US"/>
        </w:rPr>
        <w:t xml:space="preserve">), a </w:t>
      </w:r>
      <w:proofErr w:type="spellStart"/>
      <w:r w:rsidRPr="00A03B02">
        <w:rPr>
          <w:sz w:val="22"/>
          <w:lang w:val="en-US"/>
        </w:rPr>
        <w:t>capromid</w:t>
      </w:r>
      <w:proofErr w:type="spellEnd"/>
      <w:r w:rsidRPr="00A03B02">
        <w:rPr>
          <w:sz w:val="22"/>
          <w:lang w:val="en-US"/>
        </w:rPr>
        <w:t xml:space="preserve"> rodent (</w:t>
      </w:r>
      <w:proofErr w:type="spellStart"/>
      <w:r w:rsidRPr="00A03B02">
        <w:rPr>
          <w:i/>
          <w:iCs/>
          <w:sz w:val="22"/>
          <w:lang w:val="en-US"/>
        </w:rPr>
        <w:t>Plagiodontia</w:t>
      </w:r>
      <w:proofErr w:type="spellEnd"/>
      <w:r w:rsidRPr="00A03B02">
        <w:rPr>
          <w:i/>
          <w:iCs/>
          <w:sz w:val="22"/>
          <w:lang w:val="en-US"/>
        </w:rPr>
        <w:t xml:space="preserve"> </w:t>
      </w:r>
      <w:proofErr w:type="spellStart"/>
      <w:r w:rsidRPr="00A03B02">
        <w:rPr>
          <w:i/>
          <w:iCs/>
          <w:sz w:val="22"/>
          <w:lang w:val="en-US"/>
        </w:rPr>
        <w:t>aedium</w:t>
      </w:r>
      <w:proofErr w:type="spellEnd"/>
      <w:r w:rsidRPr="00A03B02">
        <w:rPr>
          <w:sz w:val="22"/>
          <w:lang w:val="en-US"/>
        </w:rPr>
        <w:t>) and the mongoose (</w:t>
      </w:r>
      <w:proofErr w:type="spellStart"/>
      <w:r w:rsidRPr="00A03B02">
        <w:rPr>
          <w:i/>
          <w:iCs/>
          <w:sz w:val="22"/>
          <w:lang w:val="en-US"/>
        </w:rPr>
        <w:t>Horpestas</w:t>
      </w:r>
      <w:proofErr w:type="spellEnd"/>
      <w:r w:rsidRPr="00A03B02">
        <w:rPr>
          <w:i/>
          <w:iCs/>
          <w:sz w:val="22"/>
          <w:lang w:val="en-US"/>
        </w:rPr>
        <w:t xml:space="preserve"> </w:t>
      </w:r>
      <w:proofErr w:type="spellStart"/>
      <w:r w:rsidRPr="00A03B02">
        <w:rPr>
          <w:i/>
          <w:iCs/>
          <w:sz w:val="22"/>
          <w:lang w:val="en-US"/>
        </w:rPr>
        <w:t>auropunctatus</w:t>
      </w:r>
      <w:proofErr w:type="spellEnd"/>
      <w:r w:rsidRPr="00A03B02">
        <w:rPr>
          <w:sz w:val="22"/>
          <w:lang w:val="en-US"/>
        </w:rPr>
        <w:t>)</w:t>
      </w:r>
      <w:r>
        <w:rPr>
          <w:sz w:val="22"/>
          <w:lang w:val="en-US"/>
        </w:rPr>
        <w:t xml:space="preserve"> [2]</w:t>
      </w:r>
      <w:r w:rsidRPr="00A03B02">
        <w:rPr>
          <w:sz w:val="22"/>
          <w:lang w:val="en-US"/>
        </w:rPr>
        <w:t xml:space="preserve">. VL is unknown. </w:t>
      </w:r>
    </w:p>
    <w:p w:rsidR="000F0C67" w:rsidRPr="00A03B02" w:rsidRDefault="000F0C67" w:rsidP="000F0C67">
      <w:pPr>
        <w:rPr>
          <w:sz w:val="22"/>
          <w:lang w:val="en-US"/>
        </w:rPr>
      </w:pPr>
    </w:p>
    <w:p w:rsidR="000F0C67" w:rsidRPr="00A03B02" w:rsidRDefault="000F0C67" w:rsidP="000F0C67">
      <w:pPr>
        <w:rPr>
          <w:sz w:val="22"/>
          <w:lang w:val="en-GB"/>
        </w:rPr>
      </w:pPr>
      <w:r w:rsidRPr="00A03B02">
        <w:rPr>
          <w:sz w:val="22"/>
          <w:lang w:val="en-US"/>
        </w:rPr>
        <w:t>No HIV-</w:t>
      </w:r>
      <w:r w:rsidRPr="00A03B02">
        <w:rPr>
          <w:i/>
          <w:iCs/>
          <w:sz w:val="22"/>
          <w:lang w:val="en-US"/>
        </w:rPr>
        <w:t>Leishmania</w:t>
      </w:r>
      <w:r w:rsidRPr="00A03B02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A03B02">
        <w:rPr>
          <w:sz w:val="22"/>
          <w:lang w:val="en-US"/>
        </w:rPr>
        <w:t xml:space="preserve">infection cases have been reported. </w:t>
      </w:r>
    </w:p>
    <w:p w:rsidR="000F0C67" w:rsidRPr="00A03B02" w:rsidRDefault="000F0C67" w:rsidP="000F0C67">
      <w:pPr>
        <w:rPr>
          <w:sz w:val="22"/>
          <w:lang w:val="en-GB"/>
        </w:rPr>
      </w:pPr>
    </w:p>
    <w:p w:rsidR="000F0C67" w:rsidRPr="00A03B02" w:rsidRDefault="000F0C67" w:rsidP="000F0C67">
      <w:pPr>
        <w:rPr>
          <w:sz w:val="22"/>
          <w:lang w:val="en-GB"/>
        </w:rPr>
      </w:pPr>
    </w:p>
    <w:p w:rsidR="000F0C67" w:rsidRPr="00A03B02" w:rsidRDefault="000F0C67" w:rsidP="000F0C67">
      <w:pPr>
        <w:rPr>
          <w:b/>
          <w:bCs/>
          <w:sz w:val="22"/>
        </w:rPr>
      </w:pPr>
      <w:r w:rsidRPr="00A03B02">
        <w:rPr>
          <w:b/>
          <w:bCs/>
          <w:sz w:val="22"/>
        </w:rPr>
        <w:t>PARASITOLOGICAL INFORMATION</w:t>
      </w:r>
    </w:p>
    <w:p w:rsidR="000F0C67" w:rsidRPr="00A03B02" w:rsidRDefault="000F0C67" w:rsidP="000F0C67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51"/>
        <w:gridCol w:w="2261"/>
        <w:gridCol w:w="2506"/>
      </w:tblGrid>
      <w:tr w:rsidR="000F0C67" w:rsidRPr="00A03B02" w:rsidTr="00A7768B">
        <w:tc>
          <w:tcPr>
            <w:tcW w:w="2270" w:type="dxa"/>
            <w:vAlign w:val="center"/>
          </w:tcPr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bookmarkStart w:id="0" w:name="OLE_LINK8"/>
            <w:bookmarkStart w:id="1" w:name="OLE_LINK9"/>
            <w:r w:rsidRPr="00A03B02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A03B02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51" w:type="dxa"/>
            <w:vAlign w:val="center"/>
          </w:tcPr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03B02">
              <w:rPr>
                <w:b/>
                <w:bCs/>
                <w:sz w:val="22"/>
              </w:rPr>
              <w:t>Clinical</w:t>
            </w:r>
            <w:proofErr w:type="spellEnd"/>
            <w:r w:rsidRPr="00A03B02">
              <w:rPr>
                <w:b/>
                <w:bCs/>
                <w:sz w:val="22"/>
              </w:rPr>
              <w:t xml:space="preserve"> </w:t>
            </w:r>
            <w:proofErr w:type="spellStart"/>
            <w:r w:rsidRPr="00A03B02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261" w:type="dxa"/>
            <w:vAlign w:val="center"/>
          </w:tcPr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A03B02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A03B02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506" w:type="dxa"/>
            <w:vAlign w:val="center"/>
          </w:tcPr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F0C67" w:rsidRPr="00A03B02" w:rsidRDefault="000F0C6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03B02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F0C67" w:rsidRPr="00A03B02" w:rsidTr="00A7768B">
        <w:trPr>
          <w:trHeight w:val="373"/>
        </w:trPr>
        <w:tc>
          <w:tcPr>
            <w:tcW w:w="2270" w:type="dxa"/>
            <w:vAlign w:val="center"/>
          </w:tcPr>
          <w:p w:rsidR="000F0C67" w:rsidRPr="00A03B02" w:rsidRDefault="000F0C67" w:rsidP="00A7768B">
            <w:pPr>
              <w:rPr>
                <w:sz w:val="22"/>
              </w:rPr>
            </w:pPr>
            <w:proofErr w:type="spellStart"/>
            <w:r w:rsidRPr="00A03B02">
              <w:rPr>
                <w:rFonts w:eastAsia="Cambria"/>
                <w:sz w:val="22"/>
              </w:rPr>
              <w:t>Unknown</w:t>
            </w:r>
            <w:proofErr w:type="spellEnd"/>
          </w:p>
        </w:tc>
        <w:tc>
          <w:tcPr>
            <w:tcW w:w="2251" w:type="dxa"/>
            <w:vAlign w:val="center"/>
          </w:tcPr>
          <w:p w:rsidR="000F0C67" w:rsidRPr="00A03B02" w:rsidRDefault="000F0C67" w:rsidP="00A7768B">
            <w:pPr>
              <w:rPr>
                <w:sz w:val="22"/>
              </w:rPr>
            </w:pPr>
            <w:r w:rsidRPr="00A03B02">
              <w:rPr>
                <w:rFonts w:eastAsia="Cambria"/>
                <w:sz w:val="22"/>
              </w:rPr>
              <w:t>DCL</w:t>
            </w:r>
          </w:p>
        </w:tc>
        <w:tc>
          <w:tcPr>
            <w:tcW w:w="2261" w:type="dxa"/>
            <w:vAlign w:val="center"/>
          </w:tcPr>
          <w:p w:rsidR="000F0C67" w:rsidRPr="00A03B02" w:rsidRDefault="000F0C67" w:rsidP="00A7768B">
            <w:pPr>
              <w:rPr>
                <w:sz w:val="22"/>
              </w:rPr>
            </w:pPr>
            <w:proofErr w:type="spellStart"/>
            <w:r w:rsidRPr="00A03B02">
              <w:rPr>
                <w:rFonts w:eastAsia="Cambria"/>
                <w:sz w:val="22"/>
              </w:rPr>
              <w:t>Unknown</w:t>
            </w:r>
            <w:proofErr w:type="spellEnd"/>
          </w:p>
        </w:tc>
        <w:tc>
          <w:tcPr>
            <w:tcW w:w="2506" w:type="dxa"/>
            <w:vAlign w:val="center"/>
          </w:tcPr>
          <w:p w:rsidR="000F0C67" w:rsidRPr="00A03B02" w:rsidRDefault="000F0C67" w:rsidP="00A7768B">
            <w:pPr>
              <w:rPr>
                <w:sz w:val="22"/>
              </w:rPr>
            </w:pPr>
            <w:proofErr w:type="spellStart"/>
            <w:r w:rsidRPr="00A03B02">
              <w:rPr>
                <w:rFonts w:eastAsia="Cambria"/>
                <w:sz w:val="22"/>
              </w:rPr>
              <w:t>Unknown</w:t>
            </w:r>
            <w:proofErr w:type="spellEnd"/>
          </w:p>
        </w:tc>
      </w:tr>
      <w:bookmarkEnd w:id="0"/>
      <w:bookmarkEnd w:id="1"/>
    </w:tbl>
    <w:p w:rsidR="000F0C67" w:rsidRPr="00A03B02" w:rsidRDefault="000F0C67" w:rsidP="000F0C67">
      <w:pPr>
        <w:rPr>
          <w:sz w:val="22"/>
        </w:rPr>
      </w:pPr>
    </w:p>
    <w:p w:rsidR="000F0C67" w:rsidRDefault="000F0C67" w:rsidP="000F0C67">
      <w:pPr>
        <w:rPr>
          <w:b/>
          <w:bCs/>
          <w:sz w:val="22"/>
        </w:rPr>
      </w:pPr>
    </w:p>
    <w:p w:rsidR="000F0C67" w:rsidRDefault="000F0C67" w:rsidP="000F0C67">
      <w:pPr>
        <w:rPr>
          <w:b/>
          <w:bCs/>
          <w:sz w:val="22"/>
        </w:rPr>
      </w:pPr>
    </w:p>
    <w:p w:rsidR="000F0C67" w:rsidRDefault="000F0C67" w:rsidP="000F0C67">
      <w:pPr>
        <w:rPr>
          <w:b/>
          <w:bCs/>
          <w:sz w:val="22"/>
        </w:rPr>
      </w:pPr>
      <w:r w:rsidRPr="00A03B02">
        <w:rPr>
          <w:b/>
          <w:bCs/>
          <w:sz w:val="22"/>
        </w:rPr>
        <w:lastRenderedPageBreak/>
        <w:t>MAPS AND TRENDS</w:t>
      </w:r>
    </w:p>
    <w:p w:rsidR="000F0C67" w:rsidRDefault="000F0C67" w:rsidP="000F0C67">
      <w:pPr>
        <w:rPr>
          <w:b/>
          <w:bCs/>
          <w:sz w:val="22"/>
        </w:rPr>
      </w:pPr>
    </w:p>
    <w:p w:rsidR="000F0C67" w:rsidRDefault="000F0C67" w:rsidP="000F0C67">
      <w:pPr>
        <w:rPr>
          <w:b/>
          <w:bCs/>
          <w:sz w:val="22"/>
        </w:rPr>
      </w:pPr>
      <w:r>
        <w:rPr>
          <w:b/>
          <w:bCs/>
          <w:sz w:val="22"/>
        </w:rPr>
        <w:t>Cutaneous leishmaniasis</w:t>
      </w:r>
    </w:p>
    <w:p w:rsidR="000F0C67" w:rsidRDefault="000F0C67" w:rsidP="000F0C67">
      <w:pPr>
        <w:rPr>
          <w:b/>
          <w:bCs/>
          <w:sz w:val="22"/>
        </w:rPr>
      </w:pPr>
    </w:p>
    <w:p w:rsidR="000F0C67" w:rsidRPr="00C7323A" w:rsidRDefault="000F0C67" w:rsidP="000F0C67">
      <w:pPr>
        <w:rPr>
          <w:sz w:val="22"/>
        </w:rPr>
      </w:pPr>
      <w:r>
        <w:rPr>
          <w:noProof/>
          <w:sz w:val="22"/>
          <w:lang w:val="en-US"/>
        </w:rPr>
        <w:drawing>
          <wp:inline distT="0" distB="0" distL="0" distR="0">
            <wp:extent cx="3893820" cy="2606040"/>
            <wp:effectExtent l="19050" t="0" r="0" b="0"/>
            <wp:docPr id="2" name="Picture 2" descr="DOCL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Lb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C67" w:rsidRDefault="000F0C67" w:rsidP="000F0C67">
      <w:pPr>
        <w:rPr>
          <w:sz w:val="22"/>
        </w:rPr>
      </w:pPr>
    </w:p>
    <w:p w:rsidR="000F0C67" w:rsidRDefault="000F0C67" w:rsidP="000F0C67">
      <w:pPr>
        <w:rPr>
          <w:sz w:val="22"/>
        </w:rPr>
      </w:pPr>
    </w:p>
    <w:p w:rsidR="000F0C67" w:rsidRPr="00824F7F" w:rsidRDefault="000F0C67" w:rsidP="000F0C67">
      <w:pPr>
        <w:rPr>
          <w:rFonts w:eastAsia="Times New Roman"/>
          <w:b/>
          <w:bCs/>
          <w:sz w:val="22"/>
          <w:lang w:val="en-GB" w:eastAsia="es-ES"/>
        </w:rPr>
      </w:pPr>
      <w:bookmarkStart w:id="2" w:name="OLE_LINK3"/>
      <w:bookmarkStart w:id="3" w:name="OLE_LINK7"/>
      <w:r w:rsidRPr="00824F7F">
        <w:rPr>
          <w:rFonts w:eastAsia="Times New Roman"/>
          <w:b/>
          <w:bCs/>
          <w:sz w:val="22"/>
          <w:lang w:val="en-GB" w:eastAsia="es-ES"/>
        </w:rPr>
        <w:t>CONTROL</w:t>
      </w:r>
    </w:p>
    <w:p w:rsidR="000F0C67" w:rsidRPr="00824F7F" w:rsidRDefault="000F0C67" w:rsidP="000F0C67">
      <w:pPr>
        <w:rPr>
          <w:rFonts w:eastAsia="Times New Roman"/>
          <w:sz w:val="22"/>
          <w:lang w:val="en-GB" w:eastAsia="es-ES"/>
        </w:rPr>
      </w:pPr>
    </w:p>
    <w:p w:rsidR="000F0C67" w:rsidRPr="005B3AA4" w:rsidRDefault="000F0C67" w:rsidP="000F0C67">
      <w:pPr>
        <w:ind w:left="0" w:firstLine="0"/>
        <w:rPr>
          <w:sz w:val="22"/>
          <w:lang w:val="en-GB"/>
        </w:rPr>
      </w:pPr>
      <w:r w:rsidRPr="005B3AA4">
        <w:rPr>
          <w:sz w:val="22"/>
          <w:lang w:val="en-GB"/>
        </w:rPr>
        <w:t>The notification of leishmaniasis is not mandatory in the country and there is no</w:t>
      </w:r>
      <w:r>
        <w:rPr>
          <w:sz w:val="22"/>
          <w:lang w:val="en-GB"/>
        </w:rPr>
        <w:t xml:space="preserve"> </w:t>
      </w:r>
      <w:r w:rsidRPr="005B3AA4">
        <w:rPr>
          <w:sz w:val="22"/>
          <w:lang w:val="en-GB"/>
        </w:rPr>
        <w:t xml:space="preserve">national </w:t>
      </w:r>
      <w:r>
        <w:rPr>
          <w:sz w:val="22"/>
          <w:lang w:val="en-GB"/>
        </w:rPr>
        <w:t>l</w:t>
      </w:r>
      <w:r w:rsidRPr="005B3AA4">
        <w:rPr>
          <w:sz w:val="22"/>
          <w:lang w:val="en-GB"/>
        </w:rPr>
        <w:t>eishmaniasis control program. Case detection is passive. There are no leishmaniasis vector or reservoir control programs.</w:t>
      </w:r>
    </w:p>
    <w:p w:rsidR="000F0C67" w:rsidRPr="00A03B02" w:rsidRDefault="000F0C67" w:rsidP="000F0C67">
      <w:pPr>
        <w:rPr>
          <w:rFonts w:eastAsia="Times New Roman"/>
          <w:sz w:val="22"/>
          <w:lang w:val="en-US" w:eastAsia="es-ES"/>
        </w:rPr>
      </w:pPr>
    </w:p>
    <w:p w:rsidR="000F0C67" w:rsidRPr="00A03B02" w:rsidRDefault="000F0C67" w:rsidP="000F0C67">
      <w:pPr>
        <w:rPr>
          <w:rFonts w:eastAsia="Times New Roman"/>
          <w:sz w:val="22"/>
          <w:lang w:val="en-US" w:eastAsia="es-ES"/>
        </w:rPr>
      </w:pPr>
    </w:p>
    <w:p w:rsidR="000F0C67" w:rsidRPr="00A03B02" w:rsidRDefault="000F0C67" w:rsidP="000F0C67">
      <w:pPr>
        <w:spacing w:line="360" w:lineRule="auto"/>
        <w:rPr>
          <w:b/>
          <w:bCs/>
          <w:sz w:val="22"/>
          <w:lang w:val="en-US"/>
        </w:rPr>
      </w:pPr>
      <w:r>
        <w:rPr>
          <w:b/>
          <w:sz w:val="22"/>
          <w:lang w:val="en-US"/>
        </w:rPr>
        <w:t xml:space="preserve">DIAGNOSIS, TREATMENT, </w:t>
      </w:r>
      <w:r w:rsidRPr="00A03B02">
        <w:rPr>
          <w:b/>
          <w:bCs/>
          <w:sz w:val="22"/>
          <w:lang w:val="en-US"/>
        </w:rPr>
        <w:t xml:space="preserve">ACCESS TO CARE </w:t>
      </w:r>
    </w:p>
    <w:p w:rsidR="000F0C67" w:rsidRPr="00A03B02" w:rsidRDefault="000F0C67" w:rsidP="000F0C67">
      <w:pPr>
        <w:rPr>
          <w:sz w:val="22"/>
          <w:lang w:val="en-GB"/>
        </w:rPr>
      </w:pPr>
      <w:r w:rsidRPr="00A03B02">
        <w:rPr>
          <w:sz w:val="22"/>
          <w:lang w:val="en-GB"/>
        </w:rPr>
        <w:t>Not available</w:t>
      </w:r>
      <w:r>
        <w:rPr>
          <w:sz w:val="22"/>
          <w:lang w:val="en-GB"/>
        </w:rPr>
        <w:t>.</w:t>
      </w:r>
    </w:p>
    <w:p w:rsidR="000F0C67" w:rsidRPr="00A03B02" w:rsidRDefault="000F0C67" w:rsidP="000F0C67">
      <w:pPr>
        <w:spacing w:line="360" w:lineRule="auto"/>
        <w:rPr>
          <w:sz w:val="22"/>
          <w:lang w:val="en-GB"/>
        </w:rPr>
      </w:pPr>
    </w:p>
    <w:p w:rsidR="000F0C67" w:rsidRPr="00A03B02" w:rsidRDefault="000F0C67" w:rsidP="000F0C67">
      <w:pPr>
        <w:rPr>
          <w:sz w:val="22"/>
          <w:lang w:val="en-GB"/>
        </w:rPr>
      </w:pPr>
    </w:p>
    <w:p w:rsidR="000F0C67" w:rsidRPr="00A03B02" w:rsidRDefault="000F0C67" w:rsidP="000F0C67">
      <w:pPr>
        <w:rPr>
          <w:sz w:val="22"/>
          <w:lang w:val="en-GB"/>
        </w:rPr>
      </w:pPr>
      <w:r w:rsidRPr="00A03B02">
        <w:rPr>
          <w:b/>
          <w:sz w:val="22"/>
          <w:lang w:val="en-GB"/>
        </w:rPr>
        <w:t>ACCESS TO DRUGS</w:t>
      </w:r>
      <w:r w:rsidRPr="00A03B02">
        <w:rPr>
          <w:sz w:val="22"/>
          <w:lang w:val="en-GB"/>
        </w:rPr>
        <w:t xml:space="preserve"> </w:t>
      </w:r>
    </w:p>
    <w:bookmarkEnd w:id="2"/>
    <w:bookmarkEnd w:id="3"/>
    <w:p w:rsidR="000F0C67" w:rsidRPr="00A03B02" w:rsidRDefault="000F0C67" w:rsidP="000F0C67">
      <w:pPr>
        <w:rPr>
          <w:sz w:val="22"/>
          <w:lang w:val="en-GB"/>
        </w:rPr>
      </w:pPr>
    </w:p>
    <w:p w:rsidR="000F0C67" w:rsidRPr="00A03B02" w:rsidRDefault="000F0C67" w:rsidP="000F0C67">
      <w:pPr>
        <w:tabs>
          <w:tab w:val="left" w:pos="6804"/>
        </w:tabs>
        <w:ind w:left="0" w:firstLine="0"/>
        <w:rPr>
          <w:sz w:val="22"/>
          <w:lang w:val="en-US"/>
        </w:rPr>
      </w:pPr>
      <w:r w:rsidRPr="00A03B02">
        <w:rPr>
          <w:sz w:val="22"/>
          <w:lang w:val="en-US"/>
        </w:rPr>
        <w:t xml:space="preserve">The antimonials Pentostam, GSK (SSG) and Glucantime, </w:t>
      </w:r>
      <w:proofErr w:type="spellStart"/>
      <w:r>
        <w:rPr>
          <w:sz w:val="22"/>
          <w:lang w:val="en-US"/>
        </w:rPr>
        <w:t>Sanofi</w:t>
      </w:r>
      <w:proofErr w:type="spellEnd"/>
      <w:r w:rsidRPr="00A03B02">
        <w:rPr>
          <w:sz w:val="22"/>
          <w:lang w:val="en-US"/>
        </w:rPr>
        <w:t xml:space="preserve"> (meglumine antimoniate), are not registered.</w:t>
      </w:r>
    </w:p>
    <w:p w:rsidR="000F0C67" w:rsidRPr="00A03B02" w:rsidRDefault="000F0C67" w:rsidP="000F0C67">
      <w:pPr>
        <w:rPr>
          <w:sz w:val="22"/>
          <w:lang w:val="en-US"/>
        </w:rPr>
      </w:pPr>
    </w:p>
    <w:p w:rsidR="000F0C67" w:rsidRPr="00A03B02" w:rsidRDefault="000F0C67" w:rsidP="000F0C67">
      <w:pPr>
        <w:rPr>
          <w:sz w:val="22"/>
          <w:lang w:val="en-US"/>
        </w:rPr>
      </w:pPr>
    </w:p>
    <w:p w:rsidR="000F0C67" w:rsidRPr="00A03B02" w:rsidRDefault="000F0C67" w:rsidP="000F0C67">
      <w:pPr>
        <w:rPr>
          <w:b/>
          <w:sz w:val="22"/>
          <w:lang w:val="en-GB"/>
        </w:rPr>
      </w:pPr>
      <w:r w:rsidRPr="00A03B02">
        <w:rPr>
          <w:b/>
          <w:sz w:val="22"/>
          <w:lang w:val="en-GB"/>
        </w:rPr>
        <w:t>SOURCES OF INFORMATION</w:t>
      </w:r>
    </w:p>
    <w:p w:rsidR="000F0C67" w:rsidRPr="00A03B02" w:rsidRDefault="000F0C67" w:rsidP="000F0C67">
      <w:pPr>
        <w:rPr>
          <w:sz w:val="22"/>
          <w:lang w:val="en-GB"/>
        </w:rPr>
      </w:pPr>
    </w:p>
    <w:p w:rsidR="000F0C67" w:rsidRPr="00A03B02" w:rsidRDefault="000F0C67" w:rsidP="000F0C67">
      <w:pPr>
        <w:rPr>
          <w:sz w:val="22"/>
          <w:lang w:val="en-US"/>
        </w:rPr>
      </w:pPr>
    </w:p>
    <w:p w:rsidR="000F0C67" w:rsidRPr="000F0C67" w:rsidRDefault="000F0C67" w:rsidP="000F0C67">
      <w:pPr>
        <w:pStyle w:val="rprtbody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1. </w:t>
      </w:r>
      <w:hyperlink r:id="rId7" w:tgtFrame="_parent" w:history="1">
        <w:proofErr w:type="spellStart"/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Zeledón</w:t>
        </w:r>
        <w:proofErr w:type="spellEnd"/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 xml:space="preserve"> R</w:t>
        </w:r>
      </w:hyperlink>
      <w:r w:rsidRPr="000F0C67">
        <w:rPr>
          <w:rFonts w:ascii="Arial" w:hAnsi="Arial" w:cs="Arial"/>
          <w:color w:val="000000"/>
          <w:sz w:val="22"/>
          <w:szCs w:val="22"/>
        </w:rPr>
        <w:t xml:space="preserve"> (1992)</w:t>
      </w:r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gram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Leishmaniasis in the </w:t>
      </w:r>
      <w:smartTag w:uri="urn:schemas-microsoft-com:office:smarttags" w:element="place">
        <w:smartTag w:uri="urn:schemas-microsoft-com:office:smarttags" w:element="PlaceName">
          <w:r w:rsidRPr="000F0C67">
            <w:rPr>
              <w:rFonts w:ascii="Arial" w:hAnsi="Arial" w:cs="Arial"/>
              <w:color w:val="000000"/>
              <w:sz w:val="22"/>
              <w:szCs w:val="22"/>
              <w:lang w:val="en-US"/>
            </w:rPr>
            <w:t>Caribbean</w:t>
          </w:r>
        </w:smartTag>
        <w:r w:rsidRPr="000F0C67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0F0C67">
            <w:rPr>
              <w:rFonts w:ascii="Arial" w:hAnsi="Arial" w:cs="Arial"/>
              <w:color w:val="000000"/>
              <w:sz w:val="22"/>
              <w:szCs w:val="22"/>
              <w:lang w:val="en-US"/>
            </w:rPr>
            <w:t>Islands</w:t>
          </w:r>
        </w:smartTag>
      </w:smartTag>
      <w:r w:rsidRPr="000F0C67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A review.</w:t>
      </w:r>
      <w:proofErr w:type="gram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Ann N Y </w:t>
      </w:r>
      <w:proofErr w:type="spell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Acad</w:t>
      </w:r>
      <w:proofErr w:type="spell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Sci</w:t>
      </w:r>
      <w:proofErr w:type="spell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653:154-60.</w:t>
      </w:r>
    </w:p>
    <w:p w:rsidR="000F0C67" w:rsidRPr="000F0C67" w:rsidRDefault="000F0C67" w:rsidP="000F0C67">
      <w:pPr>
        <w:pStyle w:val="rprtbody1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2F7C1A" w:rsidRDefault="000F0C67" w:rsidP="000F0C67">
      <w:pPr>
        <w:pStyle w:val="rprtbody1"/>
        <w:shd w:val="clear" w:color="auto" w:fill="FFFFFF"/>
        <w:spacing w:before="0" w:after="0"/>
        <w:jc w:val="both"/>
      </w:pPr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2. </w:t>
      </w:r>
      <w:hyperlink r:id="rId8" w:tgtFrame="_parent" w:history="1"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Johnson RN</w:t>
        </w:r>
      </w:hyperlink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9" w:tgtFrame="_parent" w:history="1"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Young DG</w:t>
        </w:r>
      </w:hyperlink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0" w:tgtFrame="_parent" w:history="1"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Butler JF</w:t>
        </w:r>
      </w:hyperlink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hyperlink r:id="rId11" w:tgtFrame="_parent" w:history="1">
        <w:proofErr w:type="spellStart"/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Bogaert</w:t>
        </w:r>
        <w:proofErr w:type="spellEnd"/>
        <w:r w:rsidRPr="000F0C67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>-Diaz H</w:t>
        </w:r>
      </w:hyperlink>
      <w:r w:rsidRPr="000F0C67">
        <w:rPr>
          <w:rFonts w:ascii="Arial" w:hAnsi="Arial" w:cs="Arial"/>
          <w:color w:val="000000"/>
          <w:sz w:val="22"/>
          <w:szCs w:val="22"/>
          <w:lang w:val="en-GB"/>
        </w:rPr>
        <w:t xml:space="preserve"> (1992). </w:t>
      </w:r>
      <w:proofErr w:type="gram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Possible determination of the vector and reservoir of leishmaniasis in the Dominican Republic.</w:t>
      </w:r>
      <w:proofErr w:type="gram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Am J </w:t>
      </w:r>
      <w:proofErr w:type="spell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Trop</w:t>
      </w:r>
      <w:proofErr w:type="spell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Med </w:t>
      </w:r>
      <w:proofErr w:type="spell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Hyg</w:t>
      </w:r>
      <w:proofErr w:type="spellEnd"/>
      <w:r w:rsidRPr="000F0C67">
        <w:rPr>
          <w:rFonts w:ascii="Arial" w:hAnsi="Arial" w:cs="Arial"/>
          <w:color w:val="000000"/>
          <w:sz w:val="22"/>
          <w:szCs w:val="22"/>
          <w:lang w:val="en-US"/>
        </w:rPr>
        <w:t xml:space="preserve"> 46(3):282-</w:t>
      </w:r>
      <w:proofErr w:type="gramStart"/>
      <w:r w:rsidRPr="000F0C67">
        <w:rPr>
          <w:rFonts w:ascii="Arial" w:hAnsi="Arial" w:cs="Arial"/>
          <w:color w:val="000000"/>
          <w:sz w:val="22"/>
          <w:szCs w:val="22"/>
          <w:lang w:val="en-US"/>
        </w:rPr>
        <w:t>7.</w:t>
      </w:r>
      <w:proofErr w:type="gramEnd"/>
    </w:p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C67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0C67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7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0F0C67"/>
    <w:rPr>
      <w:color w:val="0000FF"/>
      <w:u w:val="single"/>
    </w:rPr>
  </w:style>
  <w:style w:type="paragraph" w:customStyle="1" w:styleId="rprtbody1">
    <w:name w:val="rprtbody1"/>
    <w:basedOn w:val="Normal"/>
    <w:rsid w:val="000F0C67"/>
    <w:pPr>
      <w:spacing w:before="34" w:after="34"/>
      <w:ind w:left="0" w:firstLine="0"/>
      <w:jc w:val="left"/>
    </w:pPr>
    <w:rPr>
      <w:rFonts w:ascii="Times New Roman" w:hAnsi="Times New Roman" w:cs="Times New Roman"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6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Johnson%20RN%22%5BAuthor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Zeled%C3%B3n%20R%22%5BAuthor%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Bogaert-Diaz%20H%22%5BAuthor%5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?term=%22Butler%20JF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Young%20DG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2012-04-01T20:22:00Z</dcterms:created>
  <dcterms:modified xsi:type="dcterms:W3CDTF">2012-04-01T20:24:00Z</dcterms:modified>
</cp:coreProperties>
</file>