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4F6" w:rsidRDefault="00E504F6" w:rsidP="00E504F6">
      <w:pPr>
        <w:spacing w:line="480" w:lineRule="auto"/>
        <w:rPr>
          <w:b/>
          <w:sz w:val="22"/>
          <w:u w:val="single"/>
          <w:lang w:val="en-US"/>
        </w:rPr>
      </w:pPr>
      <w:smartTag w:uri="urn:schemas-microsoft-com:office:smarttags" w:element="country-region">
        <w:r w:rsidRPr="009F72CB">
          <w:rPr>
            <w:b/>
            <w:sz w:val="22"/>
            <w:u w:val="single"/>
            <w:lang w:val="en-US"/>
          </w:rPr>
          <w:t>VENEZUELA</w:t>
        </w:r>
      </w:smartTag>
      <w:r>
        <w:rPr>
          <w:b/>
          <w:sz w:val="22"/>
          <w:u w:val="single"/>
          <w:lang w:val="en-US"/>
        </w:rPr>
        <w:t xml:space="preserve"> (</w:t>
      </w:r>
      <w:smartTag w:uri="urn:schemas-microsoft-com:office:smarttags" w:element="place">
        <w:smartTag w:uri="urn:schemas-microsoft-com:office:smarttags" w:element="PlaceName">
          <w:r>
            <w:rPr>
              <w:b/>
              <w:sz w:val="22"/>
              <w:u w:val="single"/>
              <w:lang w:val="en-US"/>
            </w:rPr>
            <w:t>Bolivarian</w:t>
          </w:r>
        </w:smartTag>
        <w:r>
          <w:rPr>
            <w:b/>
            <w:sz w:val="22"/>
            <w:u w:val="single"/>
            <w:lang w:val="en-US"/>
          </w:rPr>
          <w:t xml:space="preserve"> </w:t>
        </w:r>
        <w:smartTag w:uri="urn:schemas-microsoft-com:office:smarttags" w:element="PlaceType">
          <w:r>
            <w:rPr>
              <w:b/>
              <w:sz w:val="22"/>
              <w:u w:val="single"/>
              <w:lang w:val="en-US"/>
            </w:rPr>
            <w:t>Republic</w:t>
          </w:r>
        </w:smartTag>
      </w:smartTag>
      <w:r>
        <w:rPr>
          <w:b/>
          <w:sz w:val="22"/>
          <w:u w:val="single"/>
          <w:lang w:val="en-US"/>
        </w:rPr>
        <w:t xml:space="preserve"> of)</w:t>
      </w:r>
    </w:p>
    <w:p w:rsidR="00E504F6" w:rsidRPr="009F72CB" w:rsidRDefault="00E504F6" w:rsidP="00E504F6">
      <w:pPr>
        <w:spacing w:line="480" w:lineRule="auto"/>
        <w:rPr>
          <w:b/>
          <w:sz w:val="22"/>
          <w:u w:val="single"/>
          <w:lang w:val="en-US"/>
        </w:rPr>
      </w:pPr>
      <w:r>
        <w:rPr>
          <w:b/>
          <w:noProof/>
          <w:sz w:val="22"/>
          <w:u w:val="single"/>
          <w:lang w:val="en-US"/>
        </w:rPr>
        <w:drawing>
          <wp:inline distT="0" distB="0" distL="0" distR="0">
            <wp:extent cx="2590800" cy="1734820"/>
            <wp:effectExtent l="19050" t="0" r="0" b="0"/>
            <wp:docPr id="2" name="Picture 2" descr="VE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WORLD"/>
                    <pic:cNvPicPr>
                      <a:picLocks noChangeAspect="1" noChangeArrowheads="1"/>
                    </pic:cNvPicPr>
                  </pic:nvPicPr>
                  <pic:blipFill>
                    <a:blip r:embed="rId5" cstate="print"/>
                    <a:srcRect/>
                    <a:stretch>
                      <a:fillRect/>
                    </a:stretch>
                  </pic:blipFill>
                  <pic:spPr bwMode="auto">
                    <a:xfrm>
                      <a:off x="0" y="0"/>
                      <a:ext cx="2590800" cy="1734820"/>
                    </a:xfrm>
                    <a:prstGeom prst="rect">
                      <a:avLst/>
                    </a:prstGeom>
                    <a:noFill/>
                  </pic:spPr>
                </pic:pic>
              </a:graphicData>
            </a:graphic>
          </wp:inline>
        </w:drawing>
      </w:r>
    </w:p>
    <w:p w:rsidR="00E504F6" w:rsidRDefault="00E504F6" w:rsidP="00E504F6">
      <w:pPr>
        <w:spacing w:line="480" w:lineRule="auto"/>
        <w:rPr>
          <w:b/>
          <w:sz w:val="22"/>
          <w:lang w:val="en-US"/>
        </w:rPr>
      </w:pPr>
      <w:r w:rsidRPr="009F72CB">
        <w:rPr>
          <w:b/>
          <w:sz w:val="22"/>
          <w:lang w:val="en-US"/>
        </w:rPr>
        <w:t>BASIC COUNTRY DATA</w:t>
      </w:r>
    </w:p>
    <w:p w:rsidR="00E504F6" w:rsidRPr="000F456B" w:rsidRDefault="00E504F6" w:rsidP="00E504F6">
      <w:pPr>
        <w:rPr>
          <w:sz w:val="22"/>
          <w:lang w:val="en-US"/>
        </w:rPr>
      </w:pPr>
      <w:r w:rsidRPr="000F456B">
        <w:rPr>
          <w:sz w:val="22"/>
          <w:lang w:val="en-US"/>
        </w:rPr>
        <w:t>Total Population: 2</w:t>
      </w:r>
      <w:r>
        <w:rPr>
          <w:sz w:val="22"/>
          <w:lang w:val="en-US"/>
        </w:rPr>
        <w:t>8,834,</w:t>
      </w:r>
      <w:r w:rsidRPr="000F456B">
        <w:rPr>
          <w:sz w:val="22"/>
          <w:lang w:val="en-US"/>
        </w:rPr>
        <w:t xml:space="preserve">000 </w:t>
      </w:r>
    </w:p>
    <w:p w:rsidR="00E504F6" w:rsidRPr="000F456B" w:rsidRDefault="00E504F6" w:rsidP="00E504F6">
      <w:pPr>
        <w:rPr>
          <w:sz w:val="22"/>
          <w:lang w:val="en-US"/>
        </w:rPr>
      </w:pPr>
      <w:r w:rsidRPr="000F456B">
        <w:rPr>
          <w:sz w:val="22"/>
          <w:lang w:val="en-US"/>
        </w:rPr>
        <w:t xml:space="preserve">Population 0-14 years: </w:t>
      </w:r>
      <w:r>
        <w:rPr>
          <w:sz w:val="22"/>
          <w:lang w:val="en-US"/>
        </w:rPr>
        <w:t>29</w:t>
      </w:r>
      <w:r w:rsidRPr="000F456B">
        <w:rPr>
          <w:sz w:val="22"/>
          <w:lang w:val="en-US"/>
        </w:rPr>
        <w:t xml:space="preserve">% </w:t>
      </w:r>
    </w:p>
    <w:p w:rsidR="00E504F6" w:rsidRPr="000F456B" w:rsidRDefault="00E504F6" w:rsidP="00E504F6">
      <w:pPr>
        <w:rPr>
          <w:sz w:val="22"/>
          <w:lang w:val="en-US"/>
        </w:rPr>
      </w:pPr>
      <w:r w:rsidRPr="000F456B">
        <w:rPr>
          <w:sz w:val="22"/>
          <w:lang w:val="en-US"/>
        </w:rPr>
        <w:t xml:space="preserve">Rural population: 6% </w:t>
      </w:r>
    </w:p>
    <w:p w:rsidR="00E504F6" w:rsidRPr="008A78C6" w:rsidRDefault="00E504F6" w:rsidP="00E504F6">
      <w:pPr>
        <w:rPr>
          <w:sz w:val="22"/>
          <w:lang w:val="en-US"/>
        </w:rPr>
      </w:pPr>
      <w:r w:rsidRPr="008A78C6">
        <w:rPr>
          <w:sz w:val="22"/>
          <w:lang w:val="en-US"/>
        </w:rPr>
        <w:t>Population living under USD 1</w:t>
      </w:r>
      <w:r>
        <w:rPr>
          <w:sz w:val="22"/>
          <w:lang w:val="en-US"/>
        </w:rPr>
        <w:t>.</w:t>
      </w:r>
      <w:r w:rsidRPr="008A78C6">
        <w:rPr>
          <w:sz w:val="22"/>
          <w:lang w:val="en-US"/>
        </w:rPr>
        <w:t xml:space="preserve">25 a day: </w:t>
      </w:r>
      <w:r>
        <w:rPr>
          <w:sz w:val="22"/>
          <w:lang w:val="en-US"/>
        </w:rPr>
        <w:t>3.5</w:t>
      </w:r>
      <w:r w:rsidRPr="008A78C6">
        <w:rPr>
          <w:sz w:val="22"/>
          <w:lang w:val="en-US"/>
        </w:rPr>
        <w:t xml:space="preserve">% </w:t>
      </w:r>
    </w:p>
    <w:p w:rsidR="00E504F6" w:rsidRPr="008A78C6" w:rsidRDefault="00E504F6" w:rsidP="00E504F6">
      <w:pPr>
        <w:rPr>
          <w:sz w:val="22"/>
          <w:lang w:val="en-US"/>
        </w:rPr>
      </w:pPr>
      <w:r w:rsidRPr="008A78C6">
        <w:rPr>
          <w:sz w:val="22"/>
          <w:lang w:val="en-US"/>
        </w:rPr>
        <w:t>Population living under</w:t>
      </w:r>
      <w:r>
        <w:rPr>
          <w:sz w:val="22"/>
          <w:lang w:val="en-US"/>
        </w:rPr>
        <w:t xml:space="preserve"> the national poverty line: 29</w:t>
      </w:r>
      <w:r w:rsidRPr="008A78C6">
        <w:rPr>
          <w:sz w:val="22"/>
          <w:lang w:val="en-US"/>
        </w:rPr>
        <w:t>%</w:t>
      </w:r>
    </w:p>
    <w:p w:rsidR="00E504F6" w:rsidRPr="000F456B" w:rsidRDefault="00E504F6" w:rsidP="00E504F6">
      <w:pPr>
        <w:rPr>
          <w:sz w:val="22"/>
          <w:lang w:val="en-US"/>
        </w:rPr>
      </w:pPr>
      <w:r w:rsidRPr="000F456B">
        <w:rPr>
          <w:sz w:val="22"/>
          <w:lang w:val="en-US"/>
        </w:rPr>
        <w:t xml:space="preserve">Income status: Upper middle income economy </w:t>
      </w:r>
    </w:p>
    <w:p w:rsidR="00E504F6" w:rsidRPr="000F456B" w:rsidRDefault="00E504F6" w:rsidP="00E504F6">
      <w:pPr>
        <w:rPr>
          <w:sz w:val="22"/>
          <w:lang w:val="en-US"/>
        </w:rPr>
      </w:pPr>
      <w:r w:rsidRPr="000F456B">
        <w:rPr>
          <w:sz w:val="22"/>
          <w:lang w:val="en-US"/>
        </w:rPr>
        <w:t>Ranking:</w:t>
      </w:r>
      <w:r w:rsidRPr="000F456B">
        <w:rPr>
          <w:i/>
          <w:iCs/>
          <w:color w:val="003399"/>
          <w:sz w:val="22"/>
          <w:lang w:val="en-US" w:eastAsia="es-CO"/>
        </w:rPr>
        <w:t xml:space="preserve"> </w:t>
      </w:r>
      <w:r w:rsidRPr="000F456B">
        <w:rPr>
          <w:bCs/>
          <w:sz w:val="22"/>
          <w:lang w:val="en-US"/>
        </w:rPr>
        <w:t xml:space="preserve">High </w:t>
      </w:r>
      <w:r>
        <w:rPr>
          <w:bCs/>
          <w:sz w:val="22"/>
          <w:lang w:val="en-US"/>
        </w:rPr>
        <w:t>h</w:t>
      </w:r>
      <w:r w:rsidRPr="000F456B">
        <w:rPr>
          <w:bCs/>
          <w:sz w:val="22"/>
          <w:lang w:val="en-US"/>
        </w:rPr>
        <w:t xml:space="preserve">uman </w:t>
      </w:r>
      <w:r>
        <w:rPr>
          <w:bCs/>
          <w:sz w:val="22"/>
          <w:lang w:val="en-US"/>
        </w:rPr>
        <w:t>d</w:t>
      </w:r>
      <w:r w:rsidRPr="000F456B">
        <w:rPr>
          <w:bCs/>
          <w:sz w:val="22"/>
          <w:lang w:val="en-US"/>
        </w:rPr>
        <w:t xml:space="preserve">evelopment </w:t>
      </w:r>
      <w:r>
        <w:rPr>
          <w:bCs/>
          <w:sz w:val="22"/>
          <w:lang w:val="en-US"/>
        </w:rPr>
        <w:t>(ranking 73)</w:t>
      </w:r>
    </w:p>
    <w:p w:rsidR="00E504F6" w:rsidRPr="000F456B" w:rsidRDefault="00E504F6" w:rsidP="00E504F6">
      <w:pPr>
        <w:rPr>
          <w:sz w:val="22"/>
          <w:lang w:val="en-US"/>
        </w:rPr>
      </w:pPr>
      <w:r w:rsidRPr="000F456B">
        <w:rPr>
          <w:sz w:val="22"/>
          <w:lang w:val="en-US"/>
        </w:rPr>
        <w:t xml:space="preserve">Per capita total expenditure on health at average exchange rate (US dollar): </w:t>
      </w:r>
      <w:r>
        <w:rPr>
          <w:sz w:val="22"/>
          <w:lang w:val="en-US"/>
        </w:rPr>
        <w:t>686</w:t>
      </w:r>
    </w:p>
    <w:p w:rsidR="00E504F6" w:rsidRPr="000F456B" w:rsidRDefault="00E504F6" w:rsidP="00E504F6">
      <w:pPr>
        <w:rPr>
          <w:sz w:val="22"/>
          <w:lang w:val="en-US"/>
        </w:rPr>
      </w:pPr>
      <w:r w:rsidRPr="000F456B">
        <w:rPr>
          <w:sz w:val="22"/>
          <w:lang w:val="en-US"/>
        </w:rPr>
        <w:t xml:space="preserve">Life expectancy at birth (years): 74 </w:t>
      </w:r>
    </w:p>
    <w:p w:rsidR="00E504F6" w:rsidRPr="000F456B" w:rsidRDefault="00E504F6" w:rsidP="00E504F6">
      <w:pPr>
        <w:rPr>
          <w:sz w:val="22"/>
          <w:lang w:val="en-US"/>
        </w:rPr>
      </w:pPr>
      <w:r w:rsidRPr="000F456B">
        <w:rPr>
          <w:sz w:val="22"/>
          <w:lang w:val="en-US"/>
        </w:rPr>
        <w:t>Health</w:t>
      </w:r>
      <w:r>
        <w:rPr>
          <w:sz w:val="22"/>
          <w:lang w:val="en-US"/>
        </w:rPr>
        <w:t>y</w:t>
      </w:r>
      <w:r w:rsidRPr="000F456B">
        <w:rPr>
          <w:sz w:val="22"/>
          <w:lang w:val="en-US"/>
        </w:rPr>
        <w:t xml:space="preserve"> life expectancy at birth (years): 64 </w:t>
      </w:r>
    </w:p>
    <w:p w:rsidR="00E504F6" w:rsidRPr="000F456B" w:rsidRDefault="00E504F6" w:rsidP="00E504F6">
      <w:pPr>
        <w:rPr>
          <w:sz w:val="22"/>
          <w:lang w:val="en-US"/>
        </w:rPr>
      </w:pPr>
    </w:p>
    <w:p w:rsidR="00E504F6" w:rsidRPr="000B3E78" w:rsidRDefault="00E504F6" w:rsidP="00E504F6">
      <w:pPr>
        <w:rPr>
          <w:bCs/>
          <w:sz w:val="22"/>
          <w:lang w:val="en-US"/>
        </w:rPr>
      </w:pPr>
    </w:p>
    <w:p w:rsidR="00E504F6" w:rsidRPr="00F324FE" w:rsidRDefault="00E504F6" w:rsidP="00E504F6">
      <w:pPr>
        <w:spacing w:line="480" w:lineRule="auto"/>
        <w:rPr>
          <w:sz w:val="22"/>
          <w:lang w:val="en-GB"/>
        </w:rPr>
      </w:pPr>
      <w:r w:rsidRPr="009F72CB">
        <w:rPr>
          <w:b/>
          <w:sz w:val="22"/>
          <w:lang w:val="en-US"/>
        </w:rPr>
        <w:t xml:space="preserve">BACKGROUND INFORMATION </w:t>
      </w:r>
    </w:p>
    <w:p w:rsidR="00E504F6" w:rsidRDefault="00E504F6" w:rsidP="00E504F6">
      <w:pPr>
        <w:ind w:left="0" w:firstLine="0"/>
        <w:rPr>
          <w:sz w:val="22"/>
          <w:lang w:val="en-US"/>
        </w:rPr>
      </w:pPr>
      <w:r w:rsidRPr="009F72CB">
        <w:rPr>
          <w:sz w:val="22"/>
          <w:lang w:val="en-US"/>
        </w:rPr>
        <w:t>CL is mainly an occupational disease</w:t>
      </w:r>
      <w:r>
        <w:rPr>
          <w:sz w:val="22"/>
          <w:lang w:val="en-US"/>
        </w:rPr>
        <w:t>,</w:t>
      </w:r>
      <w:r w:rsidRPr="009F72CB">
        <w:rPr>
          <w:sz w:val="22"/>
          <w:lang w:val="en-US"/>
        </w:rPr>
        <w:t xml:space="preserve"> affecting, among others, farmers, hunters and military personnel. It occurs throughout the Venezuelan territory</w:t>
      </w:r>
      <w:r>
        <w:rPr>
          <w:sz w:val="22"/>
          <w:lang w:val="en-US"/>
        </w:rPr>
        <w:t>,</w:t>
      </w:r>
      <w:r w:rsidRPr="009F72CB">
        <w:rPr>
          <w:sz w:val="22"/>
          <w:lang w:val="en-US"/>
        </w:rPr>
        <w:t xml:space="preserve"> in 22 municipalities</w:t>
      </w:r>
      <w:r>
        <w:rPr>
          <w:sz w:val="22"/>
          <w:lang w:val="en-US"/>
        </w:rPr>
        <w:t>,</w:t>
      </w:r>
      <w:r w:rsidRPr="009F72CB">
        <w:rPr>
          <w:sz w:val="22"/>
          <w:lang w:val="en-US"/>
        </w:rPr>
        <w:t xml:space="preserve"> and it can be considered as both a rural and urban disease</w:t>
      </w:r>
      <w:r w:rsidRPr="00562689">
        <w:rPr>
          <w:sz w:val="22"/>
          <w:lang w:val="en-US"/>
        </w:rPr>
        <w:t>; 27,212,600 people are considered</w:t>
      </w:r>
      <w:r w:rsidRPr="009F72CB">
        <w:rPr>
          <w:sz w:val="22"/>
          <w:lang w:val="en-US"/>
        </w:rPr>
        <w:t xml:space="preserve"> to be at risk for CL, while 21,397,700 are at risk for MCL</w:t>
      </w:r>
      <w:r>
        <w:rPr>
          <w:sz w:val="22"/>
          <w:lang w:val="en-US"/>
        </w:rPr>
        <w:t>,</w:t>
      </w:r>
      <w:r w:rsidRPr="009F72CB">
        <w:rPr>
          <w:sz w:val="22"/>
          <w:lang w:val="en-US"/>
        </w:rPr>
        <w:t xml:space="preserve"> in 14 municipalities. </w:t>
      </w:r>
      <w:r>
        <w:rPr>
          <w:sz w:val="22"/>
          <w:lang w:val="en-US"/>
        </w:rPr>
        <w:t xml:space="preserve">The incidence is estimated at 9.9 per 100,000 inhabitants. </w:t>
      </w:r>
      <w:r>
        <w:rPr>
          <w:color w:val="000000"/>
          <w:sz w:val="22"/>
          <w:lang w:val="en-US"/>
        </w:rPr>
        <w:t xml:space="preserve">80% of CL </w:t>
      </w:r>
      <w:r w:rsidRPr="00AE1A59">
        <w:rPr>
          <w:color w:val="000000"/>
          <w:sz w:val="22"/>
          <w:lang w:val="en-US"/>
        </w:rPr>
        <w:t xml:space="preserve">cases are caused by </w:t>
      </w:r>
      <w:proofErr w:type="spellStart"/>
      <w:r w:rsidRPr="00AE1A59">
        <w:rPr>
          <w:i/>
          <w:iCs/>
          <w:color w:val="000000"/>
          <w:sz w:val="22"/>
          <w:lang w:val="en-US"/>
        </w:rPr>
        <w:t>L.braziliensis</w:t>
      </w:r>
      <w:proofErr w:type="spellEnd"/>
      <w:r>
        <w:rPr>
          <w:i/>
          <w:iCs/>
          <w:color w:val="000000"/>
          <w:sz w:val="22"/>
          <w:lang w:val="en-US"/>
        </w:rPr>
        <w:t>,</w:t>
      </w:r>
      <w:r w:rsidRPr="00AE1A59">
        <w:rPr>
          <w:color w:val="000000"/>
          <w:sz w:val="22"/>
          <w:lang w:val="en-US"/>
        </w:rPr>
        <w:t xml:space="preserve"> although other species have been </w:t>
      </w:r>
      <w:r>
        <w:rPr>
          <w:color w:val="000000"/>
          <w:sz w:val="22"/>
          <w:lang w:val="en-US"/>
        </w:rPr>
        <w:t>demonstrated</w:t>
      </w:r>
      <w:r w:rsidRPr="00AE1A59">
        <w:rPr>
          <w:color w:val="000000"/>
          <w:sz w:val="22"/>
          <w:lang w:val="en-US"/>
        </w:rPr>
        <w:t>, including</w:t>
      </w:r>
      <w:r w:rsidRPr="00AE1A59">
        <w:rPr>
          <w:i/>
          <w:iCs/>
          <w:color w:val="000000"/>
          <w:sz w:val="22"/>
          <w:lang w:val="en-US"/>
        </w:rPr>
        <w:t xml:space="preserve"> L.infantum</w:t>
      </w:r>
      <w:r>
        <w:rPr>
          <w:i/>
          <w:iCs/>
          <w:color w:val="000000"/>
          <w:sz w:val="22"/>
          <w:lang w:val="en-US"/>
        </w:rPr>
        <w:t xml:space="preserve"> </w:t>
      </w:r>
      <w:r>
        <w:rPr>
          <w:iCs/>
          <w:color w:val="000000"/>
          <w:sz w:val="22"/>
          <w:lang w:val="en-US"/>
        </w:rPr>
        <w:t>[1]</w:t>
      </w:r>
      <w:r>
        <w:rPr>
          <w:color w:val="000000"/>
          <w:sz w:val="22"/>
          <w:lang w:val="en-US"/>
        </w:rPr>
        <w:t>.</w:t>
      </w:r>
      <w:r>
        <w:rPr>
          <w:color w:val="FF0000"/>
          <w:sz w:val="22"/>
          <w:lang w:val="en-US"/>
        </w:rPr>
        <w:t xml:space="preserve"> </w:t>
      </w:r>
      <w:proofErr w:type="spellStart"/>
      <w:r w:rsidRPr="005B6046">
        <w:rPr>
          <w:i/>
          <w:iCs/>
          <w:color w:val="000000"/>
          <w:sz w:val="22"/>
          <w:lang w:val="en-US"/>
        </w:rPr>
        <w:t>L.braziliensis</w:t>
      </w:r>
      <w:proofErr w:type="spellEnd"/>
      <w:r w:rsidRPr="005B6046">
        <w:rPr>
          <w:i/>
          <w:iCs/>
          <w:color w:val="000000"/>
          <w:sz w:val="22"/>
          <w:lang w:val="en-US"/>
        </w:rPr>
        <w:t xml:space="preserve"> </w:t>
      </w:r>
      <w:r>
        <w:rPr>
          <w:color w:val="000000"/>
          <w:sz w:val="22"/>
          <w:lang w:val="en-US"/>
        </w:rPr>
        <w:t>was</w:t>
      </w:r>
      <w:r w:rsidRPr="005B6046">
        <w:rPr>
          <w:color w:val="000000"/>
          <w:sz w:val="22"/>
          <w:lang w:val="en-US"/>
        </w:rPr>
        <w:t xml:space="preserve"> found in a significant rate in dogs (up to 20%)</w:t>
      </w:r>
      <w:r>
        <w:rPr>
          <w:color w:val="000000"/>
          <w:sz w:val="22"/>
          <w:lang w:val="en-US"/>
        </w:rPr>
        <w:t>,</w:t>
      </w:r>
      <w:r w:rsidRPr="005B6046">
        <w:rPr>
          <w:color w:val="000000"/>
          <w:sz w:val="22"/>
          <w:lang w:val="en-US"/>
        </w:rPr>
        <w:t xml:space="preserve"> but also in donkeys </w:t>
      </w:r>
      <w:r>
        <w:rPr>
          <w:color w:val="000000"/>
          <w:sz w:val="22"/>
          <w:lang w:val="en-US"/>
        </w:rPr>
        <w:t xml:space="preserve">(up to 30%), </w:t>
      </w:r>
      <w:r w:rsidRPr="005B6046">
        <w:rPr>
          <w:color w:val="000000"/>
          <w:sz w:val="22"/>
          <w:lang w:val="en-US"/>
        </w:rPr>
        <w:t>in different localities</w:t>
      </w:r>
      <w:r>
        <w:rPr>
          <w:color w:val="000000"/>
          <w:sz w:val="22"/>
          <w:lang w:val="en-US"/>
        </w:rPr>
        <w:t xml:space="preserve"> of the Cojedes state [2</w:t>
      </w:r>
      <w:proofErr w:type="gramStart"/>
      <w:r>
        <w:rPr>
          <w:color w:val="000000"/>
          <w:sz w:val="22"/>
          <w:lang w:val="en-US"/>
        </w:rPr>
        <w:t>,3</w:t>
      </w:r>
      <w:proofErr w:type="gramEnd"/>
      <w:r>
        <w:rPr>
          <w:color w:val="000000"/>
          <w:sz w:val="22"/>
          <w:lang w:val="en-US"/>
        </w:rPr>
        <w:t>]</w:t>
      </w:r>
      <w:r>
        <w:rPr>
          <w:sz w:val="22"/>
          <w:lang w:val="en-US"/>
        </w:rPr>
        <w:t>.</w:t>
      </w:r>
    </w:p>
    <w:p w:rsidR="00E504F6" w:rsidRDefault="00E504F6" w:rsidP="00E504F6">
      <w:pPr>
        <w:ind w:left="0" w:firstLine="0"/>
        <w:rPr>
          <w:sz w:val="22"/>
          <w:lang w:val="en-US"/>
        </w:rPr>
      </w:pPr>
    </w:p>
    <w:p w:rsidR="00E504F6" w:rsidRDefault="00E504F6" w:rsidP="00E504F6">
      <w:pPr>
        <w:ind w:left="0" w:firstLine="0"/>
        <w:rPr>
          <w:sz w:val="22"/>
          <w:lang w:val="en-US"/>
        </w:rPr>
      </w:pPr>
      <w:r>
        <w:rPr>
          <w:sz w:val="22"/>
          <w:lang w:val="en-US"/>
        </w:rPr>
        <w:t>CL ca</w:t>
      </w:r>
      <w:r w:rsidRPr="009F72CB">
        <w:rPr>
          <w:sz w:val="22"/>
          <w:lang w:val="en-US"/>
        </w:rPr>
        <w:t xml:space="preserve">ses are reported from small villages, new settlements located near wooded areas and the outskirts of towns or cities. </w:t>
      </w:r>
      <w:r>
        <w:rPr>
          <w:sz w:val="22"/>
          <w:lang w:val="en-US"/>
        </w:rPr>
        <w:t xml:space="preserve">The highest incidence in </w:t>
      </w:r>
      <w:r w:rsidRPr="009F72CB">
        <w:rPr>
          <w:sz w:val="22"/>
          <w:lang w:val="en-US"/>
        </w:rPr>
        <w:t>old endemic foci</w:t>
      </w:r>
      <w:r>
        <w:rPr>
          <w:sz w:val="22"/>
          <w:lang w:val="en-US"/>
        </w:rPr>
        <w:t xml:space="preserve"> is in the Andean region, </w:t>
      </w:r>
      <w:r>
        <w:rPr>
          <w:sz w:val="22"/>
          <w:lang w:val="en-US"/>
        </w:rPr>
        <w:t>in</w:t>
      </w:r>
      <w:r>
        <w:rPr>
          <w:sz w:val="22"/>
          <w:lang w:val="en-US"/>
        </w:rPr>
        <w:t xml:space="preserve"> the west, and in the mountains of the </w:t>
      </w:r>
      <w:proofErr w:type="spellStart"/>
      <w:r>
        <w:rPr>
          <w:sz w:val="22"/>
          <w:lang w:val="en-US"/>
        </w:rPr>
        <w:t>Serran</w:t>
      </w:r>
      <w:r w:rsidRPr="00F324FE">
        <w:rPr>
          <w:sz w:val="22"/>
          <w:lang w:val="en-GB"/>
        </w:rPr>
        <w:t>ía</w:t>
      </w:r>
      <w:proofErr w:type="spellEnd"/>
      <w:r w:rsidRPr="00F324FE">
        <w:rPr>
          <w:sz w:val="22"/>
          <w:lang w:val="en-GB"/>
        </w:rPr>
        <w:t xml:space="preserve"> de la Costa</w:t>
      </w:r>
      <w:r>
        <w:rPr>
          <w:sz w:val="22"/>
          <w:lang w:val="en-GB"/>
        </w:rPr>
        <w:t>,</w:t>
      </w:r>
      <w:r w:rsidRPr="00F324FE">
        <w:rPr>
          <w:sz w:val="22"/>
          <w:lang w:val="en-GB"/>
        </w:rPr>
        <w:t xml:space="preserve"> in central</w:t>
      </w:r>
      <w:r>
        <w:rPr>
          <w:sz w:val="22"/>
          <w:lang w:val="en-US"/>
        </w:rPr>
        <w:t xml:space="preserve"> Venezuela (Bolivarian Republic of). New foci are</w:t>
      </w:r>
      <w:r w:rsidRPr="009F72CB">
        <w:rPr>
          <w:sz w:val="22"/>
          <w:lang w:val="en-US"/>
        </w:rPr>
        <w:t xml:space="preserve"> mainly located in the lowlands of the Amazonian basin</w:t>
      </w:r>
      <w:r>
        <w:rPr>
          <w:sz w:val="22"/>
          <w:lang w:val="en-US"/>
        </w:rPr>
        <w:t>, including outbreaks in non-immune populations, mainly immigrant agricultural workers and miners, close to the forest [4]</w:t>
      </w:r>
      <w:r w:rsidRPr="009F72CB">
        <w:rPr>
          <w:sz w:val="22"/>
          <w:lang w:val="en-US"/>
        </w:rPr>
        <w:t xml:space="preserve">. The first human case caused by </w:t>
      </w:r>
      <w:r w:rsidRPr="009F72CB">
        <w:rPr>
          <w:i/>
          <w:iCs/>
          <w:sz w:val="22"/>
          <w:lang w:val="en-US"/>
        </w:rPr>
        <w:t xml:space="preserve">L. </w:t>
      </w:r>
      <w:proofErr w:type="spellStart"/>
      <w:r w:rsidRPr="009F72CB">
        <w:rPr>
          <w:i/>
          <w:iCs/>
          <w:sz w:val="22"/>
          <w:lang w:val="en-US"/>
        </w:rPr>
        <w:t>venezuelensis</w:t>
      </w:r>
      <w:proofErr w:type="spellEnd"/>
      <w:r w:rsidRPr="009F72CB">
        <w:rPr>
          <w:sz w:val="22"/>
          <w:lang w:val="en-US"/>
        </w:rPr>
        <w:t xml:space="preserve"> was diagnosed near </w:t>
      </w:r>
      <w:smartTag w:uri="urn:schemas-microsoft-com:office:smarttags" w:element="City">
        <w:smartTag w:uri="urn:schemas-microsoft-com:office:smarttags" w:element="place">
          <w:r w:rsidRPr="009F72CB">
            <w:rPr>
              <w:sz w:val="22"/>
              <w:lang w:val="en-US"/>
            </w:rPr>
            <w:t>Barquisimeto</w:t>
          </w:r>
        </w:smartTag>
      </w:smartTag>
      <w:r>
        <w:rPr>
          <w:sz w:val="22"/>
          <w:lang w:val="en-US"/>
        </w:rPr>
        <w:t>,</w:t>
      </w:r>
      <w:r w:rsidRPr="009F72CB">
        <w:rPr>
          <w:sz w:val="22"/>
          <w:lang w:val="en-US"/>
        </w:rPr>
        <w:t xml:space="preserve"> in Lara state</w:t>
      </w:r>
      <w:r>
        <w:rPr>
          <w:sz w:val="22"/>
          <w:lang w:val="en-US"/>
        </w:rPr>
        <w:t xml:space="preserve">, </w:t>
      </w:r>
      <w:r w:rsidRPr="009F72CB">
        <w:rPr>
          <w:sz w:val="22"/>
          <w:lang w:val="en-US"/>
        </w:rPr>
        <w:t xml:space="preserve">in 1974. </w:t>
      </w:r>
    </w:p>
    <w:p w:rsidR="00E504F6" w:rsidRDefault="00E504F6" w:rsidP="00E504F6">
      <w:pPr>
        <w:ind w:left="0" w:firstLine="0"/>
        <w:rPr>
          <w:sz w:val="22"/>
          <w:lang w:val="en-US"/>
        </w:rPr>
      </w:pPr>
    </w:p>
    <w:p w:rsidR="00E504F6" w:rsidRPr="00E953D6" w:rsidRDefault="00E504F6" w:rsidP="00E504F6">
      <w:pPr>
        <w:ind w:left="0" w:firstLine="0"/>
        <w:rPr>
          <w:sz w:val="22"/>
          <w:lang w:val="en-US"/>
        </w:rPr>
      </w:pPr>
      <w:r w:rsidRPr="009F72CB">
        <w:rPr>
          <w:sz w:val="22"/>
          <w:lang w:val="en-US"/>
        </w:rPr>
        <w:t>During the period from 1988 to 2007, 47</w:t>
      </w:r>
      <w:r>
        <w:rPr>
          <w:sz w:val="22"/>
          <w:lang w:val="en-US"/>
        </w:rPr>
        <w:t>,</w:t>
      </w:r>
      <w:r w:rsidRPr="009F72CB">
        <w:rPr>
          <w:sz w:val="22"/>
          <w:lang w:val="en-US"/>
        </w:rPr>
        <w:t xml:space="preserve">762 cases of CL </w:t>
      </w:r>
      <w:r>
        <w:rPr>
          <w:sz w:val="22"/>
          <w:lang w:val="en-US"/>
        </w:rPr>
        <w:t>were</w:t>
      </w:r>
      <w:r w:rsidRPr="009F72CB">
        <w:rPr>
          <w:sz w:val="22"/>
          <w:lang w:val="en-US"/>
        </w:rPr>
        <w:t xml:space="preserve"> reported, with an annual average of 2</w:t>
      </w:r>
      <w:r>
        <w:rPr>
          <w:sz w:val="22"/>
          <w:lang w:val="en-US"/>
        </w:rPr>
        <w:t>,</w:t>
      </w:r>
      <w:r w:rsidRPr="009F72CB">
        <w:rPr>
          <w:sz w:val="22"/>
          <w:lang w:val="en-US"/>
        </w:rPr>
        <w:t>388 cases. Of this total, 98.5% are localized CL, 0.84% MCL, 0.5% intermediate CL and 0.16% DCL</w:t>
      </w:r>
      <w:r>
        <w:rPr>
          <w:sz w:val="22"/>
          <w:lang w:val="en-US"/>
        </w:rPr>
        <w:t xml:space="preserve"> [5]</w:t>
      </w:r>
      <w:r w:rsidRPr="009F72CB">
        <w:rPr>
          <w:sz w:val="22"/>
          <w:lang w:val="en-US"/>
        </w:rPr>
        <w:t xml:space="preserve">. The </w:t>
      </w:r>
      <w:proofErr w:type="spellStart"/>
      <w:r w:rsidRPr="009F72CB">
        <w:rPr>
          <w:sz w:val="22"/>
          <w:lang w:val="en-US"/>
        </w:rPr>
        <w:t>male</w:t>
      </w:r>
      <w:proofErr w:type="gramStart"/>
      <w:r>
        <w:rPr>
          <w:sz w:val="22"/>
          <w:lang w:val="en-US"/>
        </w:rPr>
        <w:t>:</w:t>
      </w:r>
      <w:r w:rsidRPr="009F72CB">
        <w:rPr>
          <w:sz w:val="22"/>
          <w:lang w:val="en-US"/>
        </w:rPr>
        <w:t>female</w:t>
      </w:r>
      <w:proofErr w:type="spellEnd"/>
      <w:proofErr w:type="gramEnd"/>
      <w:r w:rsidRPr="009F72CB">
        <w:rPr>
          <w:sz w:val="22"/>
          <w:lang w:val="en-US"/>
        </w:rPr>
        <w:t xml:space="preserve"> ratio </w:t>
      </w:r>
      <w:r>
        <w:rPr>
          <w:sz w:val="22"/>
          <w:lang w:val="en-US"/>
        </w:rPr>
        <w:t>has been</w:t>
      </w:r>
      <w:r w:rsidRPr="009F72CB">
        <w:rPr>
          <w:sz w:val="22"/>
          <w:lang w:val="en-US"/>
        </w:rPr>
        <w:t xml:space="preserve"> 1:1.7</w:t>
      </w:r>
      <w:r>
        <w:rPr>
          <w:sz w:val="22"/>
          <w:lang w:val="en-US"/>
        </w:rPr>
        <w:t xml:space="preserve"> </w:t>
      </w:r>
      <w:r w:rsidRPr="009F72CB">
        <w:rPr>
          <w:sz w:val="22"/>
          <w:lang w:val="en-US"/>
        </w:rPr>
        <w:t xml:space="preserve">in the last five years. Although cases have been reported in all 23 states and the federal capital district, the most affected </w:t>
      </w:r>
      <w:r>
        <w:rPr>
          <w:sz w:val="22"/>
          <w:lang w:val="en-US"/>
        </w:rPr>
        <w:t xml:space="preserve">areas </w:t>
      </w:r>
      <w:r w:rsidRPr="009F72CB">
        <w:rPr>
          <w:sz w:val="22"/>
          <w:lang w:val="en-US"/>
        </w:rPr>
        <w:lastRenderedPageBreak/>
        <w:t xml:space="preserve">are those in the mountains, in particular the </w:t>
      </w:r>
      <w:smartTag w:uri="urn:schemas-microsoft-com:office:smarttags" w:element="place">
        <w:r w:rsidRPr="009F72CB">
          <w:rPr>
            <w:sz w:val="22"/>
            <w:lang w:val="en-US"/>
          </w:rPr>
          <w:t>Andes</w:t>
        </w:r>
      </w:smartTag>
      <w:r w:rsidRPr="009F72CB">
        <w:rPr>
          <w:sz w:val="22"/>
          <w:lang w:val="en-US"/>
        </w:rPr>
        <w:t xml:space="preserve"> states. </w:t>
      </w:r>
      <w:proofErr w:type="gramStart"/>
      <w:r>
        <w:rPr>
          <w:sz w:val="22"/>
          <w:lang w:val="en-US"/>
        </w:rPr>
        <w:t>B</w:t>
      </w:r>
      <w:r w:rsidRPr="00E953D6">
        <w:rPr>
          <w:sz w:val="22"/>
          <w:lang w:val="en-US"/>
        </w:rPr>
        <w:t>etween 1994-2008</w:t>
      </w:r>
      <w:r>
        <w:rPr>
          <w:sz w:val="22"/>
          <w:lang w:val="en-US"/>
        </w:rPr>
        <w:t>,</w:t>
      </w:r>
      <w:proofErr w:type="gramEnd"/>
      <w:r>
        <w:rPr>
          <w:sz w:val="22"/>
          <w:lang w:val="en-US"/>
        </w:rPr>
        <w:t xml:space="preserve"> around </w:t>
      </w:r>
      <w:r w:rsidRPr="00E953D6">
        <w:rPr>
          <w:sz w:val="22"/>
          <w:lang w:val="en-US"/>
        </w:rPr>
        <w:t>20-</w:t>
      </w:r>
      <w:r>
        <w:rPr>
          <w:sz w:val="22"/>
          <w:lang w:val="en-US"/>
        </w:rPr>
        <w:t>50</w:t>
      </w:r>
      <w:r w:rsidRPr="00E953D6">
        <w:rPr>
          <w:sz w:val="22"/>
          <w:lang w:val="en-US"/>
        </w:rPr>
        <w:t xml:space="preserve"> </w:t>
      </w:r>
      <w:r>
        <w:rPr>
          <w:sz w:val="22"/>
          <w:lang w:val="en-US"/>
        </w:rPr>
        <w:t xml:space="preserve">MCL </w:t>
      </w:r>
      <w:r w:rsidRPr="00E953D6">
        <w:rPr>
          <w:sz w:val="22"/>
          <w:lang w:val="en-US"/>
        </w:rPr>
        <w:t xml:space="preserve">cases </w:t>
      </w:r>
      <w:r>
        <w:rPr>
          <w:sz w:val="22"/>
          <w:lang w:val="en-US"/>
        </w:rPr>
        <w:t xml:space="preserve">occurred every </w:t>
      </w:r>
      <w:r w:rsidRPr="00E953D6">
        <w:rPr>
          <w:sz w:val="22"/>
          <w:lang w:val="en-US"/>
        </w:rPr>
        <w:t>year</w:t>
      </w:r>
      <w:r>
        <w:rPr>
          <w:sz w:val="22"/>
          <w:lang w:val="en-US"/>
        </w:rPr>
        <w:t>.</w:t>
      </w:r>
    </w:p>
    <w:p w:rsidR="00E504F6" w:rsidRPr="009F72CB" w:rsidRDefault="00E504F6" w:rsidP="00E504F6">
      <w:pPr>
        <w:ind w:left="0" w:firstLine="0"/>
        <w:rPr>
          <w:sz w:val="22"/>
          <w:lang w:val="en-US"/>
        </w:rPr>
      </w:pPr>
    </w:p>
    <w:p w:rsidR="00E504F6" w:rsidRPr="009F72CB" w:rsidRDefault="00E504F6" w:rsidP="00E504F6">
      <w:pPr>
        <w:ind w:left="0" w:firstLine="0"/>
        <w:rPr>
          <w:sz w:val="22"/>
          <w:lang w:val="en-US"/>
        </w:rPr>
      </w:pPr>
      <w:r>
        <w:rPr>
          <w:sz w:val="22"/>
          <w:lang w:val="en-US"/>
        </w:rPr>
        <w:t>VL o</w:t>
      </w:r>
      <w:r w:rsidRPr="009F72CB">
        <w:rPr>
          <w:sz w:val="22"/>
          <w:lang w:val="en-US"/>
        </w:rPr>
        <w:t>ccur</w:t>
      </w:r>
      <w:r>
        <w:rPr>
          <w:sz w:val="22"/>
          <w:lang w:val="en-US"/>
        </w:rPr>
        <w:t>s</w:t>
      </w:r>
      <w:r w:rsidRPr="009F72CB">
        <w:rPr>
          <w:sz w:val="22"/>
          <w:lang w:val="en-US"/>
        </w:rPr>
        <w:t xml:space="preserve"> sporadically</w:t>
      </w:r>
      <w:r>
        <w:rPr>
          <w:sz w:val="22"/>
          <w:lang w:val="en-US"/>
        </w:rPr>
        <w:t>,</w:t>
      </w:r>
      <w:r w:rsidRPr="009F72CB">
        <w:rPr>
          <w:sz w:val="22"/>
          <w:lang w:val="en-US"/>
        </w:rPr>
        <w:t xml:space="preserve"> with a very low </w:t>
      </w:r>
      <w:proofErr w:type="spellStart"/>
      <w:r w:rsidRPr="009F72CB">
        <w:rPr>
          <w:sz w:val="22"/>
          <w:lang w:val="en-US"/>
        </w:rPr>
        <w:t>endemicity</w:t>
      </w:r>
      <w:proofErr w:type="spellEnd"/>
      <w:r>
        <w:rPr>
          <w:sz w:val="22"/>
          <w:lang w:val="en-US"/>
        </w:rPr>
        <w:t xml:space="preserve">, </w:t>
      </w:r>
      <w:r w:rsidRPr="009F72CB">
        <w:rPr>
          <w:sz w:val="22"/>
          <w:lang w:val="en-US"/>
        </w:rPr>
        <w:t>in almost all states</w:t>
      </w:r>
      <w:r>
        <w:rPr>
          <w:sz w:val="22"/>
          <w:lang w:val="en-US"/>
        </w:rPr>
        <w:t>,</w:t>
      </w:r>
      <w:r w:rsidRPr="009F72CB">
        <w:rPr>
          <w:sz w:val="22"/>
          <w:lang w:val="en-US"/>
        </w:rPr>
        <w:t xml:space="preserve"> </w:t>
      </w:r>
      <w:r>
        <w:rPr>
          <w:sz w:val="22"/>
          <w:lang w:val="en-US"/>
        </w:rPr>
        <w:t>but there are four major foci in central, western, southern and eastern Venezuela (Bolivarian Republic of) [5]. The</w:t>
      </w:r>
      <w:r w:rsidRPr="009F72CB">
        <w:rPr>
          <w:sz w:val="22"/>
          <w:lang w:val="en-US"/>
        </w:rPr>
        <w:t xml:space="preserve"> annual average from 1990 to 2007 </w:t>
      </w:r>
      <w:r>
        <w:rPr>
          <w:sz w:val="22"/>
          <w:lang w:val="en-US"/>
        </w:rPr>
        <w:t xml:space="preserve">was </w:t>
      </w:r>
      <w:r w:rsidRPr="009F72CB">
        <w:rPr>
          <w:sz w:val="22"/>
          <w:lang w:val="en-US"/>
        </w:rPr>
        <w:t>31 cases</w:t>
      </w:r>
      <w:r>
        <w:rPr>
          <w:sz w:val="22"/>
          <w:lang w:val="en-US"/>
        </w:rPr>
        <w:t>, with a global incidence of 0.2 per 100,000 persons</w:t>
      </w:r>
      <w:r w:rsidRPr="009F72CB">
        <w:rPr>
          <w:sz w:val="22"/>
          <w:lang w:val="en-US"/>
        </w:rPr>
        <w:t xml:space="preserve">. </w:t>
      </w:r>
      <w:r>
        <w:rPr>
          <w:sz w:val="22"/>
          <w:lang w:val="en-US"/>
        </w:rPr>
        <w:t xml:space="preserve">26% of the cases are from the island </w:t>
      </w:r>
      <w:r w:rsidRPr="00FA3542">
        <w:rPr>
          <w:color w:val="000000"/>
          <w:sz w:val="22"/>
          <w:lang w:val="en-US"/>
        </w:rPr>
        <w:t>of Margarita, Nueva Esparta state</w:t>
      </w:r>
      <w:r>
        <w:rPr>
          <w:color w:val="000000"/>
          <w:sz w:val="22"/>
          <w:lang w:val="en-US"/>
        </w:rPr>
        <w:t>,</w:t>
      </w:r>
      <w:r w:rsidRPr="00FA3542">
        <w:rPr>
          <w:color w:val="000000"/>
          <w:sz w:val="22"/>
          <w:lang w:val="en-US"/>
        </w:rPr>
        <w:t xml:space="preserve"> where the incidence is around 3-4%</w:t>
      </w:r>
      <w:r>
        <w:rPr>
          <w:color w:val="000000"/>
          <w:sz w:val="22"/>
          <w:lang w:val="en-US"/>
        </w:rPr>
        <w:t xml:space="preserve"> and the case fatality rate is 3% [5</w:t>
      </w:r>
      <w:proofErr w:type="gramStart"/>
      <w:r>
        <w:rPr>
          <w:color w:val="000000"/>
          <w:sz w:val="22"/>
          <w:lang w:val="en-US"/>
        </w:rPr>
        <w:t>,7,8</w:t>
      </w:r>
      <w:proofErr w:type="gramEnd"/>
      <w:r>
        <w:rPr>
          <w:color w:val="000000"/>
          <w:sz w:val="22"/>
          <w:lang w:val="en-US"/>
        </w:rPr>
        <w:t>].</w:t>
      </w:r>
      <w:r>
        <w:rPr>
          <w:color w:val="FF0000"/>
          <w:sz w:val="22"/>
          <w:lang w:val="en-US"/>
        </w:rPr>
        <w:t xml:space="preserve"> </w:t>
      </w:r>
      <w:r>
        <w:rPr>
          <w:sz w:val="22"/>
          <w:lang w:val="en-US"/>
        </w:rPr>
        <w:t>In the eastern focus of Anzoátegui state, the incidence is estimated at 6 per 100,000 inhabitants [9]</w:t>
      </w:r>
      <w:r w:rsidRPr="00721CD5">
        <w:rPr>
          <w:color w:val="000000"/>
          <w:sz w:val="22"/>
          <w:lang w:val="en-US"/>
        </w:rPr>
        <w:t>. The main reservoir is the dog</w:t>
      </w:r>
      <w:r>
        <w:rPr>
          <w:color w:val="000000"/>
          <w:sz w:val="22"/>
          <w:lang w:val="en-US"/>
        </w:rPr>
        <w:t>,</w:t>
      </w:r>
      <w:r w:rsidRPr="00721CD5">
        <w:rPr>
          <w:color w:val="000000"/>
          <w:sz w:val="22"/>
          <w:lang w:val="en-US"/>
        </w:rPr>
        <w:t xml:space="preserve"> with an infection rate of 21</w:t>
      </w:r>
      <w:r>
        <w:rPr>
          <w:color w:val="000000"/>
          <w:sz w:val="22"/>
          <w:lang w:val="en-US"/>
        </w:rPr>
        <w:t>.</w:t>
      </w:r>
      <w:r w:rsidRPr="00721CD5">
        <w:rPr>
          <w:color w:val="000000"/>
          <w:sz w:val="22"/>
          <w:lang w:val="en-US"/>
        </w:rPr>
        <w:t xml:space="preserve">6% in the </w:t>
      </w:r>
      <w:smartTag w:uri="urn:schemas-microsoft-com:office:smarttags" w:element="place">
        <w:smartTag w:uri="urn:schemas-microsoft-com:office:smarttags" w:element="PlaceType">
          <w:r w:rsidRPr="00721CD5">
            <w:rPr>
              <w:color w:val="000000"/>
              <w:sz w:val="22"/>
              <w:lang w:val="en-US"/>
            </w:rPr>
            <w:t>island</w:t>
          </w:r>
        </w:smartTag>
        <w:r w:rsidRPr="00721CD5">
          <w:rPr>
            <w:color w:val="000000"/>
            <w:sz w:val="22"/>
            <w:lang w:val="en-US"/>
          </w:rPr>
          <w:t xml:space="preserve"> of </w:t>
        </w:r>
        <w:smartTag w:uri="urn:schemas-microsoft-com:office:smarttags" w:element="PlaceName">
          <w:r w:rsidRPr="00721CD5">
            <w:rPr>
              <w:color w:val="000000"/>
              <w:sz w:val="22"/>
              <w:lang w:val="en-US"/>
            </w:rPr>
            <w:t>Margarita</w:t>
          </w:r>
        </w:smartTag>
      </w:smartTag>
      <w:r>
        <w:rPr>
          <w:color w:val="000000"/>
          <w:sz w:val="22"/>
          <w:lang w:val="en-US"/>
        </w:rPr>
        <w:t xml:space="preserve"> [9]</w:t>
      </w:r>
      <w:r>
        <w:rPr>
          <w:color w:val="000000"/>
          <w:sz w:val="22"/>
          <w:vertAlign w:val="superscript"/>
          <w:lang w:val="en-US"/>
        </w:rPr>
        <w:t xml:space="preserve"> </w:t>
      </w:r>
      <w:r w:rsidRPr="00721CD5">
        <w:rPr>
          <w:color w:val="000000"/>
          <w:sz w:val="22"/>
          <w:lang w:val="en-US"/>
        </w:rPr>
        <w:t>and a certain degree of clustering with human cases in micro-foci of transmission</w:t>
      </w:r>
      <w:r>
        <w:rPr>
          <w:color w:val="000000"/>
          <w:sz w:val="22"/>
          <w:lang w:val="en-US"/>
        </w:rPr>
        <w:t xml:space="preserve"> [7].</w:t>
      </w:r>
      <w:r>
        <w:rPr>
          <w:color w:val="FF0000"/>
          <w:sz w:val="22"/>
          <w:lang w:val="en-US"/>
        </w:rPr>
        <w:t xml:space="preserve"> </w:t>
      </w:r>
      <w:r w:rsidRPr="00621075">
        <w:rPr>
          <w:color w:val="000000"/>
          <w:sz w:val="22"/>
          <w:lang w:val="en-US"/>
        </w:rPr>
        <w:t>A</w:t>
      </w:r>
      <w:r w:rsidRPr="009F72CB">
        <w:rPr>
          <w:sz w:val="22"/>
          <w:lang w:val="en-US"/>
        </w:rPr>
        <w:t>pproximately 15,034,800 people are considered to be at risk for VL in 14 municipalities.</w:t>
      </w:r>
      <w:r>
        <w:rPr>
          <w:color w:val="FF0000"/>
          <w:sz w:val="22"/>
          <w:lang w:val="en-US"/>
        </w:rPr>
        <w:t xml:space="preserve"> </w:t>
      </w:r>
    </w:p>
    <w:p w:rsidR="00E504F6" w:rsidRPr="009F72CB" w:rsidRDefault="00E504F6" w:rsidP="00E504F6">
      <w:pPr>
        <w:rPr>
          <w:sz w:val="22"/>
          <w:lang w:val="en-US"/>
        </w:rPr>
      </w:pPr>
    </w:p>
    <w:p w:rsidR="00E504F6" w:rsidRPr="009F72CB" w:rsidRDefault="00E504F6" w:rsidP="00E504F6">
      <w:pPr>
        <w:rPr>
          <w:sz w:val="22"/>
          <w:lang w:val="en-US"/>
        </w:rPr>
      </w:pPr>
      <w:r w:rsidRPr="009F72CB">
        <w:rPr>
          <w:sz w:val="22"/>
          <w:lang w:val="en-US"/>
        </w:rPr>
        <w:t>HIV-</w:t>
      </w:r>
      <w:r w:rsidRPr="009F72CB">
        <w:rPr>
          <w:i/>
          <w:iCs/>
          <w:sz w:val="22"/>
          <w:lang w:val="en-US"/>
        </w:rPr>
        <w:t>Leishmania</w:t>
      </w:r>
      <w:r w:rsidRPr="009F72CB">
        <w:rPr>
          <w:sz w:val="22"/>
          <w:lang w:val="en-US"/>
        </w:rPr>
        <w:t xml:space="preserve"> co</w:t>
      </w:r>
      <w:r>
        <w:rPr>
          <w:sz w:val="22"/>
          <w:lang w:val="en-US"/>
        </w:rPr>
        <w:t>-</w:t>
      </w:r>
      <w:r w:rsidRPr="009F72CB">
        <w:rPr>
          <w:sz w:val="22"/>
          <w:lang w:val="en-US"/>
        </w:rPr>
        <w:t xml:space="preserve">infection has been reported. </w:t>
      </w:r>
    </w:p>
    <w:p w:rsidR="00E504F6" w:rsidRPr="009F72CB" w:rsidRDefault="00E504F6" w:rsidP="00E504F6">
      <w:pPr>
        <w:rPr>
          <w:sz w:val="22"/>
          <w:lang w:val="en-US"/>
        </w:rPr>
      </w:pPr>
    </w:p>
    <w:p w:rsidR="00E504F6" w:rsidRPr="00F324FE" w:rsidRDefault="00E504F6" w:rsidP="00E504F6">
      <w:pPr>
        <w:rPr>
          <w:sz w:val="22"/>
          <w:lang w:val="en-GB"/>
        </w:rPr>
      </w:pPr>
    </w:p>
    <w:p w:rsidR="00E504F6" w:rsidRPr="009F72CB" w:rsidRDefault="00E504F6" w:rsidP="00E504F6">
      <w:pPr>
        <w:rPr>
          <w:b/>
          <w:bCs/>
          <w:sz w:val="22"/>
        </w:rPr>
      </w:pPr>
      <w:r w:rsidRPr="009F72CB">
        <w:rPr>
          <w:b/>
          <w:bCs/>
          <w:sz w:val="22"/>
        </w:rPr>
        <w:t>PARASITOLOGICAL INFORMATION</w:t>
      </w:r>
    </w:p>
    <w:p w:rsidR="00E504F6" w:rsidRDefault="00E504F6" w:rsidP="00E504F6">
      <w:pPr>
        <w:rPr>
          <w:sz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2251"/>
        <w:gridCol w:w="2427"/>
        <w:gridCol w:w="2340"/>
      </w:tblGrid>
      <w:tr w:rsidR="00E504F6" w:rsidRPr="002C75B8" w:rsidTr="00A7768B">
        <w:tc>
          <w:tcPr>
            <w:tcW w:w="2270" w:type="dxa"/>
            <w:vAlign w:val="center"/>
          </w:tcPr>
          <w:p w:rsidR="00E504F6" w:rsidRPr="002C75B8" w:rsidRDefault="00E504F6" w:rsidP="00A7768B">
            <w:pPr>
              <w:jc w:val="center"/>
              <w:rPr>
                <w:b/>
                <w:bCs/>
                <w:sz w:val="22"/>
              </w:rPr>
            </w:pPr>
            <w:r w:rsidRPr="002C75B8">
              <w:rPr>
                <w:b/>
                <w:bCs/>
                <w:i/>
                <w:iCs/>
                <w:sz w:val="22"/>
              </w:rPr>
              <w:t xml:space="preserve">Leishmania </w:t>
            </w:r>
            <w:proofErr w:type="spellStart"/>
            <w:r w:rsidRPr="002C75B8">
              <w:rPr>
                <w:b/>
                <w:bCs/>
                <w:sz w:val="22"/>
              </w:rPr>
              <w:t>species</w:t>
            </w:r>
            <w:proofErr w:type="spellEnd"/>
            <w:r>
              <w:rPr>
                <w:b/>
                <w:bCs/>
                <w:sz w:val="22"/>
              </w:rPr>
              <w:t xml:space="preserve">  </w:t>
            </w:r>
          </w:p>
        </w:tc>
        <w:tc>
          <w:tcPr>
            <w:tcW w:w="2251" w:type="dxa"/>
            <w:vAlign w:val="center"/>
          </w:tcPr>
          <w:p w:rsidR="00E504F6" w:rsidRPr="002C75B8" w:rsidRDefault="00E504F6" w:rsidP="00A7768B">
            <w:pPr>
              <w:jc w:val="center"/>
              <w:rPr>
                <w:b/>
                <w:bCs/>
                <w:sz w:val="22"/>
              </w:rPr>
            </w:pPr>
          </w:p>
          <w:p w:rsidR="00E504F6" w:rsidRPr="002C75B8" w:rsidRDefault="00E504F6" w:rsidP="00A7768B">
            <w:pPr>
              <w:jc w:val="center"/>
              <w:rPr>
                <w:b/>
                <w:bCs/>
                <w:sz w:val="22"/>
              </w:rPr>
            </w:pPr>
            <w:proofErr w:type="spellStart"/>
            <w:r w:rsidRPr="002C75B8">
              <w:rPr>
                <w:b/>
                <w:bCs/>
                <w:sz w:val="22"/>
              </w:rPr>
              <w:t>Clinical</w:t>
            </w:r>
            <w:proofErr w:type="spellEnd"/>
            <w:r w:rsidRPr="002C75B8">
              <w:rPr>
                <w:b/>
                <w:bCs/>
                <w:sz w:val="22"/>
              </w:rPr>
              <w:t xml:space="preserve"> </w:t>
            </w:r>
            <w:proofErr w:type="spellStart"/>
            <w:r w:rsidRPr="002C75B8">
              <w:rPr>
                <w:b/>
                <w:bCs/>
                <w:sz w:val="22"/>
              </w:rPr>
              <w:t>form</w:t>
            </w:r>
            <w:proofErr w:type="spellEnd"/>
          </w:p>
        </w:tc>
        <w:tc>
          <w:tcPr>
            <w:tcW w:w="2427" w:type="dxa"/>
            <w:vAlign w:val="center"/>
          </w:tcPr>
          <w:p w:rsidR="00E504F6" w:rsidRPr="002C75B8" w:rsidRDefault="00E504F6" w:rsidP="00A7768B">
            <w:pPr>
              <w:jc w:val="center"/>
              <w:rPr>
                <w:b/>
                <w:bCs/>
                <w:sz w:val="22"/>
              </w:rPr>
            </w:pPr>
          </w:p>
          <w:p w:rsidR="00E504F6" w:rsidRPr="002C75B8" w:rsidRDefault="00E504F6" w:rsidP="00A7768B">
            <w:pPr>
              <w:jc w:val="center"/>
              <w:rPr>
                <w:b/>
                <w:bCs/>
                <w:sz w:val="22"/>
              </w:rPr>
            </w:pPr>
            <w:r w:rsidRPr="002C75B8">
              <w:rPr>
                <w:b/>
                <w:bCs/>
                <w:sz w:val="22"/>
              </w:rPr>
              <w:t xml:space="preserve">Vector </w:t>
            </w:r>
            <w:proofErr w:type="spellStart"/>
            <w:r w:rsidRPr="002C75B8">
              <w:rPr>
                <w:b/>
                <w:bCs/>
                <w:sz w:val="22"/>
              </w:rPr>
              <w:t>species</w:t>
            </w:r>
            <w:proofErr w:type="spellEnd"/>
          </w:p>
        </w:tc>
        <w:tc>
          <w:tcPr>
            <w:tcW w:w="2340" w:type="dxa"/>
            <w:vAlign w:val="center"/>
          </w:tcPr>
          <w:p w:rsidR="00E504F6" w:rsidRPr="002C75B8" w:rsidRDefault="00E504F6" w:rsidP="00A7768B">
            <w:pPr>
              <w:jc w:val="center"/>
              <w:rPr>
                <w:b/>
                <w:bCs/>
                <w:sz w:val="22"/>
              </w:rPr>
            </w:pPr>
          </w:p>
          <w:p w:rsidR="00E504F6" w:rsidRPr="002C75B8" w:rsidRDefault="00E504F6" w:rsidP="00A7768B">
            <w:pPr>
              <w:jc w:val="center"/>
              <w:rPr>
                <w:b/>
                <w:bCs/>
                <w:sz w:val="22"/>
              </w:rPr>
            </w:pPr>
            <w:proofErr w:type="spellStart"/>
            <w:r w:rsidRPr="002C75B8">
              <w:rPr>
                <w:b/>
                <w:bCs/>
                <w:sz w:val="22"/>
              </w:rPr>
              <w:t>Reservoirs</w:t>
            </w:r>
            <w:proofErr w:type="spellEnd"/>
          </w:p>
        </w:tc>
      </w:tr>
      <w:tr w:rsidR="00E504F6" w:rsidRPr="002C75B8" w:rsidTr="00A7768B">
        <w:tc>
          <w:tcPr>
            <w:tcW w:w="2270" w:type="dxa"/>
            <w:vAlign w:val="center"/>
          </w:tcPr>
          <w:p w:rsidR="00E504F6" w:rsidRPr="009F72CB" w:rsidRDefault="00E504F6" w:rsidP="00A7768B">
            <w:pPr>
              <w:rPr>
                <w:sz w:val="22"/>
              </w:rPr>
            </w:pPr>
            <w:r w:rsidRPr="009F72CB">
              <w:rPr>
                <w:i/>
                <w:iCs/>
                <w:sz w:val="22"/>
                <w:lang w:val="en-US"/>
              </w:rPr>
              <w:t>L. braziliensis</w:t>
            </w:r>
          </w:p>
        </w:tc>
        <w:tc>
          <w:tcPr>
            <w:tcW w:w="2251" w:type="dxa"/>
            <w:vAlign w:val="center"/>
          </w:tcPr>
          <w:p w:rsidR="00E504F6" w:rsidRPr="009F72CB" w:rsidRDefault="00E504F6" w:rsidP="00A7768B">
            <w:pPr>
              <w:rPr>
                <w:sz w:val="22"/>
                <w:lang w:val="en-US"/>
              </w:rPr>
            </w:pPr>
          </w:p>
          <w:p w:rsidR="00E504F6" w:rsidRPr="009F72CB" w:rsidRDefault="00E504F6" w:rsidP="00A7768B">
            <w:pPr>
              <w:rPr>
                <w:sz w:val="22"/>
                <w:lang w:val="en-US"/>
              </w:rPr>
            </w:pPr>
            <w:r w:rsidRPr="009F72CB">
              <w:rPr>
                <w:sz w:val="22"/>
                <w:lang w:val="en-US"/>
              </w:rPr>
              <w:t>ZCL, MCL</w:t>
            </w:r>
          </w:p>
        </w:tc>
        <w:tc>
          <w:tcPr>
            <w:tcW w:w="2427" w:type="dxa"/>
            <w:vAlign w:val="center"/>
          </w:tcPr>
          <w:p w:rsidR="00E504F6" w:rsidRDefault="00E504F6" w:rsidP="00A7768B">
            <w:pPr>
              <w:rPr>
                <w:i/>
                <w:iCs/>
                <w:sz w:val="22"/>
                <w:lang w:val="fi-FI"/>
              </w:rPr>
            </w:pPr>
            <w:r w:rsidRPr="009F72CB">
              <w:rPr>
                <w:i/>
                <w:iCs/>
                <w:sz w:val="22"/>
                <w:lang w:val="fi-FI"/>
              </w:rPr>
              <w:t>Lu. ovallesi,</w:t>
            </w:r>
          </w:p>
          <w:p w:rsidR="00E504F6" w:rsidRDefault="00E504F6" w:rsidP="00A7768B">
            <w:pPr>
              <w:rPr>
                <w:i/>
                <w:iCs/>
                <w:sz w:val="22"/>
                <w:lang w:val="fi-FI"/>
              </w:rPr>
            </w:pPr>
            <w:r w:rsidRPr="009F72CB">
              <w:rPr>
                <w:i/>
                <w:iCs/>
                <w:sz w:val="22"/>
                <w:lang w:val="fi-FI"/>
              </w:rPr>
              <w:t xml:space="preserve">Lu. trinidanensis, </w:t>
            </w:r>
          </w:p>
          <w:p w:rsidR="00E504F6" w:rsidRDefault="00E504F6" w:rsidP="00A7768B">
            <w:pPr>
              <w:rPr>
                <w:i/>
                <w:iCs/>
                <w:sz w:val="22"/>
                <w:lang w:val="fi-FI"/>
              </w:rPr>
            </w:pPr>
            <w:r w:rsidRPr="009F72CB">
              <w:rPr>
                <w:i/>
                <w:iCs/>
                <w:sz w:val="22"/>
                <w:lang w:val="fi-FI"/>
              </w:rPr>
              <w:t xml:space="preserve">Lu. spinicrassa, </w:t>
            </w:r>
          </w:p>
          <w:p w:rsidR="00E504F6" w:rsidRPr="009F72CB" w:rsidRDefault="00E504F6" w:rsidP="00A7768B">
            <w:pPr>
              <w:rPr>
                <w:sz w:val="22"/>
              </w:rPr>
            </w:pPr>
            <w:r w:rsidRPr="009F72CB">
              <w:rPr>
                <w:i/>
                <w:iCs/>
                <w:sz w:val="22"/>
                <w:lang w:val="fi-FI"/>
              </w:rPr>
              <w:t>Lu. panamensis</w:t>
            </w:r>
          </w:p>
        </w:tc>
        <w:tc>
          <w:tcPr>
            <w:tcW w:w="2340" w:type="dxa"/>
            <w:vAlign w:val="center"/>
          </w:tcPr>
          <w:p w:rsidR="00E504F6" w:rsidRPr="009F72CB" w:rsidRDefault="00E504F6" w:rsidP="00A7768B">
            <w:pPr>
              <w:rPr>
                <w:sz w:val="22"/>
                <w:lang w:val="en-US"/>
              </w:rPr>
            </w:pPr>
            <w:r w:rsidRPr="009F72CB">
              <w:rPr>
                <w:sz w:val="22"/>
                <w:lang w:val="en-US"/>
              </w:rPr>
              <w:t>Unknown</w:t>
            </w:r>
          </w:p>
        </w:tc>
      </w:tr>
      <w:tr w:rsidR="00E504F6" w:rsidRPr="002C75B8" w:rsidTr="00A7768B">
        <w:tc>
          <w:tcPr>
            <w:tcW w:w="2270" w:type="dxa"/>
            <w:vAlign w:val="center"/>
          </w:tcPr>
          <w:p w:rsidR="00E504F6" w:rsidRPr="009F72CB" w:rsidRDefault="00E504F6" w:rsidP="00A7768B">
            <w:pPr>
              <w:rPr>
                <w:sz w:val="22"/>
              </w:rPr>
            </w:pPr>
            <w:r w:rsidRPr="009F72CB">
              <w:rPr>
                <w:i/>
                <w:iCs/>
                <w:sz w:val="22"/>
                <w:lang w:val="en-US"/>
              </w:rPr>
              <w:t xml:space="preserve">L. </w:t>
            </w:r>
            <w:proofErr w:type="spellStart"/>
            <w:r w:rsidRPr="009F72CB">
              <w:rPr>
                <w:i/>
                <w:iCs/>
                <w:sz w:val="22"/>
                <w:lang w:val="en-US"/>
              </w:rPr>
              <w:t>colombiensis</w:t>
            </w:r>
            <w:proofErr w:type="spellEnd"/>
          </w:p>
        </w:tc>
        <w:tc>
          <w:tcPr>
            <w:tcW w:w="2251" w:type="dxa"/>
            <w:vAlign w:val="center"/>
          </w:tcPr>
          <w:p w:rsidR="00E504F6" w:rsidRPr="009F72CB" w:rsidRDefault="00E504F6" w:rsidP="00A7768B">
            <w:pPr>
              <w:rPr>
                <w:sz w:val="22"/>
              </w:rPr>
            </w:pPr>
            <w:r w:rsidRPr="009F72CB">
              <w:rPr>
                <w:sz w:val="22"/>
                <w:lang w:val="en-US"/>
              </w:rPr>
              <w:t>ZCL</w:t>
            </w:r>
          </w:p>
        </w:tc>
        <w:tc>
          <w:tcPr>
            <w:tcW w:w="2427" w:type="dxa"/>
            <w:vAlign w:val="center"/>
          </w:tcPr>
          <w:p w:rsidR="00E504F6" w:rsidRDefault="00E504F6" w:rsidP="00A7768B">
            <w:pPr>
              <w:rPr>
                <w:i/>
                <w:iCs/>
                <w:sz w:val="22"/>
                <w:lang w:val="en-US"/>
              </w:rPr>
            </w:pPr>
            <w:r w:rsidRPr="009F72CB">
              <w:rPr>
                <w:i/>
                <w:iCs/>
                <w:sz w:val="22"/>
                <w:lang w:val="en-US"/>
              </w:rPr>
              <w:t xml:space="preserve">Lu. panamensis, </w:t>
            </w:r>
          </w:p>
          <w:p w:rsidR="00E504F6" w:rsidRPr="009F72CB" w:rsidRDefault="00E504F6" w:rsidP="00A7768B">
            <w:pPr>
              <w:rPr>
                <w:sz w:val="22"/>
              </w:rPr>
            </w:pPr>
            <w:r w:rsidRPr="009F72CB">
              <w:rPr>
                <w:i/>
                <w:iCs/>
                <w:sz w:val="22"/>
                <w:lang w:val="en-US"/>
              </w:rPr>
              <w:t xml:space="preserve">Lu. </w:t>
            </w:r>
            <w:proofErr w:type="spellStart"/>
            <w:r w:rsidRPr="009F72CB">
              <w:rPr>
                <w:i/>
                <w:iCs/>
                <w:sz w:val="22"/>
                <w:lang w:val="en-US"/>
              </w:rPr>
              <w:t>gomezi</w:t>
            </w:r>
            <w:proofErr w:type="spellEnd"/>
          </w:p>
        </w:tc>
        <w:tc>
          <w:tcPr>
            <w:tcW w:w="2340" w:type="dxa"/>
            <w:vAlign w:val="center"/>
          </w:tcPr>
          <w:p w:rsidR="00E504F6" w:rsidRPr="009F72CB" w:rsidRDefault="00E504F6" w:rsidP="00A7768B">
            <w:pPr>
              <w:rPr>
                <w:sz w:val="22"/>
              </w:rPr>
            </w:pPr>
            <w:r w:rsidRPr="009F72CB">
              <w:rPr>
                <w:sz w:val="22"/>
                <w:lang w:val="en-US"/>
              </w:rPr>
              <w:t>Unknown</w:t>
            </w:r>
          </w:p>
        </w:tc>
      </w:tr>
      <w:tr w:rsidR="00E504F6" w:rsidRPr="002C75B8" w:rsidTr="00A7768B">
        <w:tc>
          <w:tcPr>
            <w:tcW w:w="2270" w:type="dxa"/>
            <w:vAlign w:val="center"/>
          </w:tcPr>
          <w:p w:rsidR="00E504F6" w:rsidRPr="009F72CB" w:rsidRDefault="00E504F6" w:rsidP="00A7768B">
            <w:pPr>
              <w:rPr>
                <w:sz w:val="22"/>
              </w:rPr>
            </w:pPr>
            <w:r w:rsidRPr="009F72CB">
              <w:rPr>
                <w:i/>
                <w:iCs/>
                <w:sz w:val="22"/>
                <w:lang w:val="en-US"/>
              </w:rPr>
              <w:t xml:space="preserve">L. </w:t>
            </w:r>
            <w:proofErr w:type="spellStart"/>
            <w:r w:rsidRPr="009F72CB">
              <w:rPr>
                <w:i/>
                <w:iCs/>
                <w:sz w:val="22"/>
                <w:lang w:val="en-US"/>
              </w:rPr>
              <w:t>venezuelensis</w:t>
            </w:r>
            <w:proofErr w:type="spellEnd"/>
          </w:p>
        </w:tc>
        <w:tc>
          <w:tcPr>
            <w:tcW w:w="2251" w:type="dxa"/>
            <w:vAlign w:val="center"/>
          </w:tcPr>
          <w:p w:rsidR="00E504F6" w:rsidRPr="009F72CB" w:rsidRDefault="00E504F6" w:rsidP="00A7768B">
            <w:pPr>
              <w:rPr>
                <w:sz w:val="22"/>
              </w:rPr>
            </w:pPr>
            <w:r w:rsidRPr="009F72CB">
              <w:rPr>
                <w:sz w:val="22"/>
                <w:lang w:val="en-US"/>
              </w:rPr>
              <w:t>ZCL, DCL</w:t>
            </w:r>
          </w:p>
        </w:tc>
        <w:tc>
          <w:tcPr>
            <w:tcW w:w="2427" w:type="dxa"/>
            <w:vAlign w:val="center"/>
          </w:tcPr>
          <w:p w:rsidR="00E504F6" w:rsidRPr="009F72CB" w:rsidRDefault="00E504F6" w:rsidP="00A7768B">
            <w:pPr>
              <w:rPr>
                <w:sz w:val="22"/>
              </w:rPr>
            </w:pPr>
            <w:r w:rsidRPr="009F72CB">
              <w:rPr>
                <w:i/>
                <w:iCs/>
                <w:sz w:val="22"/>
                <w:lang w:val="en-US"/>
              </w:rPr>
              <w:t xml:space="preserve">Lu. </w:t>
            </w:r>
            <w:proofErr w:type="spellStart"/>
            <w:r w:rsidRPr="009F72CB">
              <w:rPr>
                <w:i/>
                <w:iCs/>
                <w:sz w:val="22"/>
                <w:lang w:val="en-US"/>
              </w:rPr>
              <w:t>olmeca</w:t>
            </w:r>
            <w:proofErr w:type="spellEnd"/>
            <w:r w:rsidRPr="009F72CB">
              <w:rPr>
                <w:i/>
                <w:iCs/>
                <w:sz w:val="22"/>
                <w:lang w:val="en-US"/>
              </w:rPr>
              <w:t xml:space="preserve"> bicolor</w:t>
            </w:r>
          </w:p>
        </w:tc>
        <w:tc>
          <w:tcPr>
            <w:tcW w:w="2340" w:type="dxa"/>
            <w:vAlign w:val="center"/>
          </w:tcPr>
          <w:p w:rsidR="00E504F6" w:rsidRPr="009F72CB" w:rsidRDefault="00E504F6" w:rsidP="00A7768B">
            <w:pPr>
              <w:rPr>
                <w:sz w:val="22"/>
              </w:rPr>
            </w:pPr>
            <w:r w:rsidRPr="009F72CB">
              <w:rPr>
                <w:sz w:val="22"/>
                <w:lang w:val="en-US"/>
              </w:rPr>
              <w:t>Unknown</w:t>
            </w:r>
          </w:p>
        </w:tc>
      </w:tr>
      <w:tr w:rsidR="00E504F6" w:rsidRPr="002C75B8" w:rsidTr="00A7768B">
        <w:tc>
          <w:tcPr>
            <w:tcW w:w="2270" w:type="dxa"/>
            <w:vAlign w:val="center"/>
          </w:tcPr>
          <w:p w:rsidR="00E504F6" w:rsidRPr="009F72CB" w:rsidRDefault="00E504F6" w:rsidP="00A7768B">
            <w:pPr>
              <w:rPr>
                <w:sz w:val="22"/>
              </w:rPr>
            </w:pPr>
            <w:r w:rsidRPr="009F72CB">
              <w:rPr>
                <w:i/>
                <w:iCs/>
                <w:sz w:val="22"/>
                <w:lang w:val="en-US"/>
              </w:rPr>
              <w:t>L. amazonensis</w:t>
            </w:r>
          </w:p>
        </w:tc>
        <w:tc>
          <w:tcPr>
            <w:tcW w:w="2251" w:type="dxa"/>
            <w:vAlign w:val="center"/>
          </w:tcPr>
          <w:p w:rsidR="00E504F6" w:rsidRPr="009F72CB" w:rsidRDefault="00E504F6" w:rsidP="00A7768B">
            <w:pPr>
              <w:rPr>
                <w:sz w:val="22"/>
              </w:rPr>
            </w:pPr>
            <w:r w:rsidRPr="009F72CB">
              <w:rPr>
                <w:sz w:val="22"/>
                <w:lang w:val="en-US"/>
              </w:rPr>
              <w:t>ZCL, DCL</w:t>
            </w:r>
          </w:p>
        </w:tc>
        <w:tc>
          <w:tcPr>
            <w:tcW w:w="2427" w:type="dxa"/>
            <w:vAlign w:val="center"/>
          </w:tcPr>
          <w:p w:rsidR="00E504F6" w:rsidRDefault="00E504F6" w:rsidP="00A7768B">
            <w:pPr>
              <w:rPr>
                <w:i/>
                <w:iCs/>
                <w:sz w:val="22"/>
                <w:lang w:val="en-US"/>
              </w:rPr>
            </w:pPr>
            <w:r w:rsidRPr="009F72CB">
              <w:rPr>
                <w:i/>
                <w:iCs/>
                <w:sz w:val="22"/>
                <w:lang w:val="en-US"/>
              </w:rPr>
              <w:t xml:space="preserve">Lu. </w:t>
            </w:r>
            <w:proofErr w:type="spellStart"/>
            <w:r w:rsidRPr="009F72CB">
              <w:rPr>
                <w:i/>
                <w:iCs/>
                <w:sz w:val="22"/>
                <w:lang w:val="en-US"/>
              </w:rPr>
              <w:t>flaviscutellata</w:t>
            </w:r>
            <w:proofErr w:type="spellEnd"/>
            <w:r w:rsidRPr="009F72CB">
              <w:rPr>
                <w:i/>
                <w:iCs/>
                <w:sz w:val="22"/>
                <w:lang w:val="en-US"/>
              </w:rPr>
              <w:t>,</w:t>
            </w:r>
          </w:p>
          <w:p w:rsidR="00E504F6" w:rsidRPr="009F72CB" w:rsidRDefault="00E504F6" w:rsidP="00A7768B">
            <w:pPr>
              <w:rPr>
                <w:sz w:val="22"/>
              </w:rPr>
            </w:pPr>
            <w:r w:rsidRPr="009F72CB">
              <w:rPr>
                <w:i/>
                <w:iCs/>
                <w:sz w:val="22"/>
                <w:lang w:val="en-US"/>
              </w:rPr>
              <w:t xml:space="preserve">Lu. </w:t>
            </w:r>
            <w:proofErr w:type="spellStart"/>
            <w:r w:rsidRPr="009F72CB">
              <w:rPr>
                <w:i/>
                <w:iCs/>
                <w:sz w:val="22"/>
                <w:lang w:val="en-US"/>
              </w:rPr>
              <w:t>reducta</w:t>
            </w:r>
            <w:proofErr w:type="spellEnd"/>
          </w:p>
        </w:tc>
        <w:tc>
          <w:tcPr>
            <w:tcW w:w="2340" w:type="dxa"/>
            <w:vAlign w:val="center"/>
          </w:tcPr>
          <w:p w:rsidR="00E504F6" w:rsidRPr="009F72CB" w:rsidRDefault="00E504F6" w:rsidP="00A7768B">
            <w:pPr>
              <w:rPr>
                <w:sz w:val="22"/>
              </w:rPr>
            </w:pPr>
            <w:r w:rsidRPr="009F72CB">
              <w:rPr>
                <w:sz w:val="22"/>
                <w:lang w:val="en-US"/>
              </w:rPr>
              <w:t>Unknown</w:t>
            </w:r>
          </w:p>
        </w:tc>
      </w:tr>
      <w:tr w:rsidR="00E504F6" w:rsidRPr="002C75B8" w:rsidTr="00A7768B">
        <w:tc>
          <w:tcPr>
            <w:tcW w:w="2270" w:type="dxa"/>
            <w:vAlign w:val="center"/>
          </w:tcPr>
          <w:p w:rsidR="00E504F6" w:rsidRPr="009F72CB" w:rsidRDefault="00E504F6" w:rsidP="00A7768B">
            <w:pPr>
              <w:rPr>
                <w:sz w:val="22"/>
              </w:rPr>
            </w:pPr>
            <w:r w:rsidRPr="009F72CB">
              <w:rPr>
                <w:i/>
                <w:iCs/>
                <w:sz w:val="22"/>
                <w:lang w:val="en-US"/>
              </w:rPr>
              <w:t xml:space="preserve">L. </w:t>
            </w:r>
            <w:proofErr w:type="spellStart"/>
            <w:r w:rsidRPr="009F72CB">
              <w:rPr>
                <w:i/>
                <w:iCs/>
                <w:sz w:val="22"/>
                <w:lang w:val="en-US"/>
              </w:rPr>
              <w:t>pifanoi</w:t>
            </w:r>
            <w:proofErr w:type="spellEnd"/>
          </w:p>
        </w:tc>
        <w:tc>
          <w:tcPr>
            <w:tcW w:w="2251" w:type="dxa"/>
            <w:vAlign w:val="center"/>
          </w:tcPr>
          <w:p w:rsidR="00E504F6" w:rsidRPr="009F72CB" w:rsidRDefault="00E504F6" w:rsidP="00A7768B">
            <w:pPr>
              <w:rPr>
                <w:sz w:val="22"/>
              </w:rPr>
            </w:pPr>
            <w:r w:rsidRPr="009F72CB">
              <w:rPr>
                <w:sz w:val="22"/>
                <w:lang w:val="en-US"/>
              </w:rPr>
              <w:t>DCL</w:t>
            </w:r>
          </w:p>
        </w:tc>
        <w:tc>
          <w:tcPr>
            <w:tcW w:w="2427" w:type="dxa"/>
            <w:vAlign w:val="center"/>
          </w:tcPr>
          <w:p w:rsidR="00E504F6" w:rsidRPr="009F72CB" w:rsidRDefault="00E504F6" w:rsidP="00A7768B">
            <w:pPr>
              <w:rPr>
                <w:sz w:val="22"/>
              </w:rPr>
            </w:pPr>
            <w:r w:rsidRPr="009F72CB">
              <w:rPr>
                <w:i/>
                <w:iCs/>
                <w:sz w:val="22"/>
                <w:lang w:val="en-US"/>
              </w:rPr>
              <w:t xml:space="preserve">Lu. </w:t>
            </w:r>
            <w:proofErr w:type="spellStart"/>
            <w:r w:rsidRPr="009F72CB">
              <w:rPr>
                <w:i/>
                <w:iCs/>
                <w:sz w:val="22"/>
                <w:lang w:val="en-US"/>
              </w:rPr>
              <w:t>flaviscutellata</w:t>
            </w:r>
            <w:proofErr w:type="spellEnd"/>
          </w:p>
        </w:tc>
        <w:tc>
          <w:tcPr>
            <w:tcW w:w="2340" w:type="dxa"/>
            <w:vAlign w:val="center"/>
          </w:tcPr>
          <w:p w:rsidR="00E504F6" w:rsidRPr="009F72CB" w:rsidRDefault="00E504F6" w:rsidP="00A7768B">
            <w:pPr>
              <w:rPr>
                <w:sz w:val="22"/>
              </w:rPr>
            </w:pPr>
            <w:r w:rsidRPr="009F72CB">
              <w:rPr>
                <w:sz w:val="22"/>
                <w:lang w:val="en-US"/>
              </w:rPr>
              <w:t>Unknown</w:t>
            </w:r>
          </w:p>
        </w:tc>
      </w:tr>
      <w:tr w:rsidR="00E504F6" w:rsidRPr="002C75B8" w:rsidTr="00A7768B">
        <w:tc>
          <w:tcPr>
            <w:tcW w:w="2270" w:type="dxa"/>
            <w:vAlign w:val="center"/>
          </w:tcPr>
          <w:p w:rsidR="00E504F6" w:rsidRPr="009F72CB" w:rsidRDefault="00E504F6" w:rsidP="00A7768B">
            <w:pPr>
              <w:rPr>
                <w:sz w:val="22"/>
              </w:rPr>
            </w:pPr>
            <w:r w:rsidRPr="009F72CB">
              <w:rPr>
                <w:i/>
                <w:iCs/>
                <w:sz w:val="22"/>
                <w:lang w:val="en-US"/>
              </w:rPr>
              <w:t xml:space="preserve">L. </w:t>
            </w:r>
            <w:proofErr w:type="spellStart"/>
            <w:r w:rsidRPr="009F72CB">
              <w:rPr>
                <w:i/>
                <w:iCs/>
                <w:sz w:val="22"/>
                <w:lang w:val="en-US"/>
              </w:rPr>
              <w:t>garnhami</w:t>
            </w:r>
            <w:proofErr w:type="spellEnd"/>
          </w:p>
        </w:tc>
        <w:tc>
          <w:tcPr>
            <w:tcW w:w="2251" w:type="dxa"/>
            <w:vAlign w:val="center"/>
          </w:tcPr>
          <w:p w:rsidR="00E504F6" w:rsidRPr="009F72CB" w:rsidRDefault="00E504F6" w:rsidP="00A7768B">
            <w:pPr>
              <w:rPr>
                <w:sz w:val="22"/>
              </w:rPr>
            </w:pPr>
            <w:r w:rsidRPr="009F72CB">
              <w:rPr>
                <w:sz w:val="22"/>
                <w:lang w:val="en-US"/>
              </w:rPr>
              <w:t>ZCL</w:t>
            </w:r>
          </w:p>
        </w:tc>
        <w:tc>
          <w:tcPr>
            <w:tcW w:w="2427" w:type="dxa"/>
            <w:vAlign w:val="center"/>
          </w:tcPr>
          <w:p w:rsidR="00E504F6" w:rsidRPr="009F72CB" w:rsidRDefault="00E504F6" w:rsidP="00A7768B">
            <w:pPr>
              <w:rPr>
                <w:sz w:val="22"/>
              </w:rPr>
            </w:pPr>
            <w:r w:rsidRPr="009F72CB">
              <w:rPr>
                <w:i/>
                <w:iCs/>
                <w:sz w:val="22"/>
                <w:lang w:val="en-US"/>
              </w:rPr>
              <w:t xml:space="preserve">Lu. </w:t>
            </w:r>
            <w:proofErr w:type="spellStart"/>
            <w:r w:rsidRPr="009F72CB">
              <w:rPr>
                <w:i/>
                <w:iCs/>
                <w:sz w:val="22"/>
                <w:lang w:val="en-US"/>
              </w:rPr>
              <w:t>youngi</w:t>
            </w:r>
            <w:proofErr w:type="spellEnd"/>
          </w:p>
        </w:tc>
        <w:tc>
          <w:tcPr>
            <w:tcW w:w="2340" w:type="dxa"/>
            <w:vAlign w:val="center"/>
          </w:tcPr>
          <w:p w:rsidR="00E504F6" w:rsidRPr="009F72CB" w:rsidRDefault="00E504F6" w:rsidP="00A7768B">
            <w:pPr>
              <w:rPr>
                <w:sz w:val="22"/>
              </w:rPr>
            </w:pPr>
            <w:r w:rsidRPr="009F72CB">
              <w:rPr>
                <w:sz w:val="22"/>
                <w:lang w:val="en-US"/>
              </w:rPr>
              <w:t>Unknown</w:t>
            </w:r>
          </w:p>
        </w:tc>
      </w:tr>
      <w:tr w:rsidR="00E504F6" w:rsidRPr="002C75B8" w:rsidTr="00A7768B">
        <w:tc>
          <w:tcPr>
            <w:tcW w:w="2270" w:type="dxa"/>
            <w:vAlign w:val="center"/>
          </w:tcPr>
          <w:p w:rsidR="00E504F6" w:rsidRPr="009F72CB" w:rsidRDefault="00E504F6" w:rsidP="00A7768B">
            <w:pPr>
              <w:rPr>
                <w:sz w:val="22"/>
              </w:rPr>
            </w:pPr>
            <w:r w:rsidRPr="009F72CB">
              <w:rPr>
                <w:i/>
                <w:iCs/>
                <w:sz w:val="22"/>
                <w:lang w:val="en-US"/>
              </w:rPr>
              <w:t>L. infantum</w:t>
            </w:r>
          </w:p>
        </w:tc>
        <w:tc>
          <w:tcPr>
            <w:tcW w:w="2251" w:type="dxa"/>
            <w:vAlign w:val="center"/>
          </w:tcPr>
          <w:p w:rsidR="00E504F6" w:rsidRPr="009F72CB" w:rsidRDefault="00E504F6" w:rsidP="00A7768B">
            <w:pPr>
              <w:rPr>
                <w:sz w:val="22"/>
                <w:lang w:val="en-US"/>
              </w:rPr>
            </w:pPr>
            <w:r w:rsidRPr="009F72CB">
              <w:rPr>
                <w:sz w:val="22"/>
                <w:lang w:val="en-US"/>
              </w:rPr>
              <w:t>ZVL</w:t>
            </w:r>
          </w:p>
        </w:tc>
        <w:tc>
          <w:tcPr>
            <w:tcW w:w="2427" w:type="dxa"/>
            <w:vAlign w:val="center"/>
          </w:tcPr>
          <w:p w:rsidR="00E504F6" w:rsidRDefault="00E504F6" w:rsidP="00A7768B">
            <w:pPr>
              <w:rPr>
                <w:i/>
                <w:iCs/>
                <w:sz w:val="22"/>
                <w:lang w:val="en-US"/>
              </w:rPr>
            </w:pPr>
            <w:r w:rsidRPr="009F72CB">
              <w:rPr>
                <w:i/>
                <w:iCs/>
                <w:sz w:val="22"/>
                <w:lang w:val="en-US"/>
              </w:rPr>
              <w:t xml:space="preserve">Lu. </w:t>
            </w:r>
            <w:proofErr w:type="spellStart"/>
            <w:r w:rsidRPr="009F72CB">
              <w:rPr>
                <w:i/>
                <w:iCs/>
                <w:sz w:val="22"/>
                <w:lang w:val="en-US"/>
              </w:rPr>
              <w:t>longipalpis</w:t>
            </w:r>
            <w:proofErr w:type="spellEnd"/>
            <w:r w:rsidRPr="009F72CB">
              <w:rPr>
                <w:i/>
                <w:iCs/>
                <w:sz w:val="22"/>
                <w:lang w:val="en-US"/>
              </w:rPr>
              <w:t xml:space="preserve">, </w:t>
            </w:r>
          </w:p>
          <w:p w:rsidR="00E504F6" w:rsidRPr="009F72CB" w:rsidRDefault="00E504F6" w:rsidP="00A7768B">
            <w:pPr>
              <w:rPr>
                <w:i/>
                <w:iCs/>
                <w:sz w:val="22"/>
                <w:lang w:val="en-US"/>
              </w:rPr>
            </w:pPr>
            <w:r w:rsidRPr="009F72CB">
              <w:rPr>
                <w:i/>
                <w:iCs/>
                <w:sz w:val="22"/>
                <w:lang w:val="en-US"/>
              </w:rPr>
              <w:t xml:space="preserve">Lu. </w:t>
            </w:r>
            <w:proofErr w:type="spellStart"/>
            <w:r w:rsidRPr="009F72CB">
              <w:rPr>
                <w:i/>
                <w:iCs/>
                <w:sz w:val="22"/>
                <w:lang w:val="en-US"/>
              </w:rPr>
              <w:t>evansi</w:t>
            </w:r>
            <w:proofErr w:type="spellEnd"/>
            <w:r w:rsidRPr="009F72CB">
              <w:rPr>
                <w:i/>
                <w:iCs/>
                <w:sz w:val="22"/>
                <w:lang w:val="en-US"/>
              </w:rPr>
              <w:t xml:space="preserve">, </w:t>
            </w:r>
          </w:p>
          <w:p w:rsidR="00E504F6" w:rsidRPr="00F324FE" w:rsidRDefault="00E504F6" w:rsidP="00A7768B">
            <w:pPr>
              <w:rPr>
                <w:sz w:val="22"/>
                <w:lang w:val="en-US"/>
              </w:rPr>
            </w:pPr>
            <w:r w:rsidRPr="009F72CB">
              <w:rPr>
                <w:i/>
                <w:iCs/>
                <w:sz w:val="22"/>
                <w:lang w:val="en-US"/>
              </w:rPr>
              <w:t xml:space="preserve">Lu. </w:t>
            </w:r>
            <w:proofErr w:type="spellStart"/>
            <w:r w:rsidRPr="009F72CB">
              <w:rPr>
                <w:i/>
                <w:iCs/>
                <w:sz w:val="22"/>
                <w:lang w:val="en-US"/>
              </w:rPr>
              <w:t>pseudolongipalpis</w:t>
            </w:r>
            <w:proofErr w:type="spellEnd"/>
          </w:p>
        </w:tc>
        <w:tc>
          <w:tcPr>
            <w:tcW w:w="2340" w:type="dxa"/>
            <w:vAlign w:val="center"/>
          </w:tcPr>
          <w:p w:rsidR="00E504F6" w:rsidRPr="000B3E78" w:rsidRDefault="00E504F6" w:rsidP="00A7768B">
            <w:pPr>
              <w:rPr>
                <w:i/>
                <w:iCs/>
                <w:sz w:val="22"/>
              </w:rPr>
            </w:pPr>
            <w:proofErr w:type="spellStart"/>
            <w:r w:rsidRPr="000B3E78">
              <w:rPr>
                <w:i/>
                <w:iCs/>
                <w:sz w:val="22"/>
                <w:lang w:val="en-US"/>
              </w:rPr>
              <w:t>Canis</w:t>
            </w:r>
            <w:proofErr w:type="spellEnd"/>
            <w:r w:rsidRPr="000B3E78">
              <w:rPr>
                <w:i/>
                <w:iCs/>
                <w:sz w:val="22"/>
                <w:lang w:val="en-US"/>
              </w:rPr>
              <w:t xml:space="preserve"> </w:t>
            </w:r>
            <w:proofErr w:type="spellStart"/>
            <w:r w:rsidRPr="000B3E78">
              <w:rPr>
                <w:i/>
                <w:iCs/>
                <w:sz w:val="22"/>
                <w:lang w:val="en-US"/>
              </w:rPr>
              <w:t>familiaris</w:t>
            </w:r>
            <w:proofErr w:type="spellEnd"/>
          </w:p>
        </w:tc>
      </w:tr>
      <w:tr w:rsidR="00E504F6" w:rsidRPr="002C75B8" w:rsidTr="00A7768B">
        <w:tc>
          <w:tcPr>
            <w:tcW w:w="2270" w:type="dxa"/>
            <w:vAlign w:val="center"/>
          </w:tcPr>
          <w:p w:rsidR="00E504F6" w:rsidRPr="009F72CB" w:rsidRDefault="00E504F6" w:rsidP="00A7768B">
            <w:pPr>
              <w:rPr>
                <w:sz w:val="22"/>
              </w:rPr>
            </w:pPr>
            <w:r w:rsidRPr="009F72CB">
              <w:rPr>
                <w:i/>
                <w:iCs/>
                <w:sz w:val="22"/>
                <w:lang w:val="en-US"/>
              </w:rPr>
              <w:t>L. guyanensis</w:t>
            </w:r>
          </w:p>
        </w:tc>
        <w:tc>
          <w:tcPr>
            <w:tcW w:w="2251" w:type="dxa"/>
            <w:vAlign w:val="center"/>
          </w:tcPr>
          <w:p w:rsidR="00E504F6" w:rsidRPr="009F72CB" w:rsidRDefault="00E504F6" w:rsidP="00A7768B">
            <w:pPr>
              <w:rPr>
                <w:sz w:val="22"/>
              </w:rPr>
            </w:pPr>
            <w:r w:rsidRPr="009F72CB">
              <w:rPr>
                <w:sz w:val="22"/>
                <w:lang w:val="en-US"/>
              </w:rPr>
              <w:t>ZCL</w:t>
            </w:r>
          </w:p>
        </w:tc>
        <w:tc>
          <w:tcPr>
            <w:tcW w:w="2427" w:type="dxa"/>
            <w:vAlign w:val="center"/>
          </w:tcPr>
          <w:p w:rsidR="00E504F6" w:rsidRPr="009F72CB" w:rsidRDefault="00E504F6" w:rsidP="00A7768B">
            <w:pPr>
              <w:rPr>
                <w:sz w:val="22"/>
              </w:rPr>
            </w:pPr>
            <w:r w:rsidRPr="009F72CB">
              <w:rPr>
                <w:sz w:val="22"/>
                <w:lang w:val="pt-BR"/>
              </w:rPr>
              <w:t>Unknown</w:t>
            </w:r>
          </w:p>
        </w:tc>
        <w:tc>
          <w:tcPr>
            <w:tcW w:w="2340" w:type="dxa"/>
            <w:vAlign w:val="center"/>
          </w:tcPr>
          <w:p w:rsidR="00E504F6" w:rsidRPr="009F72CB" w:rsidRDefault="00E504F6" w:rsidP="00A7768B">
            <w:pPr>
              <w:rPr>
                <w:sz w:val="22"/>
              </w:rPr>
            </w:pPr>
            <w:r w:rsidRPr="009F72CB">
              <w:rPr>
                <w:sz w:val="22"/>
                <w:lang w:val="en-US"/>
              </w:rPr>
              <w:t>Unknown</w:t>
            </w:r>
          </w:p>
        </w:tc>
      </w:tr>
    </w:tbl>
    <w:p w:rsidR="00E504F6" w:rsidRPr="009F72CB" w:rsidRDefault="00E504F6" w:rsidP="00E504F6">
      <w:pPr>
        <w:rPr>
          <w:b/>
          <w:bCs/>
          <w:sz w:val="22"/>
        </w:rPr>
      </w:pPr>
    </w:p>
    <w:p w:rsidR="00E504F6" w:rsidRPr="009F72CB" w:rsidRDefault="00E504F6" w:rsidP="00E504F6">
      <w:pPr>
        <w:rPr>
          <w:b/>
          <w:bCs/>
          <w:sz w:val="22"/>
        </w:rPr>
      </w:pPr>
    </w:p>
    <w:p w:rsidR="00E504F6" w:rsidRPr="009F72CB" w:rsidRDefault="00E504F6" w:rsidP="00E504F6">
      <w:pPr>
        <w:rPr>
          <w:b/>
          <w:bCs/>
          <w:sz w:val="22"/>
        </w:rPr>
      </w:pPr>
      <w:r w:rsidRPr="009F72CB">
        <w:rPr>
          <w:b/>
          <w:bCs/>
          <w:sz w:val="22"/>
        </w:rPr>
        <w:t>MAPS AND TRENDS</w:t>
      </w:r>
    </w:p>
    <w:p w:rsidR="00E504F6" w:rsidRPr="009F72CB" w:rsidRDefault="00E504F6" w:rsidP="00E504F6">
      <w:pPr>
        <w:rPr>
          <w:b/>
          <w:bCs/>
          <w:sz w:val="22"/>
        </w:rPr>
      </w:pPr>
    </w:p>
    <w:p w:rsidR="00E504F6" w:rsidRDefault="00E504F6" w:rsidP="00E504F6">
      <w:pPr>
        <w:rPr>
          <w:sz w:val="22"/>
        </w:rPr>
      </w:pPr>
      <w:r>
        <w:rPr>
          <w:b/>
          <w:bCs/>
          <w:sz w:val="22"/>
        </w:rPr>
        <w:t>Visceral leishmaniasis</w:t>
      </w:r>
    </w:p>
    <w:p w:rsidR="00E504F6" w:rsidRDefault="00E504F6" w:rsidP="00E504F6">
      <w:pPr>
        <w:rPr>
          <w:sz w:val="22"/>
        </w:rPr>
      </w:pPr>
      <w:r>
        <w:rPr>
          <w:noProof/>
          <w:sz w:val="22"/>
          <w:lang w:val="en-US"/>
        </w:rPr>
        <w:drawing>
          <wp:anchor distT="0" distB="0" distL="114300" distR="114300" simplePos="0" relativeHeight="251665408" behindDoc="0" locked="0" layoutInCell="1" allowOverlap="1">
            <wp:simplePos x="0" y="0"/>
            <wp:positionH relativeFrom="column">
              <wp:posOffset>-114300</wp:posOffset>
            </wp:positionH>
            <wp:positionV relativeFrom="paragraph">
              <wp:posOffset>26035</wp:posOffset>
            </wp:positionV>
            <wp:extent cx="3042285" cy="2152015"/>
            <wp:effectExtent l="1905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3042285" cy="2152015"/>
                    </a:xfrm>
                    <a:prstGeom prst="rect">
                      <a:avLst/>
                    </a:prstGeom>
                    <a:noFill/>
                    <a:ln w="9525">
                      <a:noFill/>
                      <a:miter lim="800000"/>
                      <a:headEnd/>
                      <a:tailEnd/>
                    </a:ln>
                  </pic:spPr>
                </pic:pic>
              </a:graphicData>
            </a:graphic>
          </wp:anchor>
        </w:drawing>
      </w:r>
      <w:r>
        <w:rPr>
          <w:noProof/>
          <w:sz w:val="22"/>
          <w:lang w:val="en-US"/>
        </w:rPr>
        <w:drawing>
          <wp:anchor distT="0" distB="0" distL="114300" distR="114300" simplePos="0" relativeHeight="251666432" behindDoc="0" locked="0" layoutInCell="1" allowOverlap="1">
            <wp:simplePos x="0" y="0"/>
            <wp:positionH relativeFrom="column">
              <wp:posOffset>2971800</wp:posOffset>
            </wp:positionH>
            <wp:positionV relativeFrom="paragraph">
              <wp:posOffset>26035</wp:posOffset>
            </wp:positionV>
            <wp:extent cx="2955925" cy="208915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2955925" cy="2089150"/>
                    </a:xfrm>
                    <a:prstGeom prst="rect">
                      <a:avLst/>
                    </a:prstGeom>
                    <a:noFill/>
                    <a:ln w="9525">
                      <a:noFill/>
                      <a:miter lim="800000"/>
                      <a:headEnd/>
                      <a:tailEnd/>
                    </a:ln>
                  </pic:spPr>
                </pic:pic>
              </a:graphicData>
            </a:graphic>
          </wp:anchor>
        </w:drawing>
      </w:r>
    </w:p>
    <w:p w:rsidR="00E504F6" w:rsidRDefault="00E504F6" w:rsidP="00E504F6">
      <w:pPr>
        <w:rPr>
          <w:sz w:val="22"/>
        </w:rPr>
      </w:pPr>
    </w:p>
    <w:p w:rsidR="00E504F6" w:rsidRDefault="00E504F6" w:rsidP="00E504F6">
      <w:pPr>
        <w:rPr>
          <w:sz w:val="22"/>
        </w:rPr>
      </w:pPr>
    </w:p>
    <w:p w:rsidR="00E504F6" w:rsidRDefault="00E504F6" w:rsidP="00E504F6">
      <w:pPr>
        <w:rPr>
          <w:sz w:val="22"/>
        </w:rPr>
      </w:pPr>
    </w:p>
    <w:p w:rsidR="00E504F6" w:rsidRDefault="00E504F6" w:rsidP="00E504F6">
      <w:pPr>
        <w:rPr>
          <w:sz w:val="22"/>
        </w:rPr>
      </w:pPr>
    </w:p>
    <w:p w:rsidR="00E504F6" w:rsidRDefault="00E504F6" w:rsidP="00E504F6">
      <w:pPr>
        <w:rPr>
          <w:sz w:val="22"/>
        </w:rPr>
      </w:pPr>
    </w:p>
    <w:p w:rsidR="00E504F6" w:rsidRDefault="00E504F6" w:rsidP="00E504F6">
      <w:pPr>
        <w:rPr>
          <w:sz w:val="22"/>
        </w:rPr>
      </w:pPr>
    </w:p>
    <w:p w:rsidR="00E504F6" w:rsidRDefault="00E504F6" w:rsidP="00E504F6">
      <w:pPr>
        <w:rPr>
          <w:sz w:val="22"/>
        </w:rPr>
      </w:pPr>
    </w:p>
    <w:p w:rsidR="00E504F6" w:rsidRDefault="00E504F6" w:rsidP="00E504F6">
      <w:pPr>
        <w:rPr>
          <w:sz w:val="22"/>
        </w:rPr>
      </w:pPr>
    </w:p>
    <w:p w:rsidR="00E504F6" w:rsidRDefault="00E504F6" w:rsidP="00E504F6">
      <w:pPr>
        <w:rPr>
          <w:sz w:val="22"/>
        </w:rPr>
      </w:pPr>
    </w:p>
    <w:p w:rsidR="00E504F6" w:rsidRPr="00621075" w:rsidRDefault="00E504F6" w:rsidP="00E504F6">
      <w:pPr>
        <w:rPr>
          <w:b/>
          <w:bCs/>
          <w:sz w:val="22"/>
        </w:rPr>
      </w:pPr>
      <w:r w:rsidRPr="00621075">
        <w:rPr>
          <w:b/>
          <w:bCs/>
          <w:sz w:val="22"/>
        </w:rPr>
        <w:lastRenderedPageBreak/>
        <w:t xml:space="preserve">Cutaneous </w:t>
      </w:r>
      <w:r>
        <w:rPr>
          <w:b/>
          <w:bCs/>
          <w:sz w:val="22"/>
        </w:rPr>
        <w:t>l</w:t>
      </w:r>
      <w:r w:rsidRPr="00621075">
        <w:rPr>
          <w:b/>
          <w:bCs/>
          <w:sz w:val="22"/>
        </w:rPr>
        <w:t>eishmaniasis</w:t>
      </w:r>
    </w:p>
    <w:p w:rsidR="00E504F6" w:rsidRDefault="00E504F6" w:rsidP="00E504F6">
      <w:pPr>
        <w:rPr>
          <w:b/>
          <w:bCs/>
          <w:sz w:val="22"/>
        </w:rPr>
      </w:pPr>
      <w:r>
        <w:rPr>
          <w:b/>
          <w:bCs/>
          <w:noProof/>
          <w:sz w:val="22"/>
          <w:lang w:val="en-US"/>
        </w:rPr>
        <w:drawing>
          <wp:anchor distT="0" distB="0" distL="114300" distR="114300" simplePos="0" relativeHeight="251663360" behindDoc="0" locked="0" layoutInCell="1" allowOverlap="1">
            <wp:simplePos x="0" y="0"/>
            <wp:positionH relativeFrom="column">
              <wp:posOffset>-228600</wp:posOffset>
            </wp:positionH>
            <wp:positionV relativeFrom="paragraph">
              <wp:posOffset>67945</wp:posOffset>
            </wp:positionV>
            <wp:extent cx="3074035" cy="217424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3074035" cy="2174240"/>
                    </a:xfrm>
                    <a:prstGeom prst="rect">
                      <a:avLst/>
                    </a:prstGeom>
                    <a:noFill/>
                    <a:ln w="9525">
                      <a:noFill/>
                      <a:miter lim="800000"/>
                      <a:headEnd/>
                      <a:tailEnd/>
                    </a:ln>
                  </pic:spPr>
                </pic:pic>
              </a:graphicData>
            </a:graphic>
          </wp:anchor>
        </w:drawing>
      </w:r>
    </w:p>
    <w:p w:rsidR="00E504F6" w:rsidRDefault="00E504F6" w:rsidP="00E504F6">
      <w:pPr>
        <w:rPr>
          <w:b/>
          <w:bCs/>
          <w:sz w:val="22"/>
        </w:rPr>
      </w:pPr>
      <w:r>
        <w:rPr>
          <w:b/>
          <w:bCs/>
          <w:noProof/>
          <w:sz w:val="22"/>
          <w:lang w:val="en-US"/>
        </w:rPr>
        <w:drawing>
          <wp:anchor distT="0" distB="0" distL="114300" distR="114300" simplePos="0" relativeHeight="251664384" behindDoc="0" locked="0" layoutInCell="1" allowOverlap="1">
            <wp:simplePos x="0" y="0"/>
            <wp:positionH relativeFrom="column">
              <wp:posOffset>2971800</wp:posOffset>
            </wp:positionH>
            <wp:positionV relativeFrom="paragraph">
              <wp:posOffset>21590</wp:posOffset>
            </wp:positionV>
            <wp:extent cx="2959735" cy="209296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959735" cy="2092960"/>
                    </a:xfrm>
                    <a:prstGeom prst="rect">
                      <a:avLst/>
                    </a:prstGeom>
                    <a:noFill/>
                    <a:ln w="9525">
                      <a:noFill/>
                      <a:miter lim="800000"/>
                      <a:headEnd/>
                      <a:tailEnd/>
                    </a:ln>
                  </pic:spPr>
                </pic:pic>
              </a:graphicData>
            </a:graphic>
          </wp:anchor>
        </w:drawing>
      </w:r>
    </w:p>
    <w:p w:rsidR="00E504F6" w:rsidRDefault="00E504F6" w:rsidP="00E504F6">
      <w:pPr>
        <w:rPr>
          <w:b/>
          <w:bCs/>
          <w:sz w:val="22"/>
        </w:rPr>
      </w:pPr>
    </w:p>
    <w:p w:rsidR="00E504F6" w:rsidRDefault="00E504F6" w:rsidP="00E504F6">
      <w:pPr>
        <w:rPr>
          <w:b/>
          <w:bCs/>
          <w:sz w:val="22"/>
        </w:rPr>
      </w:pPr>
    </w:p>
    <w:p w:rsidR="00E504F6" w:rsidRDefault="00E504F6" w:rsidP="00E504F6">
      <w:pPr>
        <w:rPr>
          <w:b/>
          <w:bCs/>
          <w:sz w:val="22"/>
        </w:rPr>
      </w:pPr>
    </w:p>
    <w:p w:rsidR="00E504F6" w:rsidRDefault="00E504F6" w:rsidP="00E504F6">
      <w:pPr>
        <w:rPr>
          <w:b/>
          <w:bCs/>
          <w:sz w:val="22"/>
        </w:rPr>
      </w:pPr>
    </w:p>
    <w:p w:rsidR="00E504F6" w:rsidRDefault="00E504F6" w:rsidP="00E504F6">
      <w:pPr>
        <w:rPr>
          <w:b/>
          <w:bCs/>
          <w:sz w:val="22"/>
        </w:rPr>
      </w:pPr>
    </w:p>
    <w:p w:rsidR="00E504F6" w:rsidRDefault="00E504F6" w:rsidP="00E504F6">
      <w:pPr>
        <w:rPr>
          <w:b/>
          <w:bCs/>
          <w:sz w:val="22"/>
        </w:rPr>
      </w:pPr>
    </w:p>
    <w:p w:rsidR="00E504F6" w:rsidRDefault="00E504F6" w:rsidP="00E504F6">
      <w:pPr>
        <w:rPr>
          <w:b/>
          <w:bCs/>
          <w:sz w:val="22"/>
        </w:rPr>
      </w:pPr>
    </w:p>
    <w:p w:rsidR="00E504F6" w:rsidRDefault="00E504F6" w:rsidP="00E504F6">
      <w:pPr>
        <w:rPr>
          <w:b/>
          <w:bCs/>
          <w:sz w:val="22"/>
        </w:rPr>
      </w:pPr>
    </w:p>
    <w:p w:rsidR="00E504F6" w:rsidRDefault="00E504F6" w:rsidP="00E504F6">
      <w:pPr>
        <w:rPr>
          <w:b/>
          <w:bCs/>
          <w:sz w:val="22"/>
        </w:rPr>
      </w:pPr>
    </w:p>
    <w:p w:rsidR="00E504F6" w:rsidRDefault="00E504F6" w:rsidP="00E504F6">
      <w:pPr>
        <w:rPr>
          <w:b/>
          <w:bCs/>
          <w:sz w:val="22"/>
        </w:rPr>
      </w:pPr>
    </w:p>
    <w:p w:rsidR="00E504F6" w:rsidRDefault="00E504F6" w:rsidP="00E504F6">
      <w:pPr>
        <w:rPr>
          <w:b/>
          <w:bCs/>
          <w:sz w:val="22"/>
        </w:rPr>
      </w:pPr>
    </w:p>
    <w:p w:rsidR="00E504F6" w:rsidRDefault="00E504F6" w:rsidP="00E504F6">
      <w:pPr>
        <w:rPr>
          <w:b/>
          <w:bCs/>
          <w:sz w:val="22"/>
        </w:rPr>
      </w:pPr>
    </w:p>
    <w:p w:rsidR="00E504F6" w:rsidRDefault="00E504F6" w:rsidP="00E504F6">
      <w:pPr>
        <w:rPr>
          <w:b/>
          <w:bCs/>
          <w:sz w:val="22"/>
        </w:rPr>
      </w:pPr>
    </w:p>
    <w:p w:rsidR="00E504F6" w:rsidRPr="009F72CB" w:rsidRDefault="00E504F6" w:rsidP="00E504F6">
      <w:pPr>
        <w:rPr>
          <w:b/>
          <w:bCs/>
          <w:sz w:val="22"/>
        </w:rPr>
      </w:pPr>
      <w:r w:rsidRPr="009F72CB">
        <w:rPr>
          <w:b/>
          <w:bCs/>
          <w:sz w:val="22"/>
        </w:rPr>
        <w:t xml:space="preserve">Visceral leishmaniasis </w:t>
      </w:r>
      <w:proofErr w:type="spellStart"/>
      <w:r w:rsidRPr="009F72CB">
        <w:rPr>
          <w:b/>
          <w:bCs/>
          <w:sz w:val="22"/>
        </w:rPr>
        <w:t>trend</w:t>
      </w:r>
      <w:proofErr w:type="spellEnd"/>
    </w:p>
    <w:p w:rsidR="00E504F6" w:rsidRPr="009F72CB" w:rsidRDefault="00E504F6" w:rsidP="00E504F6">
      <w:pPr>
        <w:rPr>
          <w:b/>
          <w:bCs/>
          <w:sz w:val="22"/>
        </w:rPr>
      </w:pPr>
      <w:r>
        <w:rPr>
          <w:rFonts w:eastAsia="Times New Roman"/>
          <w:noProof/>
          <w:sz w:val="22"/>
          <w:lang w:val="en-US"/>
        </w:rPr>
        <w:drawing>
          <wp:anchor distT="0" distB="0" distL="114300" distR="114300" simplePos="0" relativeHeight="251660288" behindDoc="0" locked="0" layoutInCell="1" allowOverlap="1">
            <wp:simplePos x="0" y="0"/>
            <wp:positionH relativeFrom="column">
              <wp:posOffset>-685800</wp:posOffset>
            </wp:positionH>
            <wp:positionV relativeFrom="paragraph">
              <wp:posOffset>101600</wp:posOffset>
            </wp:positionV>
            <wp:extent cx="6551930" cy="2182495"/>
            <wp:effectExtent l="0" t="0" r="0" b="0"/>
            <wp:wrapNone/>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E504F6" w:rsidRPr="009F72CB" w:rsidRDefault="00E504F6" w:rsidP="00E504F6">
      <w:pPr>
        <w:rPr>
          <w:rFonts w:eastAsia="Times New Roman"/>
          <w:sz w:val="22"/>
          <w:lang w:eastAsia="es-ES"/>
        </w:rPr>
      </w:pPr>
    </w:p>
    <w:p w:rsidR="00E504F6" w:rsidRPr="009F72CB" w:rsidRDefault="00E504F6" w:rsidP="00E504F6">
      <w:pPr>
        <w:rPr>
          <w:rFonts w:eastAsia="Times New Roman"/>
          <w:sz w:val="22"/>
          <w:lang w:eastAsia="es-ES"/>
        </w:rPr>
      </w:pPr>
    </w:p>
    <w:p w:rsidR="00E504F6" w:rsidRPr="009F72CB" w:rsidRDefault="00E504F6" w:rsidP="00E504F6">
      <w:pPr>
        <w:rPr>
          <w:rFonts w:eastAsia="Times New Roman"/>
          <w:sz w:val="22"/>
          <w:lang w:eastAsia="es-ES"/>
        </w:rPr>
      </w:pPr>
    </w:p>
    <w:p w:rsidR="00E504F6" w:rsidRPr="009F72CB" w:rsidRDefault="00E504F6" w:rsidP="00E504F6">
      <w:pPr>
        <w:rPr>
          <w:rFonts w:eastAsia="Times New Roman"/>
          <w:sz w:val="22"/>
          <w:lang w:eastAsia="es-ES"/>
        </w:rPr>
      </w:pPr>
    </w:p>
    <w:p w:rsidR="00E504F6" w:rsidRPr="009F72CB" w:rsidRDefault="00E504F6" w:rsidP="00E504F6">
      <w:pPr>
        <w:rPr>
          <w:rFonts w:eastAsia="Times New Roman"/>
          <w:sz w:val="22"/>
          <w:lang w:eastAsia="es-ES"/>
        </w:rPr>
      </w:pPr>
    </w:p>
    <w:p w:rsidR="00E504F6" w:rsidRPr="009F72CB" w:rsidRDefault="00E504F6" w:rsidP="00E504F6">
      <w:pPr>
        <w:rPr>
          <w:rFonts w:eastAsia="Times New Roman"/>
          <w:sz w:val="22"/>
          <w:lang w:eastAsia="es-ES"/>
        </w:rPr>
      </w:pPr>
    </w:p>
    <w:p w:rsidR="00E504F6" w:rsidRPr="009F72CB" w:rsidRDefault="00E504F6" w:rsidP="00E504F6">
      <w:pPr>
        <w:rPr>
          <w:rFonts w:eastAsia="Times New Roman"/>
          <w:sz w:val="22"/>
          <w:lang w:eastAsia="es-ES"/>
        </w:rPr>
      </w:pPr>
    </w:p>
    <w:p w:rsidR="00E504F6" w:rsidRPr="009F72CB" w:rsidRDefault="00E504F6" w:rsidP="00E504F6">
      <w:pPr>
        <w:rPr>
          <w:rFonts w:eastAsia="Times New Roman"/>
          <w:sz w:val="22"/>
          <w:lang w:eastAsia="es-ES"/>
        </w:rPr>
      </w:pPr>
    </w:p>
    <w:p w:rsidR="00E504F6" w:rsidRPr="009F72CB" w:rsidRDefault="00E504F6" w:rsidP="00E504F6">
      <w:pPr>
        <w:rPr>
          <w:rFonts w:eastAsia="Times New Roman"/>
          <w:sz w:val="22"/>
          <w:lang w:eastAsia="es-ES"/>
        </w:rPr>
      </w:pPr>
    </w:p>
    <w:p w:rsidR="00E504F6" w:rsidRPr="009F72CB" w:rsidRDefault="00E504F6" w:rsidP="00E504F6">
      <w:pPr>
        <w:rPr>
          <w:rFonts w:eastAsia="Times New Roman"/>
          <w:sz w:val="22"/>
          <w:lang w:eastAsia="es-ES"/>
        </w:rPr>
      </w:pPr>
    </w:p>
    <w:p w:rsidR="00E504F6" w:rsidRPr="009F72CB" w:rsidRDefault="00E504F6" w:rsidP="00E504F6">
      <w:pPr>
        <w:rPr>
          <w:rFonts w:eastAsia="Times New Roman"/>
          <w:sz w:val="22"/>
          <w:lang w:eastAsia="es-ES"/>
        </w:rPr>
      </w:pPr>
    </w:p>
    <w:p w:rsidR="00E504F6" w:rsidRPr="009F72CB" w:rsidRDefault="00E504F6" w:rsidP="00E504F6">
      <w:pPr>
        <w:rPr>
          <w:rFonts w:eastAsia="Times New Roman"/>
          <w:sz w:val="22"/>
          <w:lang w:eastAsia="es-ES"/>
        </w:rPr>
      </w:pPr>
    </w:p>
    <w:p w:rsidR="00E504F6" w:rsidRPr="009F72CB" w:rsidRDefault="00E504F6" w:rsidP="00E504F6">
      <w:pPr>
        <w:rPr>
          <w:rFonts w:eastAsia="Times New Roman"/>
          <w:sz w:val="22"/>
          <w:lang w:eastAsia="es-ES"/>
        </w:rPr>
      </w:pPr>
    </w:p>
    <w:p w:rsidR="00E504F6" w:rsidRPr="009F72CB" w:rsidRDefault="00E504F6" w:rsidP="00E504F6">
      <w:pPr>
        <w:rPr>
          <w:rFonts w:eastAsia="Times New Roman"/>
          <w:sz w:val="22"/>
          <w:lang w:eastAsia="es-ES"/>
        </w:rPr>
      </w:pPr>
    </w:p>
    <w:p w:rsidR="00E504F6" w:rsidRDefault="00E504F6" w:rsidP="00E504F6">
      <w:pPr>
        <w:rPr>
          <w:rFonts w:eastAsia="Times New Roman"/>
          <w:b/>
          <w:bCs/>
          <w:sz w:val="22"/>
          <w:lang w:eastAsia="es-ES"/>
        </w:rPr>
      </w:pPr>
      <w:r>
        <w:rPr>
          <w:rFonts w:eastAsia="Times New Roman"/>
          <w:b/>
          <w:bCs/>
          <w:sz w:val="22"/>
          <w:lang w:eastAsia="es-ES"/>
        </w:rPr>
        <w:t xml:space="preserve">Cutaneous leishmaniasis </w:t>
      </w:r>
      <w:proofErr w:type="spellStart"/>
      <w:r>
        <w:rPr>
          <w:rFonts w:eastAsia="Times New Roman"/>
          <w:b/>
          <w:bCs/>
          <w:sz w:val="22"/>
          <w:lang w:eastAsia="es-ES"/>
        </w:rPr>
        <w:t>trend</w:t>
      </w:r>
      <w:proofErr w:type="spellEnd"/>
    </w:p>
    <w:p w:rsidR="00E504F6" w:rsidRDefault="00E504F6" w:rsidP="00E504F6">
      <w:pPr>
        <w:rPr>
          <w:rFonts w:eastAsia="Times New Roman"/>
          <w:b/>
          <w:bCs/>
          <w:sz w:val="22"/>
          <w:lang w:eastAsia="es-ES"/>
        </w:rPr>
      </w:pPr>
      <w:r>
        <w:rPr>
          <w:rFonts w:eastAsia="Times New Roman"/>
          <w:noProof/>
          <w:sz w:val="22"/>
          <w:lang w:val="en-US"/>
        </w:rPr>
        <w:drawing>
          <wp:anchor distT="0" distB="0" distL="114300" distR="114300" simplePos="0" relativeHeight="251661312" behindDoc="0" locked="0" layoutInCell="1" allowOverlap="1">
            <wp:simplePos x="0" y="0"/>
            <wp:positionH relativeFrom="column">
              <wp:posOffset>-1325880</wp:posOffset>
            </wp:positionH>
            <wp:positionV relativeFrom="paragraph">
              <wp:posOffset>57150</wp:posOffset>
            </wp:positionV>
            <wp:extent cx="8343900" cy="2368550"/>
            <wp:effectExtent l="0" t="0" r="0" b="0"/>
            <wp:wrapNone/>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E504F6" w:rsidRDefault="00E504F6" w:rsidP="00E504F6">
      <w:pPr>
        <w:rPr>
          <w:rFonts w:eastAsia="Times New Roman"/>
          <w:b/>
          <w:bCs/>
          <w:sz w:val="22"/>
          <w:lang w:eastAsia="es-ES"/>
        </w:rPr>
      </w:pPr>
    </w:p>
    <w:p w:rsidR="00E504F6" w:rsidRDefault="00E504F6" w:rsidP="00E504F6">
      <w:pPr>
        <w:rPr>
          <w:rFonts w:eastAsia="Times New Roman"/>
          <w:b/>
          <w:bCs/>
          <w:sz w:val="22"/>
          <w:lang w:eastAsia="es-ES"/>
        </w:rPr>
      </w:pPr>
    </w:p>
    <w:p w:rsidR="00E504F6" w:rsidRDefault="00E504F6" w:rsidP="00E504F6">
      <w:pPr>
        <w:rPr>
          <w:rFonts w:eastAsia="Times New Roman"/>
          <w:b/>
          <w:bCs/>
          <w:sz w:val="22"/>
          <w:lang w:eastAsia="es-ES"/>
        </w:rPr>
      </w:pPr>
    </w:p>
    <w:p w:rsidR="00E504F6" w:rsidRDefault="00E504F6" w:rsidP="00E504F6">
      <w:pPr>
        <w:rPr>
          <w:rFonts w:eastAsia="Times New Roman"/>
          <w:b/>
          <w:bCs/>
          <w:sz w:val="22"/>
          <w:lang w:eastAsia="es-ES"/>
        </w:rPr>
      </w:pPr>
    </w:p>
    <w:p w:rsidR="00E504F6" w:rsidRDefault="00E504F6" w:rsidP="00E504F6">
      <w:pPr>
        <w:rPr>
          <w:rFonts w:eastAsia="Times New Roman"/>
          <w:b/>
          <w:bCs/>
          <w:sz w:val="22"/>
          <w:lang w:eastAsia="es-ES"/>
        </w:rPr>
      </w:pPr>
    </w:p>
    <w:p w:rsidR="00E504F6" w:rsidRDefault="00E504F6" w:rsidP="00E504F6">
      <w:pPr>
        <w:rPr>
          <w:rFonts w:eastAsia="Times New Roman"/>
          <w:b/>
          <w:bCs/>
          <w:sz w:val="22"/>
          <w:lang w:eastAsia="es-ES"/>
        </w:rPr>
      </w:pPr>
    </w:p>
    <w:p w:rsidR="00E504F6" w:rsidRDefault="00E504F6" w:rsidP="00E504F6">
      <w:pPr>
        <w:rPr>
          <w:rFonts w:eastAsia="Times New Roman"/>
          <w:b/>
          <w:bCs/>
          <w:sz w:val="22"/>
          <w:lang w:eastAsia="es-ES"/>
        </w:rPr>
      </w:pPr>
    </w:p>
    <w:p w:rsidR="00E504F6" w:rsidRDefault="00E504F6" w:rsidP="00E504F6">
      <w:pPr>
        <w:rPr>
          <w:rFonts w:eastAsia="Times New Roman"/>
          <w:b/>
          <w:bCs/>
          <w:sz w:val="22"/>
          <w:lang w:eastAsia="es-ES"/>
        </w:rPr>
      </w:pPr>
    </w:p>
    <w:p w:rsidR="00E504F6" w:rsidRDefault="00E504F6" w:rsidP="00E504F6">
      <w:pPr>
        <w:rPr>
          <w:rFonts w:eastAsia="Times New Roman"/>
          <w:b/>
          <w:bCs/>
          <w:sz w:val="22"/>
          <w:lang w:eastAsia="es-ES"/>
        </w:rPr>
      </w:pPr>
    </w:p>
    <w:p w:rsidR="00E504F6" w:rsidRDefault="00E504F6" w:rsidP="00E504F6">
      <w:pPr>
        <w:rPr>
          <w:rFonts w:eastAsia="Times New Roman"/>
          <w:b/>
          <w:bCs/>
          <w:sz w:val="22"/>
          <w:lang w:eastAsia="es-ES"/>
        </w:rPr>
      </w:pPr>
    </w:p>
    <w:p w:rsidR="00E504F6" w:rsidRDefault="00E504F6" w:rsidP="00E504F6">
      <w:pPr>
        <w:rPr>
          <w:rFonts w:eastAsia="Times New Roman"/>
          <w:b/>
          <w:bCs/>
          <w:sz w:val="22"/>
          <w:lang w:eastAsia="es-ES"/>
        </w:rPr>
      </w:pPr>
    </w:p>
    <w:p w:rsidR="00E504F6" w:rsidRDefault="00E504F6" w:rsidP="00E504F6">
      <w:pPr>
        <w:rPr>
          <w:rFonts w:eastAsia="Times New Roman"/>
          <w:b/>
          <w:bCs/>
          <w:sz w:val="22"/>
          <w:lang w:eastAsia="es-ES"/>
        </w:rPr>
      </w:pPr>
    </w:p>
    <w:p w:rsidR="00E504F6" w:rsidRDefault="00E504F6" w:rsidP="00E504F6">
      <w:pPr>
        <w:rPr>
          <w:rFonts w:eastAsia="Times New Roman"/>
          <w:b/>
          <w:bCs/>
          <w:sz w:val="22"/>
          <w:lang w:eastAsia="es-ES"/>
        </w:rPr>
      </w:pPr>
    </w:p>
    <w:p w:rsidR="00E504F6" w:rsidRDefault="00E504F6" w:rsidP="00E504F6">
      <w:pPr>
        <w:rPr>
          <w:rFonts w:eastAsia="Times New Roman"/>
          <w:b/>
          <w:bCs/>
          <w:sz w:val="22"/>
          <w:lang w:eastAsia="es-ES"/>
        </w:rPr>
      </w:pPr>
    </w:p>
    <w:p w:rsidR="00E504F6" w:rsidRDefault="00E504F6" w:rsidP="00E504F6">
      <w:pPr>
        <w:rPr>
          <w:rFonts w:eastAsia="Times New Roman"/>
          <w:b/>
          <w:bCs/>
          <w:sz w:val="22"/>
          <w:lang w:eastAsia="es-ES"/>
        </w:rPr>
      </w:pPr>
    </w:p>
    <w:p w:rsidR="00E504F6" w:rsidRDefault="00E504F6" w:rsidP="00E504F6">
      <w:pPr>
        <w:rPr>
          <w:rFonts w:eastAsia="Times New Roman"/>
          <w:b/>
          <w:bCs/>
          <w:sz w:val="22"/>
          <w:lang w:eastAsia="es-ES"/>
        </w:rPr>
      </w:pPr>
    </w:p>
    <w:p w:rsidR="00E504F6" w:rsidRDefault="00E504F6" w:rsidP="00E504F6">
      <w:pPr>
        <w:rPr>
          <w:rFonts w:eastAsia="Times New Roman"/>
          <w:b/>
          <w:bCs/>
          <w:sz w:val="22"/>
          <w:lang w:eastAsia="es-ES"/>
        </w:rPr>
      </w:pPr>
    </w:p>
    <w:p w:rsidR="00E504F6" w:rsidRDefault="00E504F6" w:rsidP="00E504F6">
      <w:pPr>
        <w:rPr>
          <w:rFonts w:eastAsia="Times New Roman"/>
          <w:b/>
          <w:bCs/>
          <w:sz w:val="22"/>
          <w:lang w:eastAsia="es-ES"/>
        </w:rPr>
      </w:pPr>
    </w:p>
    <w:p w:rsidR="00E504F6" w:rsidRDefault="00E504F6" w:rsidP="00E504F6">
      <w:pPr>
        <w:rPr>
          <w:rFonts w:eastAsia="Times New Roman"/>
          <w:b/>
          <w:bCs/>
          <w:sz w:val="22"/>
          <w:lang w:eastAsia="es-ES"/>
        </w:rPr>
      </w:pPr>
      <w:r>
        <w:rPr>
          <w:rFonts w:eastAsia="Times New Roman"/>
          <w:b/>
          <w:bCs/>
          <w:sz w:val="22"/>
          <w:lang w:eastAsia="es-ES"/>
        </w:rPr>
        <w:t xml:space="preserve">Mucocutaneous leishmaniasis </w:t>
      </w:r>
      <w:proofErr w:type="spellStart"/>
      <w:r>
        <w:rPr>
          <w:rFonts w:eastAsia="Times New Roman"/>
          <w:b/>
          <w:bCs/>
          <w:sz w:val="22"/>
          <w:lang w:eastAsia="es-ES"/>
        </w:rPr>
        <w:t>trend</w:t>
      </w:r>
      <w:proofErr w:type="spellEnd"/>
    </w:p>
    <w:p w:rsidR="00E504F6" w:rsidRDefault="00E504F6" w:rsidP="00E504F6">
      <w:pPr>
        <w:rPr>
          <w:rFonts w:eastAsia="Times New Roman"/>
          <w:b/>
          <w:bCs/>
          <w:sz w:val="22"/>
          <w:lang w:eastAsia="es-ES"/>
        </w:rPr>
      </w:pPr>
      <w:r>
        <w:rPr>
          <w:rFonts w:eastAsia="Times New Roman"/>
          <w:b/>
          <w:bCs/>
          <w:noProof/>
          <w:sz w:val="22"/>
          <w:lang w:val="en-US"/>
        </w:rPr>
        <w:drawing>
          <wp:anchor distT="0" distB="0" distL="114300" distR="114300" simplePos="0" relativeHeight="251662336" behindDoc="0" locked="0" layoutInCell="1" allowOverlap="1">
            <wp:simplePos x="0" y="0"/>
            <wp:positionH relativeFrom="column">
              <wp:posOffset>-525780</wp:posOffset>
            </wp:positionH>
            <wp:positionV relativeFrom="paragraph">
              <wp:posOffset>121920</wp:posOffset>
            </wp:positionV>
            <wp:extent cx="7086600" cy="2169795"/>
            <wp:effectExtent l="0" t="0" r="0" b="0"/>
            <wp:wrapNone/>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E504F6" w:rsidRDefault="00E504F6" w:rsidP="00E504F6">
      <w:pPr>
        <w:rPr>
          <w:rFonts w:eastAsia="Times New Roman"/>
          <w:b/>
          <w:bCs/>
          <w:sz w:val="22"/>
          <w:lang w:eastAsia="es-ES"/>
        </w:rPr>
      </w:pPr>
    </w:p>
    <w:p w:rsidR="00E504F6" w:rsidRDefault="00E504F6" w:rsidP="00E504F6">
      <w:pPr>
        <w:rPr>
          <w:rFonts w:eastAsia="Times New Roman"/>
          <w:b/>
          <w:bCs/>
          <w:sz w:val="22"/>
          <w:lang w:eastAsia="es-ES"/>
        </w:rPr>
      </w:pPr>
    </w:p>
    <w:p w:rsidR="00E504F6" w:rsidRDefault="00E504F6" w:rsidP="00E504F6">
      <w:pPr>
        <w:rPr>
          <w:rFonts w:eastAsia="Times New Roman"/>
          <w:b/>
          <w:bCs/>
          <w:sz w:val="22"/>
          <w:lang w:eastAsia="es-ES"/>
        </w:rPr>
      </w:pPr>
    </w:p>
    <w:p w:rsidR="00E504F6" w:rsidRDefault="00E504F6" w:rsidP="00E504F6">
      <w:pPr>
        <w:rPr>
          <w:rFonts w:eastAsia="Times New Roman"/>
          <w:b/>
          <w:bCs/>
          <w:sz w:val="22"/>
          <w:lang w:eastAsia="es-ES"/>
        </w:rPr>
      </w:pPr>
    </w:p>
    <w:p w:rsidR="00E504F6" w:rsidRDefault="00E504F6" w:rsidP="00E504F6">
      <w:pPr>
        <w:rPr>
          <w:rFonts w:eastAsia="Times New Roman"/>
          <w:b/>
          <w:bCs/>
          <w:sz w:val="22"/>
          <w:lang w:eastAsia="es-ES"/>
        </w:rPr>
      </w:pPr>
    </w:p>
    <w:p w:rsidR="00E504F6" w:rsidRDefault="00E504F6" w:rsidP="00E504F6">
      <w:pPr>
        <w:rPr>
          <w:rFonts w:eastAsia="Times New Roman"/>
          <w:b/>
          <w:bCs/>
          <w:sz w:val="22"/>
          <w:lang w:eastAsia="es-ES"/>
        </w:rPr>
      </w:pPr>
    </w:p>
    <w:p w:rsidR="00E504F6" w:rsidRDefault="00E504F6" w:rsidP="00E504F6">
      <w:pPr>
        <w:rPr>
          <w:rFonts w:eastAsia="Times New Roman"/>
          <w:b/>
          <w:bCs/>
          <w:sz w:val="22"/>
          <w:lang w:eastAsia="es-ES"/>
        </w:rPr>
      </w:pPr>
    </w:p>
    <w:p w:rsidR="00E504F6" w:rsidRDefault="00E504F6" w:rsidP="00E504F6">
      <w:pPr>
        <w:rPr>
          <w:rFonts w:eastAsia="Times New Roman"/>
          <w:b/>
          <w:bCs/>
          <w:sz w:val="22"/>
          <w:lang w:eastAsia="es-ES"/>
        </w:rPr>
      </w:pPr>
    </w:p>
    <w:p w:rsidR="00E504F6" w:rsidRDefault="00E504F6" w:rsidP="00E504F6">
      <w:pPr>
        <w:rPr>
          <w:rFonts w:eastAsia="Times New Roman"/>
          <w:b/>
          <w:bCs/>
          <w:sz w:val="22"/>
          <w:lang w:eastAsia="es-ES"/>
        </w:rPr>
      </w:pPr>
    </w:p>
    <w:p w:rsidR="00E504F6" w:rsidRDefault="00E504F6" w:rsidP="00E504F6">
      <w:pPr>
        <w:rPr>
          <w:rFonts w:eastAsia="Times New Roman"/>
          <w:b/>
          <w:bCs/>
          <w:sz w:val="22"/>
          <w:lang w:eastAsia="es-ES"/>
        </w:rPr>
      </w:pPr>
    </w:p>
    <w:p w:rsidR="00E504F6" w:rsidRDefault="00E504F6" w:rsidP="00E504F6">
      <w:pPr>
        <w:rPr>
          <w:rFonts w:eastAsia="Times New Roman"/>
          <w:b/>
          <w:bCs/>
          <w:sz w:val="22"/>
          <w:lang w:eastAsia="es-ES"/>
        </w:rPr>
      </w:pPr>
    </w:p>
    <w:p w:rsidR="00E504F6" w:rsidRDefault="00E504F6" w:rsidP="00E504F6">
      <w:pPr>
        <w:rPr>
          <w:rFonts w:eastAsia="Times New Roman"/>
          <w:b/>
          <w:bCs/>
          <w:sz w:val="22"/>
          <w:lang w:eastAsia="es-ES"/>
        </w:rPr>
      </w:pPr>
    </w:p>
    <w:p w:rsidR="00E504F6" w:rsidRDefault="00E504F6" w:rsidP="00E504F6">
      <w:pPr>
        <w:rPr>
          <w:rFonts w:eastAsia="Times New Roman"/>
          <w:b/>
          <w:bCs/>
          <w:sz w:val="22"/>
          <w:lang w:eastAsia="es-ES"/>
        </w:rPr>
      </w:pPr>
    </w:p>
    <w:p w:rsidR="00E504F6" w:rsidRDefault="00E504F6" w:rsidP="00E504F6">
      <w:pPr>
        <w:rPr>
          <w:rFonts w:eastAsia="Times New Roman"/>
          <w:b/>
          <w:bCs/>
          <w:sz w:val="22"/>
          <w:lang w:eastAsia="es-ES"/>
        </w:rPr>
      </w:pPr>
    </w:p>
    <w:p w:rsidR="00E504F6" w:rsidRPr="009F72CB" w:rsidRDefault="00E504F6" w:rsidP="00E504F6">
      <w:pPr>
        <w:rPr>
          <w:rFonts w:eastAsia="Times New Roman"/>
          <w:b/>
          <w:bCs/>
          <w:sz w:val="22"/>
          <w:lang w:eastAsia="es-ES"/>
        </w:rPr>
      </w:pPr>
      <w:r w:rsidRPr="009F72CB">
        <w:rPr>
          <w:rFonts w:eastAsia="Times New Roman"/>
          <w:b/>
          <w:bCs/>
          <w:sz w:val="22"/>
          <w:lang w:eastAsia="es-ES"/>
        </w:rPr>
        <w:t>CONTROL</w:t>
      </w:r>
    </w:p>
    <w:p w:rsidR="00E504F6" w:rsidRPr="009F72CB" w:rsidRDefault="00E504F6" w:rsidP="00E504F6">
      <w:pPr>
        <w:rPr>
          <w:rFonts w:eastAsia="Times New Roman"/>
          <w:sz w:val="22"/>
          <w:lang w:eastAsia="es-ES"/>
        </w:rPr>
      </w:pPr>
    </w:p>
    <w:p w:rsidR="00E504F6" w:rsidRPr="000F456B" w:rsidRDefault="00E504F6" w:rsidP="00E504F6">
      <w:pPr>
        <w:pStyle w:val="BodyText"/>
        <w:spacing w:after="0"/>
        <w:jc w:val="both"/>
        <w:rPr>
          <w:rFonts w:ascii="Arial" w:hAnsi="Arial" w:cs="Arial"/>
          <w:bCs/>
          <w:sz w:val="22"/>
          <w:szCs w:val="22"/>
          <w:lang w:val="en-GB"/>
        </w:rPr>
      </w:pPr>
      <w:r w:rsidRPr="000F456B">
        <w:rPr>
          <w:rFonts w:ascii="Arial" w:hAnsi="Arial" w:cs="Arial"/>
          <w:bCs/>
          <w:sz w:val="22"/>
          <w:szCs w:val="22"/>
          <w:lang w:val="en-GB"/>
        </w:rPr>
        <w:t xml:space="preserve">Leishmaniasis is a notifiable disease. </w:t>
      </w:r>
      <w:r>
        <w:rPr>
          <w:rFonts w:ascii="Arial" w:hAnsi="Arial" w:cs="Arial"/>
          <w:bCs/>
          <w:sz w:val="22"/>
          <w:szCs w:val="22"/>
          <w:lang w:val="en-GB"/>
        </w:rPr>
        <w:t xml:space="preserve">A national control program has been in place since </w:t>
      </w:r>
      <w:r w:rsidRPr="000F456B">
        <w:rPr>
          <w:rFonts w:ascii="Arial" w:hAnsi="Arial" w:cs="Arial"/>
          <w:bCs/>
          <w:sz w:val="22"/>
          <w:szCs w:val="22"/>
          <w:lang w:val="en-GB"/>
        </w:rPr>
        <w:t>1965</w:t>
      </w:r>
      <w:r>
        <w:rPr>
          <w:rFonts w:ascii="Arial" w:hAnsi="Arial" w:cs="Arial"/>
          <w:bCs/>
          <w:sz w:val="22"/>
          <w:szCs w:val="22"/>
          <w:lang w:val="en-GB"/>
        </w:rPr>
        <w:t>.</w:t>
      </w:r>
      <w:r w:rsidRPr="000F456B">
        <w:rPr>
          <w:rFonts w:ascii="Arial" w:hAnsi="Arial" w:cs="Arial"/>
          <w:bCs/>
          <w:sz w:val="22"/>
          <w:szCs w:val="22"/>
          <w:lang w:val="en-GB"/>
        </w:rPr>
        <w:t xml:space="preserve"> Case detection is </w:t>
      </w:r>
      <w:r>
        <w:rPr>
          <w:rFonts w:ascii="Arial" w:hAnsi="Arial" w:cs="Arial"/>
          <w:bCs/>
          <w:sz w:val="22"/>
          <w:szCs w:val="22"/>
          <w:lang w:val="en-GB"/>
        </w:rPr>
        <w:t>passive.</w:t>
      </w:r>
      <w:r w:rsidRPr="000F456B">
        <w:rPr>
          <w:rFonts w:ascii="Arial" w:hAnsi="Arial" w:cs="Arial"/>
          <w:bCs/>
          <w:sz w:val="22"/>
          <w:szCs w:val="22"/>
          <w:lang w:val="en-GB"/>
        </w:rPr>
        <w:t xml:space="preserve"> Control strategies include</w:t>
      </w:r>
      <w:r>
        <w:rPr>
          <w:rFonts w:ascii="Arial" w:hAnsi="Arial" w:cs="Arial"/>
          <w:bCs/>
          <w:sz w:val="22"/>
          <w:szCs w:val="22"/>
          <w:lang w:val="en-GB"/>
        </w:rPr>
        <w:t xml:space="preserve"> </w:t>
      </w:r>
      <w:r w:rsidRPr="000F456B">
        <w:rPr>
          <w:rFonts w:ascii="Arial" w:hAnsi="Arial" w:cs="Arial"/>
          <w:bCs/>
          <w:sz w:val="22"/>
          <w:szCs w:val="22"/>
          <w:lang w:val="en-GB"/>
        </w:rPr>
        <w:t xml:space="preserve">vector control (spraying) and canine control (elimination of </w:t>
      </w:r>
      <w:proofErr w:type="spellStart"/>
      <w:r w:rsidRPr="000F456B">
        <w:rPr>
          <w:rFonts w:ascii="Arial" w:hAnsi="Arial" w:cs="Arial"/>
          <w:bCs/>
          <w:sz w:val="22"/>
          <w:szCs w:val="22"/>
          <w:lang w:val="en-GB"/>
        </w:rPr>
        <w:t>seropositive</w:t>
      </w:r>
      <w:proofErr w:type="spellEnd"/>
      <w:r w:rsidRPr="000F456B">
        <w:rPr>
          <w:rFonts w:ascii="Arial" w:hAnsi="Arial" w:cs="Arial"/>
          <w:bCs/>
          <w:sz w:val="22"/>
          <w:szCs w:val="22"/>
          <w:lang w:val="en-GB"/>
        </w:rPr>
        <w:t xml:space="preserve"> dogs).</w:t>
      </w:r>
    </w:p>
    <w:p w:rsidR="00E504F6" w:rsidRDefault="00E504F6" w:rsidP="00E504F6">
      <w:pPr>
        <w:rPr>
          <w:rFonts w:eastAsia="Times New Roman"/>
          <w:sz w:val="22"/>
          <w:lang w:val="en-US" w:eastAsia="es-ES"/>
        </w:rPr>
      </w:pPr>
    </w:p>
    <w:p w:rsidR="00E504F6" w:rsidRPr="009F72CB" w:rsidRDefault="00E504F6" w:rsidP="00E504F6">
      <w:pPr>
        <w:rPr>
          <w:rFonts w:eastAsia="Times New Roman"/>
          <w:sz w:val="22"/>
          <w:lang w:val="en-US" w:eastAsia="es-ES"/>
        </w:rPr>
      </w:pPr>
    </w:p>
    <w:p w:rsidR="00E504F6" w:rsidRPr="009F72CB" w:rsidRDefault="00E504F6" w:rsidP="00E504F6">
      <w:pPr>
        <w:rPr>
          <w:b/>
          <w:sz w:val="22"/>
          <w:lang w:val="en-US"/>
        </w:rPr>
      </w:pPr>
      <w:r w:rsidRPr="009F72CB">
        <w:rPr>
          <w:b/>
          <w:sz w:val="22"/>
          <w:lang w:val="en-US"/>
        </w:rPr>
        <w:t xml:space="preserve">DIAGNOSIS, TREATMENT </w:t>
      </w:r>
    </w:p>
    <w:p w:rsidR="00E504F6" w:rsidRDefault="00E504F6" w:rsidP="00E504F6">
      <w:pPr>
        <w:rPr>
          <w:b/>
          <w:bCs/>
          <w:sz w:val="22"/>
          <w:lang w:val="en-US"/>
        </w:rPr>
      </w:pPr>
    </w:p>
    <w:p w:rsidR="00E504F6" w:rsidRDefault="00E504F6" w:rsidP="00E504F6">
      <w:pPr>
        <w:rPr>
          <w:b/>
          <w:bCs/>
          <w:sz w:val="22"/>
          <w:lang w:val="en-US"/>
        </w:rPr>
      </w:pPr>
      <w:r w:rsidRPr="009F72CB">
        <w:rPr>
          <w:b/>
          <w:bCs/>
          <w:sz w:val="22"/>
          <w:lang w:val="en-US"/>
        </w:rPr>
        <w:t>Diagnosis:</w:t>
      </w:r>
    </w:p>
    <w:p w:rsidR="00E504F6" w:rsidRDefault="00E504F6" w:rsidP="00E504F6">
      <w:pPr>
        <w:ind w:left="0"/>
        <w:rPr>
          <w:b/>
          <w:bCs/>
          <w:sz w:val="22"/>
          <w:lang w:val="en-US"/>
        </w:rPr>
      </w:pPr>
    </w:p>
    <w:p w:rsidR="00E504F6" w:rsidRPr="00562689" w:rsidRDefault="00E504F6" w:rsidP="00E504F6">
      <w:pPr>
        <w:ind w:left="0" w:firstLine="0"/>
        <w:rPr>
          <w:sz w:val="22"/>
        </w:rPr>
      </w:pPr>
      <w:r w:rsidRPr="00562689">
        <w:rPr>
          <w:sz w:val="22"/>
        </w:rPr>
        <w:t xml:space="preserve">CL: </w:t>
      </w:r>
      <w:proofErr w:type="spellStart"/>
      <w:r w:rsidRPr="00562689">
        <w:rPr>
          <w:sz w:val="22"/>
        </w:rPr>
        <w:t>clinical</w:t>
      </w:r>
      <w:proofErr w:type="spellEnd"/>
      <w:r w:rsidRPr="00562689">
        <w:rPr>
          <w:sz w:val="22"/>
        </w:rPr>
        <w:t xml:space="preserve">, </w:t>
      </w:r>
      <w:proofErr w:type="spellStart"/>
      <w:r w:rsidRPr="00562689">
        <w:rPr>
          <w:sz w:val="22"/>
        </w:rPr>
        <w:t>confirmation</w:t>
      </w:r>
      <w:proofErr w:type="spellEnd"/>
      <w:r w:rsidRPr="00562689">
        <w:rPr>
          <w:sz w:val="22"/>
        </w:rPr>
        <w:t xml:space="preserve"> </w:t>
      </w:r>
      <w:proofErr w:type="spellStart"/>
      <w:r w:rsidRPr="00562689">
        <w:rPr>
          <w:sz w:val="22"/>
        </w:rPr>
        <w:t>by</w:t>
      </w:r>
      <w:proofErr w:type="spellEnd"/>
      <w:r w:rsidRPr="00562689">
        <w:rPr>
          <w:sz w:val="22"/>
        </w:rPr>
        <w:t xml:space="preserve"> the Montenegro test and </w:t>
      </w:r>
      <w:proofErr w:type="spellStart"/>
      <w:r w:rsidRPr="00562689">
        <w:rPr>
          <w:sz w:val="22"/>
        </w:rPr>
        <w:t>microscopic</w:t>
      </w:r>
      <w:proofErr w:type="spellEnd"/>
      <w:r w:rsidRPr="00562689">
        <w:rPr>
          <w:sz w:val="22"/>
        </w:rPr>
        <w:t xml:space="preserve"> </w:t>
      </w:r>
      <w:proofErr w:type="spellStart"/>
      <w:r w:rsidRPr="00562689">
        <w:rPr>
          <w:sz w:val="22"/>
        </w:rPr>
        <w:t>examination</w:t>
      </w:r>
      <w:proofErr w:type="spellEnd"/>
      <w:r w:rsidRPr="00562689">
        <w:rPr>
          <w:sz w:val="22"/>
        </w:rPr>
        <w:t xml:space="preserve"> of </w:t>
      </w:r>
      <w:proofErr w:type="spellStart"/>
      <w:r w:rsidRPr="00562689">
        <w:rPr>
          <w:sz w:val="22"/>
        </w:rPr>
        <w:t>lesion</w:t>
      </w:r>
      <w:proofErr w:type="spellEnd"/>
      <w:r w:rsidRPr="00562689">
        <w:rPr>
          <w:sz w:val="22"/>
        </w:rPr>
        <w:t xml:space="preserve"> </w:t>
      </w:r>
      <w:proofErr w:type="spellStart"/>
      <w:r w:rsidRPr="00562689">
        <w:rPr>
          <w:sz w:val="22"/>
        </w:rPr>
        <w:t>samples</w:t>
      </w:r>
      <w:proofErr w:type="spellEnd"/>
      <w:r w:rsidRPr="00562689">
        <w:rPr>
          <w:sz w:val="22"/>
        </w:rPr>
        <w:t xml:space="preserve"> (in &gt;90% of cases). PCR </w:t>
      </w:r>
      <w:proofErr w:type="spellStart"/>
      <w:r w:rsidRPr="00562689">
        <w:rPr>
          <w:sz w:val="22"/>
        </w:rPr>
        <w:t>is</w:t>
      </w:r>
      <w:proofErr w:type="spellEnd"/>
      <w:r w:rsidRPr="00562689">
        <w:rPr>
          <w:sz w:val="22"/>
        </w:rPr>
        <w:t xml:space="preserve"> </w:t>
      </w:r>
      <w:proofErr w:type="spellStart"/>
      <w:r w:rsidRPr="00562689">
        <w:rPr>
          <w:sz w:val="22"/>
        </w:rPr>
        <w:t>available</w:t>
      </w:r>
      <w:proofErr w:type="spellEnd"/>
      <w:r w:rsidRPr="00562689">
        <w:rPr>
          <w:sz w:val="22"/>
        </w:rPr>
        <w:t xml:space="preserve"> at the Instituto de Biomedicina.</w:t>
      </w:r>
    </w:p>
    <w:p w:rsidR="00E504F6" w:rsidRPr="00562689" w:rsidRDefault="00E504F6" w:rsidP="00E504F6">
      <w:pPr>
        <w:ind w:left="0" w:firstLine="0"/>
        <w:rPr>
          <w:sz w:val="22"/>
        </w:rPr>
      </w:pPr>
      <w:r w:rsidRPr="00562689">
        <w:rPr>
          <w:sz w:val="22"/>
        </w:rPr>
        <w:t xml:space="preserve">VL: </w:t>
      </w:r>
      <w:proofErr w:type="spellStart"/>
      <w:r w:rsidRPr="00562689">
        <w:rPr>
          <w:sz w:val="22"/>
        </w:rPr>
        <w:t>rapid</w:t>
      </w:r>
      <w:proofErr w:type="spellEnd"/>
      <w:r w:rsidRPr="00562689">
        <w:rPr>
          <w:sz w:val="22"/>
        </w:rPr>
        <w:t xml:space="preserve"> </w:t>
      </w:r>
      <w:proofErr w:type="spellStart"/>
      <w:r w:rsidRPr="00562689">
        <w:rPr>
          <w:sz w:val="22"/>
        </w:rPr>
        <w:t>diagnostics</w:t>
      </w:r>
      <w:proofErr w:type="spellEnd"/>
      <w:r w:rsidRPr="00562689">
        <w:rPr>
          <w:sz w:val="22"/>
        </w:rPr>
        <w:t xml:space="preserve"> rK39 </w:t>
      </w:r>
      <w:proofErr w:type="spellStart"/>
      <w:r w:rsidRPr="00562689">
        <w:rPr>
          <w:sz w:val="22"/>
        </w:rPr>
        <w:t>antigen-based</w:t>
      </w:r>
      <w:proofErr w:type="spellEnd"/>
      <w:r w:rsidRPr="00562689">
        <w:rPr>
          <w:sz w:val="22"/>
        </w:rPr>
        <w:t xml:space="preserve"> </w:t>
      </w:r>
      <w:proofErr w:type="spellStart"/>
      <w:r w:rsidRPr="00562689">
        <w:rPr>
          <w:sz w:val="22"/>
        </w:rPr>
        <w:t>tests</w:t>
      </w:r>
      <w:proofErr w:type="spellEnd"/>
      <w:r w:rsidRPr="00562689">
        <w:rPr>
          <w:sz w:val="22"/>
        </w:rPr>
        <w:t xml:space="preserve">, at </w:t>
      </w:r>
      <w:proofErr w:type="spellStart"/>
      <w:r w:rsidRPr="00562689">
        <w:rPr>
          <w:sz w:val="22"/>
        </w:rPr>
        <w:t>health</w:t>
      </w:r>
      <w:proofErr w:type="spellEnd"/>
      <w:r w:rsidRPr="00562689">
        <w:rPr>
          <w:sz w:val="22"/>
        </w:rPr>
        <w:t xml:space="preserve"> </w:t>
      </w:r>
      <w:proofErr w:type="spellStart"/>
      <w:r w:rsidRPr="00562689">
        <w:rPr>
          <w:sz w:val="22"/>
        </w:rPr>
        <w:t>facility</w:t>
      </w:r>
      <w:proofErr w:type="spellEnd"/>
      <w:r w:rsidRPr="00562689">
        <w:rPr>
          <w:sz w:val="22"/>
        </w:rPr>
        <w:t xml:space="preserve"> </w:t>
      </w:r>
      <w:proofErr w:type="spellStart"/>
      <w:r w:rsidRPr="00562689">
        <w:rPr>
          <w:sz w:val="22"/>
        </w:rPr>
        <w:t>level</w:t>
      </w:r>
      <w:proofErr w:type="spellEnd"/>
      <w:r w:rsidRPr="00562689">
        <w:rPr>
          <w:sz w:val="22"/>
        </w:rPr>
        <w:t xml:space="preserve">, and ELISA of </w:t>
      </w:r>
      <w:proofErr w:type="spellStart"/>
      <w:r w:rsidRPr="00562689">
        <w:rPr>
          <w:sz w:val="22"/>
        </w:rPr>
        <w:t>bone</w:t>
      </w:r>
      <w:proofErr w:type="spellEnd"/>
      <w:r w:rsidRPr="00562689">
        <w:rPr>
          <w:sz w:val="22"/>
        </w:rPr>
        <w:t xml:space="preserve"> </w:t>
      </w:r>
      <w:proofErr w:type="spellStart"/>
      <w:r w:rsidRPr="00562689">
        <w:rPr>
          <w:sz w:val="22"/>
        </w:rPr>
        <w:t>marrow</w:t>
      </w:r>
      <w:proofErr w:type="spellEnd"/>
      <w:r w:rsidRPr="00562689">
        <w:rPr>
          <w:sz w:val="22"/>
        </w:rPr>
        <w:t xml:space="preserve"> </w:t>
      </w:r>
      <w:proofErr w:type="spellStart"/>
      <w:r w:rsidRPr="00562689">
        <w:rPr>
          <w:sz w:val="22"/>
        </w:rPr>
        <w:t>aspirates</w:t>
      </w:r>
      <w:proofErr w:type="spellEnd"/>
      <w:r w:rsidRPr="00562689">
        <w:rPr>
          <w:sz w:val="22"/>
        </w:rPr>
        <w:t xml:space="preserve">, at central </w:t>
      </w:r>
      <w:proofErr w:type="spellStart"/>
      <w:r w:rsidRPr="00562689">
        <w:rPr>
          <w:sz w:val="22"/>
        </w:rPr>
        <w:t>level</w:t>
      </w:r>
      <w:proofErr w:type="spellEnd"/>
      <w:r w:rsidRPr="00562689">
        <w:rPr>
          <w:sz w:val="22"/>
        </w:rPr>
        <w:t xml:space="preserve"> and in the </w:t>
      </w:r>
      <w:proofErr w:type="spellStart"/>
      <w:r w:rsidRPr="00562689">
        <w:rPr>
          <w:sz w:val="22"/>
        </w:rPr>
        <w:t>state</w:t>
      </w:r>
      <w:proofErr w:type="spellEnd"/>
      <w:r w:rsidRPr="00562689">
        <w:rPr>
          <w:sz w:val="22"/>
        </w:rPr>
        <w:t xml:space="preserve"> of Nueva Esparta. </w:t>
      </w:r>
    </w:p>
    <w:p w:rsidR="00E504F6" w:rsidRPr="009F72CB" w:rsidRDefault="00E504F6" w:rsidP="00E504F6">
      <w:pPr>
        <w:ind w:left="0"/>
        <w:rPr>
          <w:b/>
          <w:bCs/>
          <w:sz w:val="22"/>
          <w:lang w:val="en-US"/>
        </w:rPr>
      </w:pPr>
    </w:p>
    <w:p w:rsidR="00E504F6" w:rsidRDefault="00E504F6" w:rsidP="00E504F6">
      <w:pPr>
        <w:ind w:left="0" w:firstLine="0"/>
        <w:rPr>
          <w:b/>
          <w:bCs/>
          <w:sz w:val="22"/>
          <w:lang w:val="en-US"/>
        </w:rPr>
      </w:pPr>
      <w:r w:rsidRPr="009F72CB">
        <w:rPr>
          <w:b/>
          <w:bCs/>
          <w:sz w:val="22"/>
          <w:lang w:val="en-US"/>
        </w:rPr>
        <w:t>Treatment:</w:t>
      </w:r>
    </w:p>
    <w:p w:rsidR="00E504F6" w:rsidRPr="009F72CB" w:rsidRDefault="00E504F6" w:rsidP="00E504F6">
      <w:pPr>
        <w:ind w:left="0"/>
        <w:rPr>
          <w:b/>
          <w:bCs/>
          <w:sz w:val="22"/>
          <w:lang w:val="en-US"/>
        </w:rPr>
      </w:pPr>
    </w:p>
    <w:p w:rsidR="00E504F6" w:rsidRPr="00562689" w:rsidRDefault="00E504F6" w:rsidP="00E504F6">
      <w:pPr>
        <w:pStyle w:val="BodyText"/>
        <w:spacing w:after="0"/>
        <w:jc w:val="both"/>
        <w:rPr>
          <w:rFonts w:ascii="Arial" w:hAnsi="Arial" w:cs="Arial"/>
          <w:bCs/>
          <w:sz w:val="22"/>
          <w:szCs w:val="22"/>
        </w:rPr>
      </w:pPr>
      <w:r w:rsidRPr="00562689">
        <w:rPr>
          <w:rFonts w:ascii="Arial" w:hAnsi="Arial" w:cs="Arial"/>
          <w:bCs/>
          <w:sz w:val="22"/>
          <w:szCs w:val="22"/>
        </w:rPr>
        <w:t>CL</w:t>
      </w:r>
      <w:r w:rsidRPr="00562689">
        <w:rPr>
          <w:rFonts w:ascii="Arial" w:hAnsi="Arial" w:cs="Arial"/>
          <w:sz w:val="22"/>
          <w:szCs w:val="22"/>
        </w:rPr>
        <w:t xml:space="preserve">: </w:t>
      </w:r>
      <w:r w:rsidRPr="00562689">
        <w:rPr>
          <w:rFonts w:ascii="Arial" w:eastAsia="Calibri" w:hAnsi="Arial" w:cs="Arial"/>
          <w:bCs/>
          <w:sz w:val="22"/>
          <w:szCs w:val="22"/>
          <w:lang w:val="en-GB"/>
        </w:rPr>
        <w:t>first line treatment is 3 doses of i</w:t>
      </w:r>
      <w:r w:rsidRPr="00562689">
        <w:rPr>
          <w:rFonts w:ascii="Arial" w:hAnsi="Arial" w:cs="Arial"/>
          <w:bCs/>
          <w:sz w:val="22"/>
          <w:szCs w:val="22"/>
          <w:lang w:val="en-GB"/>
        </w:rPr>
        <w:t xml:space="preserve">mmunotherapy. There is a 92% cure rate, with 5% recurring lesions and 1% mucosal involvement. Second line treatment: antimonials, </w:t>
      </w:r>
      <w:r w:rsidRPr="00562689">
        <w:rPr>
          <w:rFonts w:ascii="Arial" w:hAnsi="Arial" w:cs="Arial"/>
          <w:bCs/>
          <w:color w:val="000000"/>
          <w:sz w:val="22"/>
          <w:szCs w:val="22"/>
          <w:lang w:val="en-GB"/>
        </w:rPr>
        <w:t xml:space="preserve">20 mg </w:t>
      </w:r>
      <w:proofErr w:type="spellStart"/>
      <w:r w:rsidRPr="00562689">
        <w:rPr>
          <w:rFonts w:ascii="Arial" w:hAnsi="Arial" w:cs="Arial"/>
          <w:bCs/>
          <w:color w:val="000000"/>
          <w:sz w:val="22"/>
          <w:szCs w:val="22"/>
          <w:lang w:val="en-GB"/>
        </w:rPr>
        <w:t>Sb</w:t>
      </w:r>
      <w:r w:rsidRPr="00562689">
        <w:rPr>
          <w:rFonts w:ascii="Arial" w:hAnsi="Arial" w:cs="Arial"/>
          <w:bCs/>
          <w:color w:val="000000"/>
          <w:sz w:val="22"/>
          <w:szCs w:val="22"/>
          <w:vertAlign w:val="superscript"/>
          <w:lang w:val="en-GB"/>
        </w:rPr>
        <w:t>v</w:t>
      </w:r>
      <w:proofErr w:type="spellEnd"/>
      <w:r w:rsidRPr="00562689">
        <w:rPr>
          <w:rFonts w:ascii="Arial" w:hAnsi="Arial" w:cs="Arial"/>
          <w:bCs/>
          <w:color w:val="000000"/>
          <w:sz w:val="22"/>
          <w:szCs w:val="22"/>
          <w:lang w:val="en-GB"/>
        </w:rPr>
        <w:t xml:space="preserve">/kg/day for </w:t>
      </w:r>
      <w:r w:rsidRPr="00562689">
        <w:rPr>
          <w:rFonts w:ascii="Arial" w:hAnsi="Arial" w:cs="Arial"/>
          <w:bCs/>
          <w:sz w:val="22"/>
          <w:szCs w:val="22"/>
          <w:lang w:val="en-GB"/>
        </w:rPr>
        <w:t xml:space="preserve">20 days. Cure rate is 99%. Third line treatment: miltefosine, </w:t>
      </w:r>
      <w:r w:rsidRPr="00562689">
        <w:rPr>
          <w:rFonts w:ascii="Arial" w:hAnsi="Arial" w:cs="Arial"/>
          <w:bCs/>
          <w:sz w:val="22"/>
          <w:szCs w:val="22"/>
        </w:rPr>
        <w:t xml:space="preserve">2-2.5 mg/kg/day, 30 to 45 days. Cure rate is 50%. </w:t>
      </w:r>
    </w:p>
    <w:p w:rsidR="00E504F6" w:rsidRPr="00562689" w:rsidRDefault="00E504F6" w:rsidP="00E504F6">
      <w:pPr>
        <w:pStyle w:val="BodyText"/>
        <w:spacing w:after="0"/>
        <w:jc w:val="both"/>
        <w:rPr>
          <w:rFonts w:ascii="Arial" w:hAnsi="Arial" w:cs="Arial"/>
          <w:bCs/>
          <w:sz w:val="22"/>
          <w:szCs w:val="22"/>
        </w:rPr>
      </w:pPr>
      <w:r w:rsidRPr="00562689">
        <w:rPr>
          <w:rFonts w:ascii="Arial" w:hAnsi="Arial" w:cs="Arial"/>
          <w:sz w:val="22"/>
          <w:szCs w:val="22"/>
        </w:rPr>
        <w:t>MCL:</w:t>
      </w:r>
      <w:r w:rsidRPr="00562689">
        <w:rPr>
          <w:rFonts w:ascii="Arial" w:hAnsi="Arial" w:cs="Arial"/>
          <w:bCs/>
          <w:sz w:val="22"/>
          <w:szCs w:val="22"/>
        </w:rPr>
        <w:t xml:space="preserve"> is treated with a combination of immunotherapy and antimonials. Overall cure rate for MCL is 90%, with 10% </w:t>
      </w:r>
      <w:r w:rsidRPr="00562689">
        <w:rPr>
          <w:rFonts w:ascii="Arial" w:hAnsi="Arial" w:cs="Arial"/>
          <w:bCs/>
          <w:sz w:val="22"/>
          <w:szCs w:val="22"/>
          <w:lang w:val="en-GB"/>
        </w:rPr>
        <w:t xml:space="preserve">recurring lesions. </w:t>
      </w:r>
    </w:p>
    <w:p w:rsidR="00E504F6" w:rsidRPr="00562689" w:rsidRDefault="00E504F6" w:rsidP="00E504F6">
      <w:pPr>
        <w:pStyle w:val="BodyText"/>
        <w:spacing w:after="0"/>
        <w:jc w:val="both"/>
        <w:rPr>
          <w:rFonts w:ascii="Arial" w:hAnsi="Arial" w:cs="Arial"/>
          <w:bCs/>
          <w:sz w:val="22"/>
          <w:szCs w:val="22"/>
          <w:lang w:val="en-GB"/>
        </w:rPr>
      </w:pPr>
      <w:r w:rsidRPr="00562689">
        <w:rPr>
          <w:rFonts w:ascii="Arial" w:hAnsi="Arial" w:cs="Arial"/>
          <w:bCs/>
          <w:sz w:val="22"/>
          <w:szCs w:val="22"/>
        </w:rPr>
        <w:t>VL:</w:t>
      </w:r>
      <w:r w:rsidRPr="00562689">
        <w:rPr>
          <w:rFonts w:ascii="Arial" w:hAnsi="Arial" w:cs="Arial"/>
          <w:sz w:val="22"/>
          <w:szCs w:val="22"/>
        </w:rPr>
        <w:t xml:space="preserve"> first line treatment: antimonials. Second line treatment is with amphotericin B. </w:t>
      </w:r>
      <w:r w:rsidRPr="00562689">
        <w:rPr>
          <w:rFonts w:ascii="Arial" w:hAnsi="Arial" w:cs="Arial"/>
          <w:bCs/>
          <w:sz w:val="22"/>
          <w:szCs w:val="22"/>
          <w:lang w:val="en-GB"/>
        </w:rPr>
        <w:t>Overall cure rate is 100%.</w:t>
      </w:r>
    </w:p>
    <w:p w:rsidR="00E504F6" w:rsidRPr="00562689" w:rsidRDefault="00E504F6" w:rsidP="00E504F6">
      <w:pPr>
        <w:pStyle w:val="BodyText"/>
        <w:spacing w:after="0"/>
        <w:ind w:left="540" w:hanging="540"/>
        <w:jc w:val="both"/>
        <w:rPr>
          <w:rFonts w:ascii="Arial" w:hAnsi="Arial" w:cs="Arial"/>
          <w:bCs/>
          <w:sz w:val="22"/>
          <w:szCs w:val="22"/>
          <w:lang w:val="en-GB"/>
        </w:rPr>
      </w:pPr>
    </w:p>
    <w:p w:rsidR="00E504F6" w:rsidRPr="000F456B" w:rsidRDefault="00E504F6" w:rsidP="00E504F6">
      <w:pPr>
        <w:pStyle w:val="BodyText"/>
        <w:spacing w:after="0"/>
        <w:jc w:val="both"/>
        <w:rPr>
          <w:rFonts w:ascii="Arial" w:hAnsi="Arial" w:cs="Arial"/>
          <w:bCs/>
          <w:sz w:val="22"/>
          <w:szCs w:val="22"/>
        </w:rPr>
      </w:pPr>
    </w:p>
    <w:p w:rsidR="00E504F6" w:rsidRDefault="00E504F6" w:rsidP="00E504F6">
      <w:pPr>
        <w:rPr>
          <w:b/>
          <w:bCs/>
          <w:sz w:val="22"/>
          <w:lang w:val="en-US"/>
        </w:rPr>
      </w:pPr>
      <w:r w:rsidRPr="009F72CB">
        <w:rPr>
          <w:b/>
          <w:bCs/>
          <w:sz w:val="22"/>
          <w:lang w:val="en-US"/>
        </w:rPr>
        <w:t xml:space="preserve">ACCESS TO CARE </w:t>
      </w:r>
    </w:p>
    <w:p w:rsidR="00E504F6" w:rsidRDefault="00E504F6" w:rsidP="00E504F6">
      <w:pPr>
        <w:ind w:left="0"/>
        <w:rPr>
          <w:b/>
          <w:bCs/>
          <w:sz w:val="22"/>
          <w:lang w:val="en-US"/>
        </w:rPr>
      </w:pPr>
    </w:p>
    <w:p w:rsidR="00E504F6" w:rsidRPr="00F324FE" w:rsidRDefault="00E504F6" w:rsidP="00E504F6">
      <w:pPr>
        <w:ind w:left="0" w:firstLine="0"/>
        <w:rPr>
          <w:sz w:val="22"/>
          <w:lang w:val="en-GB"/>
        </w:rPr>
      </w:pPr>
      <w:r w:rsidRPr="00F324FE">
        <w:rPr>
          <w:sz w:val="22"/>
          <w:lang w:val="en-GB"/>
        </w:rPr>
        <w:t>Patients are treated in the public sector, where treatment is provided for free. VL can be diagnosed and treated at primary health care level and CL at outreach post level. 90% of CL cases are cured with immunotherapy and do not need drugs. However</w:t>
      </w:r>
      <w:r>
        <w:rPr>
          <w:sz w:val="22"/>
          <w:lang w:val="en-GB"/>
        </w:rPr>
        <w:t>, often,</w:t>
      </w:r>
      <w:r w:rsidRPr="00F324FE">
        <w:rPr>
          <w:sz w:val="22"/>
          <w:lang w:val="en-GB"/>
        </w:rPr>
        <w:t xml:space="preserve"> there is a shortage of drugs and patients then need to purchase them themselves. The government </w:t>
      </w:r>
      <w:r w:rsidRPr="00F324FE">
        <w:rPr>
          <w:sz w:val="22"/>
          <w:lang w:val="en-GB"/>
        </w:rPr>
        <w:lastRenderedPageBreak/>
        <w:t xml:space="preserve">provided no antimonials in 2007 and only a small quantity in 2008. </w:t>
      </w:r>
      <w:proofErr w:type="spellStart"/>
      <w:r>
        <w:rPr>
          <w:sz w:val="22"/>
          <w:lang w:val="en-GB"/>
        </w:rPr>
        <w:t>Sanofi</w:t>
      </w:r>
      <w:proofErr w:type="spellEnd"/>
      <w:r w:rsidRPr="00F324FE">
        <w:rPr>
          <w:sz w:val="22"/>
          <w:lang w:val="en-GB"/>
        </w:rPr>
        <w:t xml:space="preserve"> donated an additional quantity and a small donation of miltefosine was also received. Around 10% of cases </w:t>
      </w:r>
      <w:r>
        <w:rPr>
          <w:sz w:val="22"/>
          <w:lang w:val="en-GB"/>
        </w:rPr>
        <w:t>are</w:t>
      </w:r>
      <w:r w:rsidRPr="00F324FE">
        <w:rPr>
          <w:sz w:val="22"/>
          <w:lang w:val="en-GB"/>
        </w:rPr>
        <w:t xml:space="preserve"> treated in the pr</w:t>
      </w:r>
      <w:r>
        <w:rPr>
          <w:sz w:val="22"/>
          <w:lang w:val="en-GB"/>
        </w:rPr>
        <w:t>i</w:t>
      </w:r>
      <w:r w:rsidRPr="00F324FE">
        <w:rPr>
          <w:sz w:val="22"/>
          <w:lang w:val="en-GB"/>
        </w:rPr>
        <w:t xml:space="preserve">vate sector. All patients are thought to have access to care. </w:t>
      </w:r>
    </w:p>
    <w:p w:rsidR="00E504F6" w:rsidRPr="00F324FE" w:rsidRDefault="00E504F6" w:rsidP="00E504F6">
      <w:pPr>
        <w:ind w:left="0"/>
        <w:rPr>
          <w:sz w:val="22"/>
          <w:lang w:val="en-GB"/>
        </w:rPr>
      </w:pPr>
    </w:p>
    <w:p w:rsidR="00E504F6" w:rsidRPr="00F324FE" w:rsidRDefault="00E504F6" w:rsidP="00E504F6">
      <w:pPr>
        <w:ind w:left="0"/>
        <w:rPr>
          <w:sz w:val="22"/>
          <w:lang w:val="en-GB"/>
        </w:rPr>
      </w:pPr>
    </w:p>
    <w:p w:rsidR="00E504F6" w:rsidRPr="00F324FE" w:rsidRDefault="00E504F6" w:rsidP="00E504F6">
      <w:pPr>
        <w:ind w:left="0" w:firstLine="0"/>
        <w:rPr>
          <w:sz w:val="22"/>
          <w:lang w:val="en-GB"/>
        </w:rPr>
      </w:pPr>
      <w:r w:rsidRPr="00F324FE">
        <w:rPr>
          <w:b/>
          <w:sz w:val="22"/>
          <w:lang w:val="en-GB"/>
        </w:rPr>
        <w:t>ACCESS TO DRUGS</w:t>
      </w:r>
      <w:r w:rsidRPr="00F324FE">
        <w:rPr>
          <w:sz w:val="22"/>
          <w:lang w:val="en-GB"/>
        </w:rPr>
        <w:t xml:space="preserve"> </w:t>
      </w:r>
    </w:p>
    <w:p w:rsidR="00E504F6" w:rsidRDefault="00E504F6" w:rsidP="00E504F6">
      <w:pPr>
        <w:ind w:left="0" w:firstLine="0"/>
        <w:rPr>
          <w:b/>
          <w:sz w:val="22"/>
          <w:lang w:val="en-US"/>
        </w:rPr>
      </w:pPr>
    </w:p>
    <w:p w:rsidR="00E504F6" w:rsidRPr="000F456B" w:rsidRDefault="00E504F6" w:rsidP="00E504F6">
      <w:pPr>
        <w:ind w:left="0" w:firstLine="0"/>
        <w:rPr>
          <w:bCs/>
          <w:sz w:val="22"/>
          <w:lang w:val="en-US"/>
        </w:rPr>
      </w:pPr>
      <w:r>
        <w:rPr>
          <w:bCs/>
          <w:sz w:val="22"/>
          <w:lang w:val="en-US"/>
        </w:rPr>
        <w:t>Meglumine antimoniate is included in the essential drug list and Glucantime (</w:t>
      </w:r>
      <w:proofErr w:type="spellStart"/>
      <w:r>
        <w:rPr>
          <w:bCs/>
          <w:sz w:val="22"/>
          <w:lang w:val="en-US"/>
        </w:rPr>
        <w:t>Sanofi</w:t>
      </w:r>
      <w:proofErr w:type="spellEnd"/>
      <w:r>
        <w:rPr>
          <w:bCs/>
          <w:sz w:val="22"/>
          <w:lang w:val="en-US"/>
        </w:rPr>
        <w:t xml:space="preserve">) is registered. Drugs for leishmaniasis (Glucantime and miltefosine) are sold in private pharmacies. One vial of Glucantime costs 2 USD, leading to a treatment cost of 22 USD for intralesional treatment. Miltefosine is very expensive and out of reach for most.   </w:t>
      </w:r>
    </w:p>
    <w:p w:rsidR="00E504F6" w:rsidRDefault="00E504F6" w:rsidP="00E504F6">
      <w:pPr>
        <w:rPr>
          <w:b/>
          <w:sz w:val="22"/>
          <w:lang w:val="en-US"/>
        </w:rPr>
      </w:pPr>
    </w:p>
    <w:p w:rsidR="00E504F6" w:rsidRDefault="00E504F6" w:rsidP="00E504F6">
      <w:pPr>
        <w:ind w:left="0"/>
        <w:rPr>
          <w:b/>
          <w:sz w:val="22"/>
          <w:lang w:val="en-US"/>
        </w:rPr>
      </w:pPr>
    </w:p>
    <w:p w:rsidR="00E504F6" w:rsidRDefault="00E504F6" w:rsidP="00E504F6">
      <w:pPr>
        <w:rPr>
          <w:b/>
          <w:sz w:val="22"/>
          <w:lang w:val="en-US"/>
        </w:rPr>
      </w:pPr>
      <w:r w:rsidRPr="009F72CB">
        <w:rPr>
          <w:b/>
          <w:sz w:val="22"/>
          <w:lang w:val="en-US"/>
        </w:rPr>
        <w:t>SOURCES OF INFORMATION</w:t>
      </w:r>
    </w:p>
    <w:p w:rsidR="00E504F6" w:rsidRDefault="00E504F6" w:rsidP="00E504F6">
      <w:pPr>
        <w:ind w:left="0"/>
        <w:rPr>
          <w:b/>
          <w:sz w:val="22"/>
          <w:lang w:val="en-US"/>
        </w:rPr>
      </w:pPr>
    </w:p>
    <w:p w:rsidR="00E504F6" w:rsidRPr="00CD201F" w:rsidRDefault="00E504F6" w:rsidP="00E504F6">
      <w:pPr>
        <w:numPr>
          <w:ilvl w:val="0"/>
          <w:numId w:val="6"/>
        </w:numPr>
        <w:autoSpaceDE w:val="0"/>
        <w:autoSpaceDN w:val="0"/>
        <w:adjustRightInd w:val="0"/>
        <w:rPr>
          <w:lang w:val="es-ES"/>
        </w:rPr>
      </w:pPr>
      <w:r w:rsidRPr="00D06302">
        <w:rPr>
          <w:bCs/>
          <w:sz w:val="22"/>
          <w:lang w:val="en-GB"/>
        </w:rPr>
        <w:t>Dr Rafael Borges</w:t>
      </w:r>
      <w:r>
        <w:rPr>
          <w:bCs/>
          <w:sz w:val="22"/>
          <w:lang w:val="en-GB"/>
        </w:rPr>
        <w:t>.</w:t>
      </w:r>
      <w:r w:rsidRPr="00D06302">
        <w:rPr>
          <w:bCs/>
          <w:sz w:val="22"/>
          <w:lang w:val="en-GB"/>
        </w:rPr>
        <w:t xml:space="preserve"> </w:t>
      </w:r>
      <w:proofErr w:type="spellStart"/>
      <w:r w:rsidRPr="00D06302">
        <w:rPr>
          <w:bCs/>
          <w:sz w:val="22"/>
          <w:lang w:val="en-GB"/>
        </w:rPr>
        <w:t>Instituto</w:t>
      </w:r>
      <w:proofErr w:type="spellEnd"/>
      <w:r w:rsidRPr="00D06302">
        <w:rPr>
          <w:bCs/>
          <w:sz w:val="22"/>
          <w:lang w:val="en-GB"/>
        </w:rPr>
        <w:t xml:space="preserve"> de </w:t>
      </w:r>
      <w:proofErr w:type="spellStart"/>
      <w:r w:rsidRPr="00D06302">
        <w:rPr>
          <w:bCs/>
          <w:sz w:val="22"/>
          <w:lang w:val="en-GB"/>
        </w:rPr>
        <w:t>Biomedicina</w:t>
      </w:r>
      <w:proofErr w:type="spellEnd"/>
      <w:r w:rsidRPr="00D06302">
        <w:rPr>
          <w:bCs/>
          <w:sz w:val="22"/>
          <w:lang w:val="en-GB"/>
        </w:rPr>
        <w:t xml:space="preserve">, Ministry of Health. </w:t>
      </w:r>
      <w:r w:rsidRPr="00CD201F">
        <w:rPr>
          <w:bCs/>
          <w:i/>
          <w:iCs/>
          <w:color w:val="000000"/>
          <w:sz w:val="22"/>
          <w:lang w:val="es-ES"/>
        </w:rPr>
        <w:t xml:space="preserve">Leishmaniasis en la Región de las Américas. </w:t>
      </w:r>
      <w:r w:rsidRPr="00CD201F">
        <w:rPr>
          <w:bCs/>
          <w:i/>
          <w:iCs/>
          <w:sz w:val="22"/>
          <w:lang w:val="es-ES"/>
        </w:rPr>
        <w:t>Reuni</w:t>
      </w:r>
      <w:r w:rsidRPr="00CD201F">
        <w:rPr>
          <w:bCs/>
          <w:i/>
          <w:iCs/>
          <w:color w:val="000000"/>
          <w:sz w:val="22"/>
          <w:lang w:val="es-ES"/>
        </w:rPr>
        <w:t>ó</w:t>
      </w:r>
      <w:r w:rsidRPr="00CD201F">
        <w:rPr>
          <w:bCs/>
          <w:i/>
          <w:iCs/>
          <w:sz w:val="22"/>
          <w:lang w:val="es-ES"/>
        </w:rPr>
        <w:t>n de coordinadores de Programa Nacional de Leishmaniasis. OPS/OMS. Medell</w:t>
      </w:r>
      <w:r w:rsidRPr="00CD201F">
        <w:rPr>
          <w:bCs/>
          <w:i/>
          <w:iCs/>
          <w:color w:val="000000"/>
          <w:sz w:val="22"/>
          <w:lang w:val="es-ES"/>
        </w:rPr>
        <w:t>í</w:t>
      </w:r>
      <w:r w:rsidRPr="00CD201F">
        <w:rPr>
          <w:bCs/>
          <w:i/>
          <w:iCs/>
          <w:sz w:val="22"/>
          <w:lang w:val="es-ES"/>
        </w:rPr>
        <w:t>n, Colombia. 4-6 junio 2008</w:t>
      </w:r>
      <w:r>
        <w:rPr>
          <w:bCs/>
          <w:i/>
          <w:iCs/>
          <w:sz w:val="22"/>
          <w:lang w:val="es-ES"/>
        </w:rPr>
        <w:t>.</w:t>
      </w:r>
    </w:p>
    <w:p w:rsidR="00E504F6" w:rsidRPr="00D06302" w:rsidRDefault="00E504F6" w:rsidP="00E504F6">
      <w:pPr>
        <w:ind w:left="0" w:firstLine="0"/>
        <w:rPr>
          <w:b/>
          <w:sz w:val="22"/>
          <w:u w:val="single"/>
          <w:lang w:val="en-GB"/>
        </w:rPr>
      </w:pPr>
      <w:r w:rsidRPr="00D06302">
        <w:rPr>
          <w:bCs/>
          <w:sz w:val="22"/>
          <w:lang w:val="en-GB"/>
        </w:rPr>
        <w:t xml:space="preserve"> </w:t>
      </w:r>
    </w:p>
    <w:p w:rsidR="00E504F6" w:rsidRPr="00D06302" w:rsidRDefault="00E504F6" w:rsidP="00E504F6">
      <w:pPr>
        <w:ind w:left="0"/>
        <w:rPr>
          <w:bCs/>
          <w:sz w:val="22"/>
          <w:lang w:val="en-GB"/>
        </w:rPr>
      </w:pPr>
    </w:p>
    <w:p w:rsidR="00E504F6" w:rsidRPr="00D06302" w:rsidRDefault="00E504F6" w:rsidP="00E504F6">
      <w:pPr>
        <w:ind w:left="0"/>
        <w:rPr>
          <w:b/>
          <w:sz w:val="22"/>
          <w:u w:val="single"/>
          <w:lang w:val="en-GB"/>
        </w:rPr>
      </w:pPr>
    </w:p>
    <w:p w:rsidR="00E504F6" w:rsidRPr="00B44186" w:rsidRDefault="00E504F6" w:rsidP="00E504F6">
      <w:pPr>
        <w:shd w:val="clear" w:color="auto" w:fill="FFFFFF"/>
        <w:ind w:left="0" w:firstLine="0"/>
        <w:rPr>
          <w:color w:val="000000"/>
          <w:sz w:val="22"/>
        </w:rPr>
      </w:pPr>
      <w:r w:rsidRPr="00F324FE">
        <w:rPr>
          <w:color w:val="000000"/>
          <w:sz w:val="22"/>
          <w:lang w:val="pt-BR"/>
        </w:rPr>
        <w:t xml:space="preserve">1. De Lima H, Rodríguez N, Feliciangeli MD, Barrios MA, Sosa A </w:t>
      </w:r>
      <w:r>
        <w:rPr>
          <w:color w:val="000000"/>
          <w:sz w:val="22"/>
          <w:lang w:val="pt-BR"/>
        </w:rPr>
        <w:t>et al (2009)</w:t>
      </w:r>
      <w:r w:rsidRPr="00F324FE">
        <w:rPr>
          <w:color w:val="000000"/>
          <w:sz w:val="22"/>
          <w:lang w:val="pt-BR"/>
        </w:rPr>
        <w:t xml:space="preserve">. </w:t>
      </w:r>
      <w:r w:rsidRPr="00B44186">
        <w:rPr>
          <w:color w:val="000000"/>
          <w:sz w:val="22"/>
        </w:rPr>
        <w:fldChar w:fldCharType="begin"/>
      </w:r>
      <w:r w:rsidRPr="00F324FE">
        <w:rPr>
          <w:color w:val="000000"/>
          <w:sz w:val="22"/>
          <w:lang w:val="pt-BR"/>
        </w:rPr>
        <w:instrText xml:space="preserve"> HYPERLINK "http://www.ncbi.nlm.nih.gov/pubmed/19150102" </w:instrText>
      </w:r>
      <w:r w:rsidRPr="00B44186">
        <w:rPr>
          <w:color w:val="000000"/>
          <w:sz w:val="22"/>
        </w:rPr>
        <w:fldChar w:fldCharType="separate"/>
      </w:r>
      <w:r w:rsidRPr="00B44186">
        <w:rPr>
          <w:color w:val="000000"/>
          <w:sz w:val="22"/>
        </w:rPr>
        <w:t xml:space="preserve">Cutaneous leishmaniasis </w:t>
      </w:r>
      <w:proofErr w:type="spellStart"/>
      <w:r w:rsidRPr="00B44186">
        <w:rPr>
          <w:color w:val="000000"/>
          <w:sz w:val="22"/>
        </w:rPr>
        <w:t>due</w:t>
      </w:r>
      <w:proofErr w:type="spellEnd"/>
      <w:r w:rsidRPr="00B44186">
        <w:rPr>
          <w:color w:val="000000"/>
          <w:sz w:val="22"/>
        </w:rPr>
        <w:t xml:space="preserve"> </w:t>
      </w:r>
      <w:proofErr w:type="spellStart"/>
      <w:r w:rsidRPr="00B44186">
        <w:rPr>
          <w:color w:val="000000"/>
          <w:sz w:val="22"/>
        </w:rPr>
        <w:t>to</w:t>
      </w:r>
      <w:proofErr w:type="spellEnd"/>
      <w:r w:rsidRPr="00B44186">
        <w:rPr>
          <w:color w:val="000000"/>
          <w:sz w:val="22"/>
        </w:rPr>
        <w:t xml:space="preserve"> Leishmania </w:t>
      </w:r>
      <w:proofErr w:type="spellStart"/>
      <w:r w:rsidRPr="00B44186">
        <w:rPr>
          <w:color w:val="000000"/>
          <w:sz w:val="22"/>
        </w:rPr>
        <w:t>chagasi</w:t>
      </w:r>
      <w:proofErr w:type="spellEnd"/>
      <w:r w:rsidRPr="00B44186">
        <w:rPr>
          <w:color w:val="000000"/>
          <w:sz w:val="22"/>
        </w:rPr>
        <w:t xml:space="preserve">/Le. </w:t>
      </w:r>
      <w:proofErr w:type="gramStart"/>
      <w:r w:rsidRPr="00B44186">
        <w:rPr>
          <w:color w:val="000000"/>
          <w:sz w:val="22"/>
        </w:rPr>
        <w:t>infantum</w:t>
      </w:r>
      <w:proofErr w:type="gramEnd"/>
      <w:r w:rsidRPr="00B44186">
        <w:rPr>
          <w:color w:val="000000"/>
          <w:sz w:val="22"/>
        </w:rPr>
        <w:t xml:space="preserve"> in </w:t>
      </w:r>
      <w:proofErr w:type="spellStart"/>
      <w:r w:rsidRPr="00B44186">
        <w:rPr>
          <w:color w:val="000000"/>
          <w:sz w:val="22"/>
        </w:rPr>
        <w:t>an</w:t>
      </w:r>
      <w:proofErr w:type="spellEnd"/>
      <w:r w:rsidRPr="00B44186">
        <w:rPr>
          <w:color w:val="000000"/>
          <w:sz w:val="22"/>
        </w:rPr>
        <w:t xml:space="preserve"> </w:t>
      </w:r>
      <w:proofErr w:type="spellStart"/>
      <w:r w:rsidRPr="00B44186">
        <w:rPr>
          <w:color w:val="000000"/>
          <w:sz w:val="22"/>
        </w:rPr>
        <w:t>endemic</w:t>
      </w:r>
      <w:proofErr w:type="spellEnd"/>
      <w:r w:rsidRPr="00B44186">
        <w:rPr>
          <w:color w:val="000000"/>
          <w:sz w:val="22"/>
        </w:rPr>
        <w:t xml:space="preserve"> </w:t>
      </w:r>
      <w:proofErr w:type="spellStart"/>
      <w:r w:rsidRPr="00B44186">
        <w:rPr>
          <w:color w:val="000000"/>
          <w:sz w:val="22"/>
        </w:rPr>
        <w:t>area</w:t>
      </w:r>
      <w:proofErr w:type="spellEnd"/>
      <w:r w:rsidRPr="00B44186">
        <w:rPr>
          <w:color w:val="000000"/>
          <w:sz w:val="22"/>
        </w:rPr>
        <w:t xml:space="preserve"> of </w:t>
      </w:r>
      <w:proofErr w:type="spellStart"/>
      <w:r w:rsidRPr="00B44186">
        <w:rPr>
          <w:color w:val="000000"/>
          <w:sz w:val="22"/>
        </w:rPr>
        <w:t>Guarico</w:t>
      </w:r>
      <w:proofErr w:type="spellEnd"/>
      <w:r w:rsidRPr="00B44186">
        <w:rPr>
          <w:color w:val="000000"/>
          <w:sz w:val="22"/>
        </w:rPr>
        <w:t xml:space="preserve"> </w:t>
      </w:r>
      <w:proofErr w:type="spellStart"/>
      <w:r w:rsidRPr="00B44186">
        <w:rPr>
          <w:color w:val="000000"/>
          <w:sz w:val="22"/>
        </w:rPr>
        <w:t>State</w:t>
      </w:r>
      <w:proofErr w:type="spellEnd"/>
      <w:r w:rsidRPr="00B44186">
        <w:rPr>
          <w:color w:val="000000"/>
          <w:sz w:val="22"/>
        </w:rPr>
        <w:t>, Venezuela.</w:t>
      </w:r>
      <w:r w:rsidRPr="00B44186">
        <w:rPr>
          <w:color w:val="000000"/>
          <w:sz w:val="22"/>
        </w:rPr>
        <w:fldChar w:fldCharType="end"/>
      </w:r>
      <w:r w:rsidRPr="00B44186">
        <w:rPr>
          <w:color w:val="000000"/>
          <w:sz w:val="22"/>
        </w:rPr>
        <w:t xml:space="preserve"> </w:t>
      </w:r>
      <w:proofErr w:type="spellStart"/>
      <w:r w:rsidRPr="00B44186">
        <w:rPr>
          <w:color w:val="000000"/>
          <w:sz w:val="22"/>
        </w:rPr>
        <w:t>T</w:t>
      </w:r>
      <w:r w:rsidRPr="00B44186">
        <w:rPr>
          <w:rStyle w:val="jrnl"/>
          <w:color w:val="000000"/>
          <w:sz w:val="22"/>
        </w:rPr>
        <w:t>rans</w:t>
      </w:r>
      <w:proofErr w:type="spellEnd"/>
      <w:r w:rsidRPr="00B44186">
        <w:rPr>
          <w:rStyle w:val="jrnl"/>
          <w:color w:val="000000"/>
          <w:sz w:val="22"/>
        </w:rPr>
        <w:t xml:space="preserve"> R </w:t>
      </w:r>
      <w:proofErr w:type="spellStart"/>
      <w:r w:rsidRPr="00B44186">
        <w:rPr>
          <w:rStyle w:val="jrnl"/>
          <w:color w:val="000000"/>
          <w:sz w:val="22"/>
        </w:rPr>
        <w:t>Soc</w:t>
      </w:r>
      <w:proofErr w:type="spellEnd"/>
      <w:r w:rsidRPr="00B44186">
        <w:rPr>
          <w:rStyle w:val="jrnl"/>
          <w:color w:val="000000"/>
          <w:sz w:val="22"/>
        </w:rPr>
        <w:t xml:space="preserve"> </w:t>
      </w:r>
      <w:proofErr w:type="spellStart"/>
      <w:r w:rsidRPr="00B44186">
        <w:rPr>
          <w:rStyle w:val="jrnl"/>
          <w:color w:val="000000"/>
          <w:sz w:val="22"/>
        </w:rPr>
        <w:t>Trop</w:t>
      </w:r>
      <w:proofErr w:type="spellEnd"/>
      <w:r w:rsidRPr="00B44186">
        <w:rPr>
          <w:rStyle w:val="jrnl"/>
          <w:color w:val="000000"/>
          <w:sz w:val="22"/>
        </w:rPr>
        <w:t xml:space="preserve"> </w:t>
      </w:r>
      <w:proofErr w:type="spellStart"/>
      <w:r w:rsidRPr="00B44186">
        <w:rPr>
          <w:rStyle w:val="jrnl"/>
          <w:color w:val="000000"/>
          <w:sz w:val="22"/>
        </w:rPr>
        <w:t>Med</w:t>
      </w:r>
      <w:proofErr w:type="spellEnd"/>
      <w:r w:rsidRPr="00B44186">
        <w:rPr>
          <w:rStyle w:val="jrnl"/>
          <w:color w:val="000000"/>
          <w:sz w:val="22"/>
        </w:rPr>
        <w:t xml:space="preserve"> </w:t>
      </w:r>
      <w:proofErr w:type="spellStart"/>
      <w:r w:rsidRPr="00B44186">
        <w:rPr>
          <w:rStyle w:val="jrnl"/>
          <w:color w:val="000000"/>
          <w:sz w:val="22"/>
        </w:rPr>
        <w:t>Hyg</w:t>
      </w:r>
      <w:proofErr w:type="spellEnd"/>
      <w:r>
        <w:rPr>
          <w:color w:val="000000"/>
          <w:sz w:val="22"/>
        </w:rPr>
        <w:t xml:space="preserve"> </w:t>
      </w:r>
      <w:r w:rsidRPr="00B44186">
        <w:rPr>
          <w:color w:val="000000"/>
          <w:sz w:val="22"/>
        </w:rPr>
        <w:t>103(7):721-6</w:t>
      </w:r>
      <w:r>
        <w:rPr>
          <w:color w:val="000000"/>
          <w:sz w:val="22"/>
        </w:rPr>
        <w:t>.</w:t>
      </w:r>
    </w:p>
    <w:p w:rsidR="00E504F6" w:rsidRPr="00B44186" w:rsidRDefault="00E504F6" w:rsidP="00E504F6">
      <w:pPr>
        <w:ind w:left="0"/>
        <w:rPr>
          <w:color w:val="000000"/>
          <w:sz w:val="22"/>
        </w:rPr>
      </w:pPr>
    </w:p>
    <w:p w:rsidR="00E504F6" w:rsidRPr="00B44186" w:rsidRDefault="00E504F6" w:rsidP="00E504F6">
      <w:pPr>
        <w:pStyle w:val="details1"/>
        <w:shd w:val="clear" w:color="auto" w:fill="FFFFFF"/>
        <w:spacing w:before="0" w:beforeAutospacing="0" w:after="0" w:afterAutospacing="0"/>
        <w:jc w:val="both"/>
        <w:rPr>
          <w:rFonts w:ascii="Arial" w:hAnsi="Arial" w:cs="Arial"/>
          <w:color w:val="000000"/>
          <w:sz w:val="22"/>
          <w:szCs w:val="22"/>
        </w:rPr>
      </w:pPr>
      <w:r w:rsidRPr="00F324FE">
        <w:rPr>
          <w:rFonts w:ascii="Arial" w:hAnsi="Arial" w:cs="Arial"/>
          <w:color w:val="000000"/>
          <w:sz w:val="22"/>
          <w:szCs w:val="22"/>
          <w:lang w:val="es-CO"/>
        </w:rPr>
        <w:t xml:space="preserve">2. </w:t>
      </w:r>
      <w:proofErr w:type="spellStart"/>
      <w:r w:rsidRPr="00F324FE">
        <w:rPr>
          <w:rFonts w:ascii="Arial" w:hAnsi="Arial" w:cs="Arial"/>
          <w:color w:val="000000"/>
          <w:sz w:val="22"/>
          <w:szCs w:val="22"/>
          <w:lang w:val="es-CO"/>
        </w:rPr>
        <w:t>Cardenas</w:t>
      </w:r>
      <w:proofErr w:type="spellEnd"/>
      <w:r w:rsidRPr="00F324FE">
        <w:rPr>
          <w:rFonts w:ascii="Arial" w:hAnsi="Arial" w:cs="Arial"/>
          <w:color w:val="000000"/>
          <w:sz w:val="22"/>
          <w:szCs w:val="22"/>
          <w:lang w:val="es-CO"/>
        </w:rPr>
        <w:t xml:space="preserve"> R, Sandoval CM, </w:t>
      </w:r>
      <w:proofErr w:type="spellStart"/>
      <w:r w:rsidRPr="00F324FE">
        <w:rPr>
          <w:rFonts w:ascii="Arial" w:hAnsi="Arial" w:cs="Arial"/>
          <w:color w:val="000000"/>
          <w:sz w:val="22"/>
          <w:szCs w:val="22"/>
          <w:lang w:val="es-CO"/>
        </w:rPr>
        <w:t>Rodriguez</w:t>
      </w:r>
      <w:proofErr w:type="spellEnd"/>
      <w:r w:rsidRPr="00F324FE">
        <w:rPr>
          <w:rFonts w:ascii="Arial" w:hAnsi="Arial" w:cs="Arial"/>
          <w:color w:val="000000"/>
          <w:sz w:val="22"/>
          <w:szCs w:val="22"/>
          <w:lang w:val="es-CO"/>
        </w:rPr>
        <w:t xml:space="preserve">-Morales AJ, </w:t>
      </w:r>
      <w:proofErr w:type="spellStart"/>
      <w:r w:rsidRPr="00F324FE">
        <w:rPr>
          <w:rFonts w:ascii="Arial" w:hAnsi="Arial" w:cs="Arial"/>
          <w:color w:val="000000"/>
          <w:sz w:val="22"/>
          <w:szCs w:val="22"/>
          <w:lang w:val="es-CO"/>
        </w:rPr>
        <w:t>Bendezu</w:t>
      </w:r>
      <w:proofErr w:type="spellEnd"/>
      <w:r w:rsidRPr="00F324FE">
        <w:rPr>
          <w:rFonts w:ascii="Arial" w:hAnsi="Arial" w:cs="Arial"/>
          <w:color w:val="000000"/>
          <w:sz w:val="22"/>
          <w:szCs w:val="22"/>
          <w:lang w:val="es-CO"/>
        </w:rPr>
        <w:t xml:space="preserve"> H, </w:t>
      </w:r>
      <w:proofErr w:type="spellStart"/>
      <w:r w:rsidRPr="00F324FE">
        <w:rPr>
          <w:rFonts w:ascii="Arial" w:hAnsi="Arial" w:cs="Arial"/>
          <w:color w:val="000000"/>
          <w:sz w:val="22"/>
          <w:szCs w:val="22"/>
          <w:lang w:val="es-CO"/>
        </w:rPr>
        <w:t>Gonzalez</w:t>
      </w:r>
      <w:proofErr w:type="spellEnd"/>
      <w:r w:rsidRPr="00F324FE">
        <w:rPr>
          <w:rFonts w:ascii="Arial" w:hAnsi="Arial" w:cs="Arial"/>
          <w:color w:val="000000"/>
          <w:sz w:val="22"/>
          <w:szCs w:val="22"/>
          <w:lang w:val="es-CO"/>
        </w:rPr>
        <w:t xml:space="preserve"> A </w:t>
      </w:r>
      <w:r>
        <w:rPr>
          <w:rFonts w:ascii="Arial" w:hAnsi="Arial" w:cs="Arial"/>
          <w:color w:val="000000"/>
          <w:sz w:val="22"/>
          <w:szCs w:val="22"/>
          <w:lang w:val="es-CO"/>
        </w:rPr>
        <w:t>et al (2006)</w:t>
      </w:r>
      <w:r w:rsidRPr="00F324FE">
        <w:rPr>
          <w:rFonts w:ascii="Arial" w:hAnsi="Arial" w:cs="Arial"/>
          <w:color w:val="000000"/>
          <w:sz w:val="22"/>
          <w:szCs w:val="22"/>
          <w:lang w:val="es-CO"/>
        </w:rPr>
        <w:t xml:space="preserve">. </w:t>
      </w:r>
      <w:hyperlink r:id="rId13" w:history="1">
        <w:proofErr w:type="gramStart"/>
        <w:r w:rsidRPr="00B44186">
          <w:rPr>
            <w:rFonts w:ascii="Arial" w:hAnsi="Arial" w:cs="Arial"/>
            <w:color w:val="000000"/>
            <w:sz w:val="22"/>
            <w:szCs w:val="22"/>
          </w:rPr>
          <w:t xml:space="preserve">Epidemiology of American </w:t>
        </w:r>
        <w:proofErr w:type="spellStart"/>
        <w:r w:rsidRPr="00B44186">
          <w:rPr>
            <w:rFonts w:ascii="Arial" w:hAnsi="Arial" w:cs="Arial"/>
            <w:color w:val="000000"/>
            <w:sz w:val="22"/>
            <w:szCs w:val="22"/>
          </w:rPr>
          <w:t>tegumentary</w:t>
        </w:r>
        <w:proofErr w:type="spellEnd"/>
        <w:r w:rsidRPr="00B44186">
          <w:rPr>
            <w:rFonts w:ascii="Arial" w:hAnsi="Arial" w:cs="Arial"/>
            <w:color w:val="000000"/>
            <w:sz w:val="22"/>
            <w:szCs w:val="22"/>
          </w:rPr>
          <w:t xml:space="preserve"> leishmaniasis in domestic dogs in an endemic zone of western Venezuela.</w:t>
        </w:r>
        <w:proofErr w:type="gramEnd"/>
      </w:hyperlink>
      <w:r w:rsidRPr="00B44186">
        <w:rPr>
          <w:rStyle w:val="jrnl"/>
          <w:rFonts w:ascii="Arial" w:hAnsi="Arial" w:cs="Arial"/>
          <w:color w:val="000000"/>
          <w:sz w:val="22"/>
          <w:szCs w:val="22"/>
        </w:rPr>
        <w:t xml:space="preserve"> Bull Soc </w:t>
      </w:r>
      <w:proofErr w:type="spellStart"/>
      <w:r w:rsidRPr="00B44186">
        <w:rPr>
          <w:rStyle w:val="jrnl"/>
          <w:rFonts w:ascii="Arial" w:hAnsi="Arial" w:cs="Arial"/>
          <w:color w:val="000000"/>
          <w:sz w:val="22"/>
          <w:szCs w:val="22"/>
        </w:rPr>
        <w:t>Pathol</w:t>
      </w:r>
      <w:proofErr w:type="spellEnd"/>
      <w:r w:rsidRPr="00B44186">
        <w:rPr>
          <w:rStyle w:val="jrnl"/>
          <w:rFonts w:ascii="Arial" w:hAnsi="Arial" w:cs="Arial"/>
          <w:color w:val="000000"/>
          <w:sz w:val="22"/>
          <w:szCs w:val="22"/>
        </w:rPr>
        <w:t xml:space="preserve"> </w:t>
      </w:r>
      <w:proofErr w:type="spellStart"/>
      <w:r w:rsidRPr="00B44186">
        <w:rPr>
          <w:rStyle w:val="jrnl"/>
          <w:rFonts w:ascii="Arial" w:hAnsi="Arial" w:cs="Arial"/>
          <w:color w:val="000000"/>
          <w:sz w:val="22"/>
          <w:szCs w:val="22"/>
        </w:rPr>
        <w:t>Exot</w:t>
      </w:r>
      <w:proofErr w:type="spellEnd"/>
      <w:r>
        <w:rPr>
          <w:rFonts w:ascii="Arial" w:hAnsi="Arial" w:cs="Arial"/>
          <w:color w:val="000000"/>
          <w:sz w:val="22"/>
          <w:szCs w:val="22"/>
        </w:rPr>
        <w:t xml:space="preserve"> </w:t>
      </w:r>
      <w:r w:rsidRPr="00B44186">
        <w:rPr>
          <w:rFonts w:ascii="Arial" w:hAnsi="Arial" w:cs="Arial"/>
          <w:color w:val="000000"/>
          <w:sz w:val="22"/>
          <w:szCs w:val="22"/>
        </w:rPr>
        <w:t>99(5):355-8</w:t>
      </w:r>
      <w:r>
        <w:rPr>
          <w:rFonts w:ascii="Arial" w:hAnsi="Arial" w:cs="Arial"/>
          <w:color w:val="000000"/>
          <w:sz w:val="22"/>
          <w:szCs w:val="22"/>
        </w:rPr>
        <w:t>.</w:t>
      </w:r>
    </w:p>
    <w:p w:rsidR="00E504F6" w:rsidRPr="00B44186" w:rsidRDefault="00E504F6" w:rsidP="00E504F6">
      <w:pPr>
        <w:pStyle w:val="title1"/>
        <w:shd w:val="clear" w:color="auto" w:fill="FFFFFF"/>
        <w:jc w:val="both"/>
        <w:rPr>
          <w:rFonts w:ascii="Arial" w:hAnsi="Arial" w:cs="Arial"/>
          <w:color w:val="000000"/>
          <w:sz w:val="22"/>
          <w:szCs w:val="22"/>
        </w:rPr>
      </w:pPr>
    </w:p>
    <w:p w:rsidR="00E504F6" w:rsidRPr="00B44186" w:rsidRDefault="00E504F6" w:rsidP="00E504F6">
      <w:pPr>
        <w:pStyle w:val="details1"/>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3. </w:t>
      </w:r>
      <w:r w:rsidRPr="00B44186">
        <w:rPr>
          <w:rFonts w:ascii="Arial" w:hAnsi="Arial" w:cs="Arial"/>
          <w:color w:val="000000"/>
          <w:sz w:val="22"/>
          <w:szCs w:val="22"/>
        </w:rPr>
        <w:t xml:space="preserve">Aguilar CM, </w:t>
      </w:r>
      <w:proofErr w:type="spellStart"/>
      <w:r w:rsidRPr="00B44186">
        <w:rPr>
          <w:rFonts w:ascii="Arial" w:hAnsi="Arial" w:cs="Arial"/>
          <w:color w:val="000000"/>
          <w:sz w:val="22"/>
          <w:szCs w:val="22"/>
        </w:rPr>
        <w:t>Fernández</w:t>
      </w:r>
      <w:proofErr w:type="spellEnd"/>
      <w:r w:rsidRPr="00B44186">
        <w:rPr>
          <w:rFonts w:ascii="Arial" w:hAnsi="Arial" w:cs="Arial"/>
          <w:color w:val="000000"/>
          <w:sz w:val="22"/>
          <w:szCs w:val="22"/>
        </w:rPr>
        <w:t xml:space="preserve"> E, </w:t>
      </w:r>
      <w:proofErr w:type="spellStart"/>
      <w:r w:rsidRPr="00B44186">
        <w:rPr>
          <w:rFonts w:ascii="Arial" w:hAnsi="Arial" w:cs="Arial"/>
          <w:color w:val="000000"/>
          <w:sz w:val="22"/>
          <w:szCs w:val="22"/>
        </w:rPr>
        <w:t>Fernández</w:t>
      </w:r>
      <w:proofErr w:type="spellEnd"/>
      <w:r w:rsidRPr="00B44186">
        <w:rPr>
          <w:rFonts w:ascii="Arial" w:hAnsi="Arial" w:cs="Arial"/>
          <w:color w:val="000000"/>
          <w:sz w:val="22"/>
          <w:szCs w:val="22"/>
        </w:rPr>
        <w:t xml:space="preserve"> R, </w:t>
      </w:r>
      <w:proofErr w:type="spellStart"/>
      <w:r w:rsidRPr="00B44186">
        <w:rPr>
          <w:rFonts w:ascii="Arial" w:hAnsi="Arial" w:cs="Arial"/>
          <w:color w:val="000000"/>
          <w:sz w:val="22"/>
          <w:szCs w:val="22"/>
        </w:rPr>
        <w:t>Cannova</w:t>
      </w:r>
      <w:proofErr w:type="spellEnd"/>
      <w:r w:rsidRPr="00B44186">
        <w:rPr>
          <w:rFonts w:ascii="Arial" w:hAnsi="Arial" w:cs="Arial"/>
          <w:color w:val="000000"/>
          <w:sz w:val="22"/>
          <w:szCs w:val="22"/>
        </w:rPr>
        <w:t xml:space="preserve"> DC, </w:t>
      </w:r>
      <w:proofErr w:type="spellStart"/>
      <w:r w:rsidRPr="00B44186">
        <w:rPr>
          <w:rFonts w:ascii="Arial" w:hAnsi="Arial" w:cs="Arial"/>
          <w:color w:val="000000"/>
          <w:sz w:val="22"/>
          <w:szCs w:val="22"/>
        </w:rPr>
        <w:t>Ferrer</w:t>
      </w:r>
      <w:proofErr w:type="spellEnd"/>
      <w:r w:rsidRPr="00B44186">
        <w:rPr>
          <w:rFonts w:ascii="Arial" w:hAnsi="Arial" w:cs="Arial"/>
          <w:color w:val="000000"/>
          <w:sz w:val="22"/>
          <w:szCs w:val="22"/>
        </w:rPr>
        <w:t xml:space="preserve"> E </w:t>
      </w:r>
      <w:r>
        <w:rPr>
          <w:rFonts w:ascii="Arial" w:hAnsi="Arial" w:cs="Arial"/>
          <w:color w:val="000000"/>
          <w:sz w:val="22"/>
          <w:szCs w:val="22"/>
        </w:rPr>
        <w:t>et al (1998)</w:t>
      </w:r>
      <w:r w:rsidRPr="00B44186">
        <w:rPr>
          <w:rFonts w:ascii="Arial" w:hAnsi="Arial" w:cs="Arial"/>
          <w:color w:val="000000"/>
          <w:sz w:val="22"/>
          <w:szCs w:val="22"/>
        </w:rPr>
        <w:t xml:space="preserve">. </w:t>
      </w:r>
      <w:hyperlink r:id="rId14" w:history="1">
        <w:proofErr w:type="gramStart"/>
        <w:r w:rsidRPr="00B44186">
          <w:rPr>
            <w:rFonts w:ascii="Arial" w:hAnsi="Arial" w:cs="Arial"/>
            <w:color w:val="000000"/>
            <w:sz w:val="22"/>
            <w:szCs w:val="22"/>
          </w:rPr>
          <w:t>Urban visceral leishmaniasis in Venezuela.</w:t>
        </w:r>
        <w:proofErr w:type="gramEnd"/>
      </w:hyperlink>
      <w:r w:rsidRPr="00B44186">
        <w:rPr>
          <w:rStyle w:val="jrnl"/>
          <w:rFonts w:ascii="Arial" w:hAnsi="Arial" w:cs="Arial"/>
          <w:color w:val="000000"/>
          <w:sz w:val="22"/>
          <w:szCs w:val="22"/>
        </w:rPr>
        <w:t xml:space="preserve"> </w:t>
      </w:r>
      <w:proofErr w:type="spellStart"/>
      <w:r w:rsidRPr="00B44186">
        <w:rPr>
          <w:rStyle w:val="jrnl"/>
          <w:rFonts w:ascii="Arial" w:hAnsi="Arial" w:cs="Arial"/>
          <w:color w:val="000000"/>
          <w:sz w:val="22"/>
          <w:szCs w:val="22"/>
        </w:rPr>
        <w:t>Mem</w:t>
      </w:r>
      <w:proofErr w:type="spellEnd"/>
      <w:r w:rsidRPr="00B44186">
        <w:rPr>
          <w:rStyle w:val="jrnl"/>
          <w:rFonts w:ascii="Arial" w:hAnsi="Arial" w:cs="Arial"/>
          <w:color w:val="000000"/>
          <w:sz w:val="22"/>
          <w:szCs w:val="22"/>
        </w:rPr>
        <w:t xml:space="preserve"> Inst </w:t>
      </w:r>
      <w:proofErr w:type="spellStart"/>
      <w:r w:rsidRPr="00B44186">
        <w:rPr>
          <w:rStyle w:val="jrnl"/>
          <w:rFonts w:ascii="Arial" w:hAnsi="Arial" w:cs="Arial"/>
          <w:color w:val="000000"/>
          <w:sz w:val="22"/>
          <w:szCs w:val="22"/>
        </w:rPr>
        <w:t>Oswaldo</w:t>
      </w:r>
      <w:proofErr w:type="spellEnd"/>
      <w:r w:rsidRPr="00B44186">
        <w:rPr>
          <w:rStyle w:val="jrnl"/>
          <w:rFonts w:ascii="Arial" w:hAnsi="Arial" w:cs="Arial"/>
          <w:color w:val="000000"/>
          <w:sz w:val="22"/>
          <w:szCs w:val="22"/>
        </w:rPr>
        <w:t xml:space="preserve"> Cruz</w:t>
      </w:r>
      <w:r>
        <w:rPr>
          <w:rFonts w:ascii="Arial" w:hAnsi="Arial" w:cs="Arial"/>
          <w:color w:val="000000"/>
          <w:sz w:val="22"/>
          <w:szCs w:val="22"/>
        </w:rPr>
        <w:t xml:space="preserve"> </w:t>
      </w:r>
      <w:r w:rsidRPr="00B44186">
        <w:rPr>
          <w:rFonts w:ascii="Arial" w:hAnsi="Arial" w:cs="Arial"/>
          <w:color w:val="000000"/>
          <w:sz w:val="22"/>
          <w:szCs w:val="22"/>
        </w:rPr>
        <w:t>93(1):15-6</w:t>
      </w:r>
      <w:r>
        <w:rPr>
          <w:rFonts w:ascii="Arial" w:hAnsi="Arial" w:cs="Arial"/>
          <w:color w:val="000000"/>
          <w:sz w:val="22"/>
          <w:szCs w:val="22"/>
        </w:rPr>
        <w:t>.</w:t>
      </w:r>
    </w:p>
    <w:p w:rsidR="00E504F6" w:rsidRPr="00B44186" w:rsidRDefault="00E504F6" w:rsidP="00E504F6">
      <w:pPr>
        <w:pStyle w:val="title1"/>
        <w:shd w:val="clear" w:color="auto" w:fill="FFFFFF"/>
        <w:jc w:val="both"/>
        <w:rPr>
          <w:rFonts w:ascii="Arial" w:hAnsi="Arial" w:cs="Arial"/>
          <w:color w:val="000000"/>
          <w:sz w:val="22"/>
          <w:szCs w:val="22"/>
        </w:rPr>
      </w:pPr>
    </w:p>
    <w:p w:rsidR="00E504F6" w:rsidRPr="00B44186" w:rsidRDefault="00E504F6" w:rsidP="00E504F6">
      <w:pPr>
        <w:pStyle w:val="desc1"/>
        <w:shd w:val="clear" w:color="auto" w:fill="FFFFFF"/>
        <w:spacing w:before="0" w:beforeAutospacing="0" w:after="0" w:afterAutospacing="0"/>
        <w:jc w:val="both"/>
        <w:rPr>
          <w:rFonts w:ascii="Arial" w:hAnsi="Arial" w:cs="Arial"/>
          <w:color w:val="000000"/>
          <w:sz w:val="22"/>
          <w:szCs w:val="22"/>
        </w:rPr>
      </w:pPr>
      <w:r w:rsidRPr="00F324FE">
        <w:rPr>
          <w:rFonts w:ascii="Arial" w:hAnsi="Arial" w:cs="Arial"/>
          <w:color w:val="000000"/>
          <w:sz w:val="22"/>
          <w:szCs w:val="22"/>
          <w:lang w:val="es-ES"/>
        </w:rPr>
        <w:t xml:space="preserve">4. González R, </w:t>
      </w:r>
      <w:proofErr w:type="spellStart"/>
      <w:r w:rsidRPr="00F324FE">
        <w:rPr>
          <w:rFonts w:ascii="Arial" w:hAnsi="Arial" w:cs="Arial"/>
          <w:color w:val="000000"/>
          <w:sz w:val="22"/>
          <w:szCs w:val="22"/>
          <w:lang w:val="es-ES"/>
        </w:rPr>
        <w:t>Devera</w:t>
      </w:r>
      <w:proofErr w:type="spellEnd"/>
      <w:r w:rsidRPr="00F324FE">
        <w:rPr>
          <w:rFonts w:ascii="Arial" w:hAnsi="Arial" w:cs="Arial"/>
          <w:color w:val="000000"/>
          <w:sz w:val="22"/>
          <w:szCs w:val="22"/>
          <w:lang w:val="es-ES"/>
        </w:rPr>
        <w:t xml:space="preserve"> R, Madrid C, </w:t>
      </w:r>
      <w:proofErr w:type="spellStart"/>
      <w:r w:rsidRPr="00F324FE">
        <w:rPr>
          <w:rFonts w:ascii="Arial" w:hAnsi="Arial" w:cs="Arial"/>
          <w:color w:val="000000"/>
          <w:sz w:val="22"/>
          <w:szCs w:val="22"/>
          <w:lang w:val="es-ES"/>
        </w:rPr>
        <w:t>Zghayer</w:t>
      </w:r>
      <w:proofErr w:type="spellEnd"/>
      <w:r w:rsidRPr="00F324FE">
        <w:rPr>
          <w:rFonts w:ascii="Arial" w:hAnsi="Arial" w:cs="Arial"/>
          <w:color w:val="000000"/>
          <w:sz w:val="22"/>
          <w:szCs w:val="22"/>
          <w:lang w:val="es-ES"/>
        </w:rPr>
        <w:t xml:space="preserve"> S</w:t>
      </w:r>
      <w:r>
        <w:rPr>
          <w:rFonts w:ascii="Arial" w:hAnsi="Arial" w:cs="Arial"/>
          <w:color w:val="000000"/>
          <w:sz w:val="22"/>
          <w:szCs w:val="22"/>
          <w:lang w:val="es-ES"/>
        </w:rPr>
        <w:t xml:space="preserve"> (2000)</w:t>
      </w:r>
      <w:r w:rsidRPr="00F324FE">
        <w:rPr>
          <w:rFonts w:ascii="Arial" w:hAnsi="Arial" w:cs="Arial"/>
          <w:color w:val="000000"/>
          <w:sz w:val="22"/>
          <w:szCs w:val="22"/>
          <w:lang w:val="es-ES"/>
        </w:rPr>
        <w:t xml:space="preserve">. </w:t>
      </w:r>
      <w:hyperlink r:id="rId15" w:history="1">
        <w:proofErr w:type="gramStart"/>
        <w:r w:rsidRPr="00B44186">
          <w:rPr>
            <w:rFonts w:ascii="Arial" w:hAnsi="Arial" w:cs="Arial"/>
            <w:color w:val="000000"/>
            <w:sz w:val="22"/>
            <w:szCs w:val="22"/>
          </w:rPr>
          <w:t>An evaluation of an outbreak of American cutaneous leishmaniasis in a rural community in Bolivar State, Venezuela].</w:t>
        </w:r>
        <w:proofErr w:type="gramEnd"/>
      </w:hyperlink>
      <w:r w:rsidRPr="00B44186">
        <w:rPr>
          <w:rStyle w:val="jrnl"/>
          <w:rFonts w:ascii="Arial" w:hAnsi="Arial" w:cs="Arial"/>
          <w:color w:val="000000"/>
          <w:sz w:val="22"/>
          <w:szCs w:val="22"/>
        </w:rPr>
        <w:t xml:space="preserve"> Rev Soc Bras Med </w:t>
      </w:r>
      <w:proofErr w:type="gramStart"/>
      <w:r w:rsidRPr="00B44186">
        <w:rPr>
          <w:rStyle w:val="jrnl"/>
          <w:rFonts w:ascii="Arial" w:hAnsi="Arial" w:cs="Arial"/>
          <w:color w:val="000000"/>
          <w:sz w:val="22"/>
          <w:szCs w:val="22"/>
        </w:rPr>
        <w:t>Trop</w:t>
      </w:r>
      <w:r w:rsidRPr="00B44186">
        <w:rPr>
          <w:rFonts w:ascii="Arial" w:hAnsi="Arial" w:cs="Arial"/>
          <w:color w:val="000000"/>
          <w:sz w:val="22"/>
          <w:szCs w:val="22"/>
        </w:rPr>
        <w:t>33(</w:t>
      </w:r>
      <w:proofErr w:type="gramEnd"/>
      <w:r w:rsidRPr="00B44186">
        <w:rPr>
          <w:rFonts w:ascii="Arial" w:hAnsi="Arial" w:cs="Arial"/>
          <w:color w:val="000000"/>
          <w:sz w:val="22"/>
          <w:szCs w:val="22"/>
        </w:rPr>
        <w:t>1):31-7</w:t>
      </w:r>
      <w:r>
        <w:rPr>
          <w:rFonts w:ascii="Arial" w:hAnsi="Arial" w:cs="Arial"/>
          <w:color w:val="000000"/>
          <w:sz w:val="22"/>
          <w:szCs w:val="22"/>
        </w:rPr>
        <w:t>.</w:t>
      </w:r>
    </w:p>
    <w:p w:rsidR="00E504F6" w:rsidRPr="00B44186" w:rsidRDefault="00E504F6" w:rsidP="00E504F6">
      <w:pPr>
        <w:pStyle w:val="title1"/>
        <w:shd w:val="clear" w:color="auto" w:fill="FFFFFF"/>
        <w:jc w:val="both"/>
        <w:rPr>
          <w:rFonts w:ascii="Arial" w:hAnsi="Arial" w:cs="Arial"/>
          <w:color w:val="000000"/>
          <w:sz w:val="22"/>
          <w:szCs w:val="22"/>
        </w:rPr>
      </w:pPr>
    </w:p>
    <w:p w:rsidR="00E504F6" w:rsidRPr="00290812" w:rsidRDefault="00E504F6" w:rsidP="00E504F6">
      <w:pPr>
        <w:pStyle w:val="desc1"/>
        <w:shd w:val="clear" w:color="auto" w:fill="FFFFFF"/>
        <w:spacing w:before="0" w:beforeAutospacing="0" w:after="0" w:afterAutospacing="0"/>
        <w:jc w:val="both"/>
        <w:rPr>
          <w:lang w:val="nl-NL"/>
        </w:rPr>
      </w:pPr>
      <w:r>
        <w:rPr>
          <w:rFonts w:ascii="Arial" w:hAnsi="Arial" w:cs="Arial"/>
          <w:color w:val="000000"/>
          <w:sz w:val="22"/>
          <w:szCs w:val="22"/>
        </w:rPr>
        <w:t xml:space="preserve">5. </w:t>
      </w:r>
      <w:proofErr w:type="spellStart"/>
      <w:r w:rsidRPr="00B44186">
        <w:rPr>
          <w:rFonts w:ascii="Arial" w:hAnsi="Arial" w:cs="Arial"/>
          <w:color w:val="000000"/>
          <w:sz w:val="22"/>
          <w:szCs w:val="22"/>
        </w:rPr>
        <w:t>Convit</w:t>
      </w:r>
      <w:proofErr w:type="spellEnd"/>
      <w:r w:rsidRPr="00B44186">
        <w:rPr>
          <w:rFonts w:ascii="Arial" w:hAnsi="Arial" w:cs="Arial"/>
          <w:color w:val="000000"/>
          <w:sz w:val="22"/>
          <w:szCs w:val="22"/>
        </w:rPr>
        <w:t xml:space="preserve"> J, Ulrich M, </w:t>
      </w:r>
      <w:proofErr w:type="spellStart"/>
      <w:r w:rsidRPr="00B44186">
        <w:rPr>
          <w:rFonts w:ascii="Arial" w:hAnsi="Arial" w:cs="Arial"/>
          <w:color w:val="000000"/>
          <w:sz w:val="22"/>
          <w:szCs w:val="22"/>
        </w:rPr>
        <w:t>Fernández</w:t>
      </w:r>
      <w:proofErr w:type="spellEnd"/>
      <w:r w:rsidRPr="00B44186">
        <w:rPr>
          <w:rFonts w:ascii="Arial" w:hAnsi="Arial" w:cs="Arial"/>
          <w:color w:val="000000"/>
          <w:sz w:val="22"/>
          <w:szCs w:val="22"/>
        </w:rPr>
        <w:t xml:space="preserve"> CT, Tapia FJ, </w:t>
      </w:r>
      <w:proofErr w:type="spellStart"/>
      <w:r w:rsidRPr="00B44186">
        <w:rPr>
          <w:rFonts w:ascii="Arial" w:hAnsi="Arial" w:cs="Arial"/>
          <w:color w:val="000000"/>
          <w:sz w:val="22"/>
          <w:szCs w:val="22"/>
        </w:rPr>
        <w:t>Cáceres-Dittmar</w:t>
      </w:r>
      <w:proofErr w:type="spellEnd"/>
      <w:r w:rsidRPr="00B44186">
        <w:rPr>
          <w:rFonts w:ascii="Arial" w:hAnsi="Arial" w:cs="Arial"/>
          <w:color w:val="000000"/>
          <w:sz w:val="22"/>
          <w:szCs w:val="22"/>
        </w:rPr>
        <w:t xml:space="preserve"> G </w:t>
      </w:r>
      <w:r>
        <w:rPr>
          <w:rFonts w:ascii="Arial" w:hAnsi="Arial" w:cs="Arial"/>
          <w:color w:val="000000"/>
          <w:sz w:val="22"/>
          <w:szCs w:val="22"/>
        </w:rPr>
        <w:t>et al (1993)</w:t>
      </w:r>
      <w:r w:rsidRPr="00B44186">
        <w:rPr>
          <w:rFonts w:ascii="Arial" w:hAnsi="Arial" w:cs="Arial"/>
          <w:color w:val="000000"/>
          <w:sz w:val="22"/>
          <w:szCs w:val="22"/>
        </w:rPr>
        <w:t>.</w:t>
      </w:r>
      <w:r>
        <w:rPr>
          <w:rFonts w:ascii="Arial" w:hAnsi="Arial" w:cs="Arial"/>
          <w:color w:val="000000"/>
          <w:sz w:val="22"/>
          <w:szCs w:val="22"/>
        </w:rPr>
        <w:t xml:space="preserve"> </w:t>
      </w:r>
      <w:hyperlink r:id="rId16" w:history="1">
        <w:proofErr w:type="gramStart"/>
        <w:r w:rsidRPr="00290812">
          <w:rPr>
            <w:rFonts w:ascii="Arial" w:hAnsi="Arial" w:cs="Arial"/>
            <w:sz w:val="22"/>
            <w:szCs w:val="22"/>
          </w:rPr>
          <w:t>The clinical and immunological spectrum of American cutaneous leishmaniasis.</w:t>
        </w:r>
        <w:proofErr w:type="gramEnd"/>
      </w:hyperlink>
      <w:r w:rsidRPr="00B44186">
        <w:rPr>
          <w:rStyle w:val="jrnl"/>
          <w:rFonts w:ascii="Arial" w:hAnsi="Arial" w:cs="Arial"/>
          <w:color w:val="000000"/>
          <w:sz w:val="22"/>
          <w:szCs w:val="22"/>
        </w:rPr>
        <w:t xml:space="preserve"> </w:t>
      </w:r>
      <w:r w:rsidRPr="00290812">
        <w:rPr>
          <w:rStyle w:val="jrnl"/>
          <w:rFonts w:ascii="Arial" w:hAnsi="Arial" w:cs="Arial"/>
          <w:color w:val="000000"/>
          <w:sz w:val="22"/>
          <w:szCs w:val="22"/>
          <w:lang w:val="nl-NL"/>
        </w:rPr>
        <w:t>Trans R Soc Trop Med Hyg</w:t>
      </w:r>
      <w:r>
        <w:rPr>
          <w:rFonts w:ascii="Arial" w:hAnsi="Arial" w:cs="Arial"/>
          <w:sz w:val="22"/>
          <w:szCs w:val="22"/>
          <w:lang w:val="nl-NL"/>
        </w:rPr>
        <w:t xml:space="preserve"> </w:t>
      </w:r>
      <w:r w:rsidRPr="00290812">
        <w:rPr>
          <w:rFonts w:ascii="Arial" w:hAnsi="Arial" w:cs="Arial"/>
          <w:sz w:val="22"/>
          <w:szCs w:val="22"/>
          <w:lang w:val="nl-NL"/>
        </w:rPr>
        <w:t>87(4):444-8.</w:t>
      </w:r>
    </w:p>
    <w:p w:rsidR="00E504F6" w:rsidRPr="00290812" w:rsidRDefault="00E504F6" w:rsidP="00E504F6">
      <w:pPr>
        <w:pStyle w:val="desc1"/>
        <w:shd w:val="clear" w:color="auto" w:fill="FFFFFF"/>
        <w:spacing w:before="0" w:beforeAutospacing="0" w:after="0" w:afterAutospacing="0"/>
        <w:jc w:val="both"/>
        <w:rPr>
          <w:rFonts w:ascii="Arial" w:hAnsi="Arial" w:cs="Arial"/>
          <w:color w:val="000000"/>
          <w:sz w:val="22"/>
          <w:szCs w:val="22"/>
          <w:lang w:val="nl-NL"/>
        </w:rPr>
      </w:pPr>
    </w:p>
    <w:p w:rsidR="00E504F6" w:rsidRPr="00290812" w:rsidRDefault="00E504F6" w:rsidP="00E504F6">
      <w:pPr>
        <w:pStyle w:val="desc1"/>
        <w:shd w:val="clear" w:color="auto" w:fill="FFFFFF"/>
        <w:spacing w:before="0" w:beforeAutospacing="0" w:after="0" w:afterAutospacing="0"/>
        <w:jc w:val="both"/>
        <w:rPr>
          <w:lang w:val="nl-NL"/>
        </w:rPr>
      </w:pPr>
      <w:r w:rsidRPr="00562689">
        <w:rPr>
          <w:rFonts w:ascii="Arial" w:hAnsi="Arial" w:cs="Arial"/>
          <w:color w:val="000000"/>
          <w:sz w:val="22"/>
          <w:szCs w:val="22"/>
          <w:lang w:val="nl-NL"/>
        </w:rPr>
        <w:t>6. Zerpa O, Ulrich M, Borges R, Rodríguez V, Centeno M et al</w:t>
      </w:r>
      <w:r>
        <w:rPr>
          <w:rFonts w:ascii="Arial" w:hAnsi="Arial" w:cs="Arial"/>
          <w:color w:val="000000"/>
          <w:sz w:val="22"/>
          <w:szCs w:val="22"/>
          <w:lang w:val="nl-NL"/>
        </w:rPr>
        <w:t xml:space="preserve"> (2003)</w:t>
      </w:r>
      <w:r w:rsidRPr="00562689">
        <w:rPr>
          <w:rFonts w:ascii="Arial" w:hAnsi="Arial" w:cs="Arial"/>
          <w:color w:val="000000"/>
          <w:sz w:val="22"/>
          <w:szCs w:val="22"/>
          <w:lang w:val="nl-NL"/>
        </w:rPr>
        <w:t xml:space="preserve">. </w:t>
      </w:r>
      <w:r w:rsidRPr="00562689">
        <w:rPr>
          <w:rFonts w:ascii="Arial" w:hAnsi="Arial" w:cs="Arial"/>
          <w:sz w:val="22"/>
          <w:szCs w:val="22"/>
        </w:rPr>
        <w:fldChar w:fldCharType="begin"/>
      </w:r>
      <w:r w:rsidRPr="00562689">
        <w:rPr>
          <w:rFonts w:ascii="Arial" w:hAnsi="Arial" w:cs="Arial"/>
          <w:sz w:val="22"/>
          <w:szCs w:val="22"/>
        </w:rPr>
        <w:instrText xml:space="preserve"> HYPERLINK "http://www.ncbi.nlm.nih.gov/pubmed/12804153" </w:instrText>
      </w:r>
      <w:r w:rsidRPr="00562689">
        <w:rPr>
          <w:rFonts w:ascii="Arial" w:hAnsi="Arial" w:cs="Arial"/>
          <w:sz w:val="22"/>
          <w:szCs w:val="22"/>
        </w:rPr>
        <w:fldChar w:fldCharType="separate"/>
      </w:r>
      <w:proofErr w:type="gramStart"/>
      <w:r w:rsidRPr="00562689">
        <w:rPr>
          <w:rFonts w:ascii="Arial" w:hAnsi="Arial" w:cs="Arial"/>
          <w:sz w:val="22"/>
          <w:szCs w:val="22"/>
        </w:rPr>
        <w:t>Epidemiological aspects of human and canine visceral leishmaniasis in Venezuela.</w:t>
      </w:r>
      <w:proofErr w:type="gramEnd"/>
      <w:r w:rsidRPr="00562689">
        <w:rPr>
          <w:rFonts w:ascii="Arial" w:hAnsi="Arial" w:cs="Arial"/>
          <w:sz w:val="22"/>
          <w:szCs w:val="22"/>
        </w:rPr>
        <w:fldChar w:fldCharType="end"/>
      </w:r>
      <w:r w:rsidRPr="00562689">
        <w:t xml:space="preserve"> </w:t>
      </w:r>
      <w:r w:rsidRPr="00562689">
        <w:rPr>
          <w:rStyle w:val="jrnl"/>
          <w:rFonts w:ascii="Arial" w:hAnsi="Arial" w:cs="Arial"/>
          <w:color w:val="000000"/>
          <w:sz w:val="22"/>
          <w:szCs w:val="22"/>
        </w:rPr>
        <w:t xml:space="preserve">Rev </w:t>
      </w:r>
      <w:proofErr w:type="spellStart"/>
      <w:r w:rsidRPr="00562689">
        <w:rPr>
          <w:rStyle w:val="jrnl"/>
          <w:rFonts w:ascii="Arial" w:hAnsi="Arial" w:cs="Arial"/>
          <w:color w:val="000000"/>
          <w:sz w:val="22"/>
          <w:szCs w:val="22"/>
        </w:rPr>
        <w:t>Panam</w:t>
      </w:r>
      <w:proofErr w:type="spellEnd"/>
      <w:r w:rsidRPr="00562689">
        <w:rPr>
          <w:rStyle w:val="jrnl"/>
          <w:rFonts w:ascii="Arial" w:hAnsi="Arial" w:cs="Arial"/>
          <w:color w:val="000000"/>
          <w:sz w:val="22"/>
          <w:szCs w:val="22"/>
        </w:rPr>
        <w:t xml:space="preserve"> </w:t>
      </w:r>
      <w:proofErr w:type="spellStart"/>
      <w:r w:rsidRPr="00562689">
        <w:rPr>
          <w:rStyle w:val="jrnl"/>
          <w:rFonts w:ascii="Arial" w:hAnsi="Arial" w:cs="Arial"/>
          <w:color w:val="000000"/>
          <w:sz w:val="22"/>
          <w:szCs w:val="22"/>
        </w:rPr>
        <w:t>Salud</w:t>
      </w:r>
      <w:proofErr w:type="spellEnd"/>
      <w:r w:rsidRPr="00562689">
        <w:rPr>
          <w:rStyle w:val="jrnl"/>
          <w:rFonts w:ascii="Arial" w:hAnsi="Arial" w:cs="Arial"/>
          <w:color w:val="000000"/>
          <w:sz w:val="22"/>
          <w:szCs w:val="22"/>
        </w:rPr>
        <w:t xml:space="preserve"> </w:t>
      </w:r>
      <w:proofErr w:type="spellStart"/>
      <w:r w:rsidRPr="00562689">
        <w:rPr>
          <w:rStyle w:val="jrnl"/>
          <w:rFonts w:ascii="Arial" w:hAnsi="Arial" w:cs="Arial"/>
          <w:color w:val="000000"/>
          <w:sz w:val="22"/>
          <w:szCs w:val="22"/>
        </w:rPr>
        <w:t>Publica</w:t>
      </w:r>
      <w:proofErr w:type="spellEnd"/>
      <w:r>
        <w:rPr>
          <w:rFonts w:ascii="Arial" w:hAnsi="Arial" w:cs="Arial"/>
          <w:sz w:val="22"/>
          <w:szCs w:val="22"/>
          <w:lang w:val="nl-NL"/>
        </w:rPr>
        <w:t xml:space="preserve"> </w:t>
      </w:r>
      <w:r w:rsidRPr="00562689">
        <w:rPr>
          <w:rFonts w:ascii="Arial" w:hAnsi="Arial" w:cs="Arial"/>
          <w:sz w:val="22"/>
          <w:szCs w:val="22"/>
          <w:lang w:val="nl-NL"/>
        </w:rPr>
        <w:t>4:239-45.</w:t>
      </w:r>
    </w:p>
    <w:p w:rsidR="00E504F6" w:rsidRPr="00290812" w:rsidRDefault="00E504F6" w:rsidP="00E504F6">
      <w:pPr>
        <w:pStyle w:val="title1"/>
        <w:shd w:val="clear" w:color="auto" w:fill="FFFFFF"/>
        <w:jc w:val="both"/>
        <w:rPr>
          <w:rFonts w:ascii="Arial" w:hAnsi="Arial" w:cs="Arial"/>
          <w:color w:val="000000"/>
          <w:sz w:val="22"/>
          <w:szCs w:val="22"/>
          <w:lang w:val="nl-NL"/>
        </w:rPr>
      </w:pPr>
    </w:p>
    <w:p w:rsidR="00E504F6" w:rsidRPr="00B44186" w:rsidRDefault="00E504F6" w:rsidP="00E504F6">
      <w:pPr>
        <w:pStyle w:val="title1"/>
        <w:shd w:val="clear" w:color="auto" w:fill="FFFFFF"/>
        <w:jc w:val="both"/>
        <w:rPr>
          <w:rFonts w:ascii="Arial" w:hAnsi="Arial" w:cs="Arial"/>
          <w:color w:val="000000"/>
          <w:sz w:val="22"/>
          <w:szCs w:val="22"/>
        </w:rPr>
      </w:pPr>
      <w:r w:rsidRPr="00290812">
        <w:rPr>
          <w:rFonts w:ascii="Arial" w:hAnsi="Arial" w:cs="Arial"/>
          <w:color w:val="000000"/>
          <w:sz w:val="22"/>
          <w:szCs w:val="22"/>
          <w:lang w:val="nl-NL"/>
        </w:rPr>
        <w:t>7. Zerpa O, Ulrich M, Benitez M, Avila C, Rodríguez V et al</w:t>
      </w:r>
      <w:r>
        <w:rPr>
          <w:rFonts w:ascii="Arial" w:hAnsi="Arial" w:cs="Arial"/>
          <w:color w:val="000000"/>
          <w:sz w:val="22"/>
          <w:szCs w:val="22"/>
          <w:lang w:val="nl-NL"/>
        </w:rPr>
        <w:t xml:space="preserve"> (2002)</w:t>
      </w:r>
      <w:r w:rsidRPr="00290812">
        <w:rPr>
          <w:rFonts w:ascii="Arial" w:hAnsi="Arial" w:cs="Arial"/>
          <w:color w:val="000000"/>
          <w:sz w:val="22"/>
          <w:szCs w:val="22"/>
          <w:lang w:val="nl-NL"/>
        </w:rPr>
        <w:t xml:space="preserve">. </w:t>
      </w:r>
      <w:r w:rsidRPr="00B44186">
        <w:rPr>
          <w:rFonts w:ascii="Arial" w:hAnsi="Arial" w:cs="Arial"/>
          <w:color w:val="000000"/>
          <w:sz w:val="22"/>
          <w:szCs w:val="22"/>
        </w:rPr>
        <w:fldChar w:fldCharType="begin"/>
      </w:r>
      <w:r w:rsidRPr="00290812">
        <w:rPr>
          <w:rFonts w:ascii="Arial" w:hAnsi="Arial" w:cs="Arial"/>
          <w:color w:val="000000"/>
          <w:sz w:val="22"/>
          <w:szCs w:val="22"/>
          <w:lang w:val="nl-NL"/>
        </w:rPr>
        <w:instrText xml:space="preserve"> HYPERLINK "http://www.ncbi.nlm.nih.gov/pubmed/12563469" </w:instrText>
      </w:r>
      <w:r w:rsidRPr="00B44186">
        <w:rPr>
          <w:rFonts w:ascii="Arial" w:hAnsi="Arial" w:cs="Arial"/>
          <w:color w:val="000000"/>
          <w:sz w:val="22"/>
          <w:szCs w:val="22"/>
        </w:rPr>
        <w:fldChar w:fldCharType="separate"/>
      </w:r>
      <w:proofErr w:type="gramStart"/>
      <w:r w:rsidRPr="00B44186">
        <w:rPr>
          <w:rFonts w:ascii="Arial" w:hAnsi="Arial" w:cs="Arial"/>
          <w:color w:val="000000"/>
          <w:sz w:val="22"/>
          <w:szCs w:val="22"/>
        </w:rPr>
        <w:t>Epidemiological and immunological aspects of human visceral leishmaniasis on Margar</w:t>
      </w:r>
      <w:r w:rsidRPr="00C0527B">
        <w:rPr>
          <w:rFonts w:ascii="Arial" w:hAnsi="Arial" w:cs="Arial"/>
          <w:b/>
          <w:color w:val="000000"/>
          <w:sz w:val="22"/>
          <w:szCs w:val="22"/>
        </w:rPr>
        <w:t>i</w:t>
      </w:r>
      <w:r w:rsidRPr="00B44186">
        <w:rPr>
          <w:rFonts w:ascii="Arial" w:hAnsi="Arial" w:cs="Arial"/>
          <w:color w:val="000000"/>
          <w:sz w:val="22"/>
          <w:szCs w:val="22"/>
        </w:rPr>
        <w:t>ta Island, Venezuela.</w:t>
      </w:r>
      <w:proofErr w:type="gramEnd"/>
      <w:r w:rsidRPr="00B44186">
        <w:rPr>
          <w:rFonts w:ascii="Arial" w:hAnsi="Arial" w:cs="Arial"/>
          <w:color w:val="000000"/>
          <w:sz w:val="22"/>
          <w:szCs w:val="22"/>
        </w:rPr>
        <w:fldChar w:fldCharType="end"/>
      </w:r>
      <w:r w:rsidRPr="00B44186">
        <w:rPr>
          <w:rFonts w:ascii="Arial" w:hAnsi="Arial" w:cs="Arial"/>
          <w:color w:val="000000"/>
          <w:sz w:val="22"/>
          <w:szCs w:val="22"/>
        </w:rPr>
        <w:t xml:space="preserve"> </w:t>
      </w:r>
      <w:proofErr w:type="spellStart"/>
      <w:r w:rsidRPr="00B44186">
        <w:rPr>
          <w:rStyle w:val="jrnl"/>
          <w:rFonts w:ascii="Arial" w:hAnsi="Arial" w:cs="Arial"/>
          <w:color w:val="000000"/>
          <w:sz w:val="22"/>
          <w:szCs w:val="22"/>
        </w:rPr>
        <w:t>Mem</w:t>
      </w:r>
      <w:proofErr w:type="spellEnd"/>
      <w:r w:rsidRPr="00B44186">
        <w:rPr>
          <w:rStyle w:val="jrnl"/>
          <w:rFonts w:ascii="Arial" w:hAnsi="Arial" w:cs="Arial"/>
          <w:color w:val="000000"/>
          <w:sz w:val="22"/>
          <w:szCs w:val="22"/>
        </w:rPr>
        <w:t xml:space="preserve"> Inst </w:t>
      </w:r>
      <w:proofErr w:type="spellStart"/>
      <w:r w:rsidRPr="00B44186">
        <w:rPr>
          <w:rStyle w:val="jrnl"/>
          <w:rFonts w:ascii="Arial" w:hAnsi="Arial" w:cs="Arial"/>
          <w:color w:val="000000"/>
          <w:sz w:val="22"/>
          <w:szCs w:val="22"/>
        </w:rPr>
        <w:t>Oswaldo</w:t>
      </w:r>
      <w:proofErr w:type="spellEnd"/>
      <w:r w:rsidRPr="00B44186">
        <w:rPr>
          <w:rStyle w:val="jrnl"/>
          <w:rFonts w:ascii="Arial" w:hAnsi="Arial" w:cs="Arial"/>
          <w:color w:val="000000"/>
          <w:sz w:val="22"/>
          <w:szCs w:val="22"/>
        </w:rPr>
        <w:t xml:space="preserve"> Cruz</w:t>
      </w:r>
      <w:r>
        <w:rPr>
          <w:rFonts w:ascii="Arial" w:hAnsi="Arial" w:cs="Arial"/>
          <w:color w:val="000000"/>
          <w:sz w:val="22"/>
          <w:szCs w:val="22"/>
        </w:rPr>
        <w:t xml:space="preserve"> </w:t>
      </w:r>
      <w:r w:rsidRPr="00B44186">
        <w:rPr>
          <w:rFonts w:ascii="Arial" w:hAnsi="Arial" w:cs="Arial"/>
          <w:color w:val="000000"/>
          <w:sz w:val="22"/>
          <w:szCs w:val="22"/>
        </w:rPr>
        <w:t>97(8):1079-83</w:t>
      </w:r>
      <w:r>
        <w:rPr>
          <w:rFonts w:ascii="Arial" w:hAnsi="Arial" w:cs="Arial"/>
          <w:color w:val="000000"/>
          <w:sz w:val="22"/>
          <w:szCs w:val="22"/>
        </w:rPr>
        <w:t>.</w:t>
      </w:r>
    </w:p>
    <w:p w:rsidR="00E504F6" w:rsidRPr="00E504F6" w:rsidRDefault="00E504F6" w:rsidP="00E504F6">
      <w:pPr>
        <w:pStyle w:val="title1"/>
        <w:shd w:val="clear" w:color="auto" w:fill="FFFFFF"/>
        <w:jc w:val="both"/>
        <w:rPr>
          <w:rFonts w:ascii="Arial" w:hAnsi="Arial" w:cs="Arial"/>
          <w:color w:val="000000"/>
          <w:sz w:val="22"/>
          <w:szCs w:val="22"/>
        </w:rPr>
      </w:pPr>
    </w:p>
    <w:p w:rsidR="00E504F6" w:rsidRPr="00E504F6" w:rsidRDefault="00E504F6" w:rsidP="00E504F6">
      <w:pPr>
        <w:shd w:val="clear" w:color="auto" w:fill="FFFFFF"/>
        <w:ind w:left="0" w:firstLine="0"/>
        <w:rPr>
          <w:b/>
          <w:bCs/>
          <w:color w:val="000000"/>
          <w:sz w:val="22"/>
        </w:rPr>
      </w:pPr>
      <w:r w:rsidRPr="00E504F6">
        <w:rPr>
          <w:color w:val="000000"/>
          <w:sz w:val="22"/>
          <w:lang w:val="en-GB"/>
        </w:rPr>
        <w:t xml:space="preserve">8. </w:t>
      </w:r>
      <w:hyperlink r:id="rId17" w:history="1">
        <w:proofErr w:type="spellStart"/>
        <w:r w:rsidRPr="00E504F6">
          <w:rPr>
            <w:rStyle w:val="Hyperlink"/>
            <w:color w:val="000000"/>
            <w:sz w:val="22"/>
            <w:u w:val="none"/>
            <w:lang w:val="en-GB"/>
          </w:rPr>
          <w:t>Zulueta</w:t>
        </w:r>
        <w:proofErr w:type="spellEnd"/>
        <w:r w:rsidRPr="00E504F6">
          <w:rPr>
            <w:rStyle w:val="Hyperlink"/>
            <w:color w:val="000000"/>
            <w:sz w:val="22"/>
            <w:u w:val="none"/>
            <w:lang w:val="en-GB"/>
          </w:rPr>
          <w:t xml:space="preserve"> AM</w:t>
        </w:r>
      </w:hyperlink>
      <w:r w:rsidRPr="00E504F6">
        <w:rPr>
          <w:color w:val="000000"/>
          <w:sz w:val="22"/>
          <w:lang w:val="en-GB"/>
        </w:rPr>
        <w:t xml:space="preserve">, </w:t>
      </w:r>
      <w:hyperlink r:id="rId18" w:history="1">
        <w:proofErr w:type="spellStart"/>
        <w:r w:rsidRPr="00E504F6">
          <w:rPr>
            <w:rStyle w:val="Hyperlink"/>
            <w:color w:val="000000"/>
            <w:sz w:val="22"/>
            <w:u w:val="none"/>
            <w:lang w:val="en-GB"/>
          </w:rPr>
          <w:t>Villarroel</w:t>
        </w:r>
        <w:proofErr w:type="spellEnd"/>
        <w:r w:rsidRPr="00E504F6">
          <w:rPr>
            <w:rStyle w:val="Hyperlink"/>
            <w:color w:val="000000"/>
            <w:sz w:val="22"/>
            <w:u w:val="none"/>
            <w:lang w:val="en-GB"/>
          </w:rPr>
          <w:t xml:space="preserve"> E</w:t>
        </w:r>
      </w:hyperlink>
      <w:r w:rsidRPr="00E504F6">
        <w:rPr>
          <w:color w:val="000000"/>
          <w:sz w:val="22"/>
          <w:lang w:val="en-GB"/>
        </w:rPr>
        <w:t xml:space="preserve">, </w:t>
      </w:r>
      <w:hyperlink r:id="rId19" w:history="1">
        <w:r w:rsidRPr="00E504F6">
          <w:rPr>
            <w:rStyle w:val="Hyperlink"/>
            <w:color w:val="000000"/>
            <w:sz w:val="22"/>
            <w:u w:val="none"/>
            <w:lang w:val="en-GB"/>
          </w:rPr>
          <w:t>Rodriguez N</w:t>
        </w:r>
      </w:hyperlink>
      <w:r w:rsidRPr="00E504F6">
        <w:rPr>
          <w:color w:val="000000"/>
          <w:sz w:val="22"/>
          <w:lang w:val="en-GB"/>
        </w:rPr>
        <w:t xml:space="preserve">, </w:t>
      </w:r>
      <w:hyperlink r:id="rId20" w:history="1">
        <w:proofErr w:type="spellStart"/>
        <w:r w:rsidRPr="00E504F6">
          <w:rPr>
            <w:rStyle w:val="Hyperlink"/>
            <w:color w:val="000000"/>
            <w:sz w:val="22"/>
            <w:u w:val="none"/>
            <w:lang w:val="en-GB"/>
          </w:rPr>
          <w:t>Feliciangeli</w:t>
        </w:r>
        <w:proofErr w:type="spellEnd"/>
        <w:r w:rsidRPr="00E504F6">
          <w:rPr>
            <w:rStyle w:val="Hyperlink"/>
            <w:color w:val="000000"/>
            <w:sz w:val="22"/>
            <w:u w:val="none"/>
            <w:lang w:val="en-GB"/>
          </w:rPr>
          <w:t xml:space="preserve"> MD</w:t>
        </w:r>
      </w:hyperlink>
      <w:r w:rsidRPr="00E504F6">
        <w:rPr>
          <w:color w:val="000000"/>
          <w:sz w:val="22"/>
          <w:lang w:val="en-GB"/>
        </w:rPr>
        <w:t xml:space="preserve">, </w:t>
      </w:r>
      <w:hyperlink r:id="rId21" w:history="1">
        <w:proofErr w:type="spellStart"/>
        <w:r w:rsidRPr="00E504F6">
          <w:rPr>
            <w:rStyle w:val="Hyperlink"/>
            <w:color w:val="000000"/>
            <w:sz w:val="22"/>
            <w:u w:val="none"/>
            <w:lang w:val="en-GB"/>
          </w:rPr>
          <w:t>Mazzarri</w:t>
        </w:r>
        <w:proofErr w:type="spellEnd"/>
        <w:r w:rsidRPr="00E504F6">
          <w:rPr>
            <w:rStyle w:val="Hyperlink"/>
            <w:color w:val="000000"/>
            <w:sz w:val="22"/>
            <w:u w:val="none"/>
            <w:lang w:val="en-GB"/>
          </w:rPr>
          <w:t xml:space="preserve"> M</w:t>
        </w:r>
      </w:hyperlink>
      <w:r w:rsidRPr="00E504F6">
        <w:rPr>
          <w:color w:val="000000"/>
          <w:sz w:val="22"/>
          <w:lang w:val="en-GB"/>
        </w:rPr>
        <w:t xml:space="preserve"> </w:t>
      </w:r>
      <w:r w:rsidRPr="00E504F6">
        <w:rPr>
          <w:color w:val="000000"/>
          <w:sz w:val="22"/>
        </w:rPr>
        <w:t>et al (1999)</w:t>
      </w:r>
      <w:r w:rsidRPr="00E504F6">
        <w:rPr>
          <w:color w:val="000000"/>
          <w:sz w:val="22"/>
          <w:lang w:val="en-GB"/>
        </w:rPr>
        <w:t xml:space="preserve">. </w:t>
      </w:r>
      <w:proofErr w:type="gramStart"/>
      <w:r w:rsidRPr="00E504F6">
        <w:rPr>
          <w:color w:val="000000"/>
          <w:sz w:val="22"/>
          <w:lang w:val="en-GB"/>
        </w:rPr>
        <w:t xml:space="preserve">Epidemiologic aspects of American visceral leishmaniasis in an endemic focus in </w:t>
      </w:r>
      <w:smartTag w:uri="urn:schemas-microsoft-com:office:smarttags" w:element="place">
        <w:r w:rsidRPr="00E504F6">
          <w:rPr>
            <w:color w:val="000000"/>
            <w:sz w:val="22"/>
            <w:lang w:val="en-GB"/>
          </w:rPr>
          <w:t>Eastern Venezuela</w:t>
        </w:r>
      </w:smartTag>
      <w:r w:rsidRPr="00E504F6">
        <w:rPr>
          <w:color w:val="000000"/>
          <w:sz w:val="22"/>
          <w:lang w:val="en-GB"/>
        </w:rPr>
        <w:t>.</w:t>
      </w:r>
      <w:proofErr w:type="gramEnd"/>
      <w:r w:rsidRPr="00E504F6">
        <w:rPr>
          <w:color w:val="000000"/>
          <w:sz w:val="22"/>
          <w:lang w:val="en-GB"/>
        </w:rPr>
        <w:t xml:space="preserve"> </w:t>
      </w:r>
      <w:hyperlink r:id="rId22" w:anchor="#" w:tooltip="The American journal of tropical medicine and hygiene." w:history="1">
        <w:r w:rsidRPr="00E504F6">
          <w:rPr>
            <w:rStyle w:val="Hyperlink"/>
            <w:color w:val="000000"/>
            <w:sz w:val="22"/>
            <w:u w:val="none"/>
          </w:rPr>
          <w:t xml:space="preserve">Am J </w:t>
        </w:r>
        <w:proofErr w:type="spellStart"/>
        <w:r w:rsidRPr="00E504F6">
          <w:rPr>
            <w:rStyle w:val="Hyperlink"/>
            <w:color w:val="000000"/>
            <w:sz w:val="22"/>
            <w:u w:val="none"/>
          </w:rPr>
          <w:t>Trop</w:t>
        </w:r>
        <w:proofErr w:type="spellEnd"/>
        <w:r w:rsidRPr="00E504F6">
          <w:rPr>
            <w:rStyle w:val="Hyperlink"/>
            <w:color w:val="000000"/>
            <w:sz w:val="22"/>
            <w:u w:val="none"/>
          </w:rPr>
          <w:t xml:space="preserve"> </w:t>
        </w:r>
        <w:proofErr w:type="spellStart"/>
        <w:r w:rsidRPr="00E504F6">
          <w:rPr>
            <w:rStyle w:val="Hyperlink"/>
            <w:color w:val="000000"/>
            <w:sz w:val="22"/>
            <w:u w:val="none"/>
          </w:rPr>
          <w:t>Med</w:t>
        </w:r>
        <w:proofErr w:type="spellEnd"/>
        <w:r w:rsidRPr="00E504F6">
          <w:rPr>
            <w:rStyle w:val="Hyperlink"/>
            <w:color w:val="000000"/>
            <w:sz w:val="22"/>
            <w:u w:val="none"/>
          </w:rPr>
          <w:t xml:space="preserve"> </w:t>
        </w:r>
        <w:proofErr w:type="spellStart"/>
        <w:r w:rsidRPr="00E504F6">
          <w:rPr>
            <w:rStyle w:val="Hyperlink"/>
            <w:color w:val="000000"/>
            <w:sz w:val="22"/>
            <w:u w:val="none"/>
          </w:rPr>
          <w:t>Hyg</w:t>
        </w:r>
        <w:proofErr w:type="spellEnd"/>
        <w:r w:rsidRPr="00E504F6">
          <w:rPr>
            <w:rStyle w:val="Hyperlink"/>
            <w:color w:val="000000"/>
            <w:sz w:val="22"/>
            <w:u w:val="none"/>
          </w:rPr>
          <w:t xml:space="preserve"> </w:t>
        </w:r>
      </w:hyperlink>
      <w:r w:rsidRPr="00E504F6">
        <w:rPr>
          <w:color w:val="000000"/>
          <w:sz w:val="22"/>
        </w:rPr>
        <w:t>61(6):945-50.</w:t>
      </w:r>
    </w:p>
    <w:p w:rsidR="00E504F6" w:rsidRPr="00B44186" w:rsidRDefault="00E504F6" w:rsidP="00E504F6">
      <w:pPr>
        <w:pStyle w:val="desc1"/>
        <w:shd w:val="clear" w:color="auto" w:fill="FFFFFF"/>
        <w:spacing w:before="0" w:beforeAutospacing="0" w:after="0" w:afterAutospacing="0"/>
        <w:jc w:val="both"/>
        <w:rPr>
          <w:rFonts w:ascii="Arial" w:hAnsi="Arial" w:cs="Arial"/>
          <w:sz w:val="22"/>
          <w:szCs w:val="22"/>
        </w:rPr>
      </w:pPr>
      <w:r w:rsidRPr="00E504F6">
        <w:rPr>
          <w:rFonts w:ascii="Arial" w:hAnsi="Arial" w:cs="Arial"/>
          <w:sz w:val="22"/>
          <w:szCs w:val="22"/>
          <w:lang w:val="es-CO"/>
        </w:rPr>
        <w:lastRenderedPageBreak/>
        <w:t xml:space="preserve">9. </w:t>
      </w:r>
      <w:proofErr w:type="spellStart"/>
      <w:r w:rsidRPr="00E504F6">
        <w:rPr>
          <w:rFonts w:ascii="Arial" w:hAnsi="Arial" w:cs="Arial"/>
          <w:sz w:val="22"/>
          <w:szCs w:val="22"/>
          <w:lang w:val="es-CO"/>
        </w:rPr>
        <w:t>Zerpa</w:t>
      </w:r>
      <w:proofErr w:type="spellEnd"/>
      <w:r w:rsidRPr="00E504F6">
        <w:rPr>
          <w:rFonts w:ascii="Arial" w:hAnsi="Arial" w:cs="Arial"/>
          <w:sz w:val="22"/>
          <w:szCs w:val="22"/>
          <w:lang w:val="es-CO"/>
        </w:rPr>
        <w:t xml:space="preserve"> O, </w:t>
      </w:r>
      <w:proofErr w:type="spellStart"/>
      <w:r w:rsidRPr="00E504F6">
        <w:rPr>
          <w:rFonts w:ascii="Arial" w:hAnsi="Arial" w:cs="Arial"/>
          <w:sz w:val="22"/>
          <w:szCs w:val="22"/>
          <w:lang w:val="es-CO"/>
        </w:rPr>
        <w:t>Ulrich</w:t>
      </w:r>
      <w:proofErr w:type="spellEnd"/>
      <w:r w:rsidRPr="00E504F6">
        <w:rPr>
          <w:rFonts w:ascii="Arial" w:hAnsi="Arial" w:cs="Arial"/>
          <w:sz w:val="22"/>
          <w:szCs w:val="22"/>
          <w:lang w:val="es-CO"/>
        </w:rPr>
        <w:t xml:space="preserve"> M, Negrón E</w:t>
      </w:r>
      <w:r w:rsidRPr="00F324FE">
        <w:rPr>
          <w:rFonts w:ascii="Arial" w:hAnsi="Arial" w:cs="Arial"/>
          <w:sz w:val="22"/>
          <w:szCs w:val="22"/>
          <w:lang w:val="es-CO"/>
        </w:rPr>
        <w:t xml:space="preserve">, Rodríguez N, Centeno M </w:t>
      </w:r>
      <w:r>
        <w:rPr>
          <w:rFonts w:ascii="Arial" w:hAnsi="Arial" w:cs="Arial"/>
          <w:sz w:val="22"/>
          <w:szCs w:val="22"/>
          <w:lang w:val="es-CO"/>
        </w:rPr>
        <w:t>et al (2000)</w:t>
      </w:r>
      <w:r w:rsidRPr="00F324FE">
        <w:rPr>
          <w:rFonts w:ascii="Arial" w:hAnsi="Arial" w:cs="Arial"/>
          <w:sz w:val="22"/>
          <w:szCs w:val="22"/>
          <w:lang w:val="es-CO"/>
        </w:rPr>
        <w:t xml:space="preserve">. </w:t>
      </w:r>
      <w:hyperlink r:id="rId23" w:history="1">
        <w:proofErr w:type="gramStart"/>
        <w:r w:rsidRPr="00B44186">
          <w:rPr>
            <w:rFonts w:ascii="Arial" w:hAnsi="Arial" w:cs="Arial"/>
            <w:sz w:val="22"/>
            <w:szCs w:val="22"/>
          </w:rPr>
          <w:t>Canine visceral leishmaniasis on Margarita Island (Nueva Esparta, Venezuela).</w:t>
        </w:r>
        <w:proofErr w:type="gramEnd"/>
      </w:hyperlink>
      <w:r w:rsidRPr="00B44186">
        <w:rPr>
          <w:rStyle w:val="jrnl"/>
          <w:rFonts w:ascii="Arial" w:hAnsi="Arial" w:cs="Arial"/>
          <w:color w:val="000000"/>
          <w:sz w:val="22"/>
          <w:szCs w:val="22"/>
        </w:rPr>
        <w:t xml:space="preserve"> Trans R Soc </w:t>
      </w:r>
      <w:proofErr w:type="spellStart"/>
      <w:r w:rsidRPr="00B44186">
        <w:rPr>
          <w:rStyle w:val="jrnl"/>
          <w:rFonts w:ascii="Arial" w:hAnsi="Arial" w:cs="Arial"/>
          <w:color w:val="000000"/>
          <w:sz w:val="22"/>
          <w:szCs w:val="22"/>
        </w:rPr>
        <w:t>Trop</w:t>
      </w:r>
      <w:proofErr w:type="spellEnd"/>
      <w:r w:rsidRPr="00B44186">
        <w:rPr>
          <w:rStyle w:val="jrnl"/>
          <w:rFonts w:ascii="Arial" w:hAnsi="Arial" w:cs="Arial"/>
          <w:color w:val="000000"/>
          <w:sz w:val="22"/>
          <w:szCs w:val="22"/>
        </w:rPr>
        <w:t xml:space="preserve"> Med </w:t>
      </w:r>
      <w:proofErr w:type="spellStart"/>
      <w:r w:rsidRPr="00B44186">
        <w:rPr>
          <w:rStyle w:val="jrnl"/>
          <w:rFonts w:ascii="Arial" w:hAnsi="Arial" w:cs="Arial"/>
          <w:color w:val="000000"/>
          <w:sz w:val="22"/>
          <w:szCs w:val="22"/>
        </w:rPr>
        <w:t>Hyg</w:t>
      </w:r>
      <w:proofErr w:type="spellEnd"/>
      <w:r>
        <w:rPr>
          <w:rFonts w:ascii="Arial" w:hAnsi="Arial" w:cs="Arial"/>
          <w:sz w:val="22"/>
          <w:szCs w:val="22"/>
        </w:rPr>
        <w:t xml:space="preserve"> </w:t>
      </w:r>
      <w:r w:rsidRPr="00B44186">
        <w:rPr>
          <w:rFonts w:ascii="Arial" w:hAnsi="Arial" w:cs="Arial"/>
          <w:sz w:val="22"/>
          <w:szCs w:val="22"/>
        </w:rPr>
        <w:t>94(5):484-7</w:t>
      </w:r>
      <w:r>
        <w:rPr>
          <w:rFonts w:ascii="Arial" w:hAnsi="Arial" w:cs="Arial"/>
          <w:sz w:val="22"/>
          <w:szCs w:val="22"/>
        </w:rPr>
        <w:t>.</w:t>
      </w:r>
    </w:p>
    <w:sectPr w:rsidR="00E504F6" w:rsidRPr="00B44186" w:rsidSect="002F7C1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75683"/>
    <w:multiLevelType w:val="hybridMultilevel"/>
    <w:tmpl w:val="2B5A5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237037A"/>
    <w:multiLevelType w:val="hybridMultilevel"/>
    <w:tmpl w:val="42CC1D5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731912"/>
    <w:multiLevelType w:val="multilevel"/>
    <w:tmpl w:val="9F3EB04A"/>
    <w:lvl w:ilvl="0">
      <w:start w:val="1"/>
      <w:numFmt w:val="decimal"/>
      <w:pStyle w:val="Heading1"/>
      <w:isLgl/>
      <w:lvlText w:val="%1."/>
      <w:lvlJc w:val="left"/>
      <w:pPr>
        <w:tabs>
          <w:tab w:val="num" w:pos="1134"/>
        </w:tabs>
        <w:ind w:left="1134" w:hanging="1134"/>
      </w:pPr>
      <w:rPr>
        <w:rFonts w:ascii="Arial" w:hAnsi="Arial" w:hint="default"/>
        <w:b/>
        <w:i w:val="0"/>
        <w:color w:val="000000"/>
        <w:sz w:val="32"/>
        <w:szCs w:val="32"/>
        <w:u w:color="000000"/>
      </w:rPr>
    </w:lvl>
    <w:lvl w:ilvl="1">
      <w:start w:val="1"/>
      <w:numFmt w:val="decimal"/>
      <w:pStyle w:val="Heading2"/>
      <w:isLgl/>
      <w:lvlText w:val="%1.%2."/>
      <w:lvlJc w:val="left"/>
      <w:pPr>
        <w:tabs>
          <w:tab w:val="num" w:pos="1134"/>
        </w:tabs>
        <w:ind w:left="1134" w:hanging="1134"/>
      </w:pPr>
      <w:rPr>
        <w:rFonts w:ascii="Arial" w:hAnsi="Arial" w:hint="default"/>
        <w:b/>
        <w:i w:val="0"/>
        <w:color w:val="000000"/>
        <w:sz w:val="28"/>
        <w:szCs w:val="28"/>
      </w:rPr>
    </w:lvl>
    <w:lvl w:ilvl="2">
      <w:start w:val="1"/>
      <w:numFmt w:val="decimal"/>
      <w:pStyle w:val="Heading3"/>
      <w:isLgl/>
      <w:lvlText w:val="%1.%2.%3."/>
      <w:lvlJc w:val="left"/>
      <w:pPr>
        <w:tabs>
          <w:tab w:val="num" w:pos="0"/>
        </w:tabs>
        <w:ind w:left="1134" w:hanging="1134"/>
      </w:pPr>
      <w:rPr>
        <w:rFonts w:ascii="Arial" w:hAnsi="Arial" w:hint="default"/>
        <w:b w:val="0"/>
        <w:i/>
        <w:color w:val="000000"/>
        <w:sz w:val="27"/>
        <w:szCs w:val="27"/>
      </w:rPr>
    </w:lvl>
    <w:lvl w:ilvl="3">
      <w:start w:val="1"/>
      <w:numFmt w:val="decimal"/>
      <w:pStyle w:val="Heading4"/>
      <w:lvlText w:val="%1.%2.%3.%4."/>
      <w:lvlJc w:val="left"/>
      <w:pPr>
        <w:tabs>
          <w:tab w:val="num" w:pos="1134"/>
        </w:tabs>
        <w:ind w:left="1134" w:hanging="1134"/>
      </w:pPr>
      <w:rPr>
        <w:rFonts w:ascii="Arial" w:hAnsi="Arial" w:hint="default"/>
        <w:b w:val="0"/>
        <w:i w:val="0"/>
        <w:color w:val="000000"/>
        <w:sz w:val="26"/>
        <w:szCs w:val="26"/>
      </w:rPr>
    </w:lvl>
    <w:lvl w:ilvl="4">
      <w:start w:val="1"/>
      <w:numFmt w:val="decimal"/>
      <w:lvlText w:val="%1.%2.%3.%4.%5."/>
      <w:lvlJc w:val="left"/>
      <w:pPr>
        <w:tabs>
          <w:tab w:val="num" w:pos="1402"/>
        </w:tabs>
        <w:ind w:left="1402" w:hanging="1402"/>
      </w:pPr>
      <w:rPr>
        <w:rFonts w:ascii="Arial" w:hAnsi="Arial" w:hint="default"/>
        <w:b/>
        <w:i w:val="0"/>
        <w:color w:val="000000"/>
        <w:sz w:val="24"/>
        <w:szCs w:val="24"/>
      </w:rPr>
    </w:lvl>
    <w:lvl w:ilvl="5">
      <w:start w:val="1"/>
      <w:numFmt w:val="decimal"/>
      <w:lvlText w:val="%1.%2.%3.%4.%5.%6."/>
      <w:lvlJc w:val="left"/>
      <w:pPr>
        <w:tabs>
          <w:tab w:val="num" w:pos="1701"/>
        </w:tabs>
        <w:ind w:left="1701" w:hanging="1701"/>
      </w:pPr>
      <w:rPr>
        <w:rFonts w:ascii="Arial" w:hAnsi="Arial" w:hint="default"/>
        <w:b w:val="0"/>
        <w:i w:val="0"/>
        <w:color w:val="00000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2"/>
  </w:num>
  <w:num w:numId="3">
    <w:abstractNumId w:val="2"/>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504F6"/>
    <w:rsid w:val="000028F1"/>
    <w:rsid w:val="00010242"/>
    <w:rsid w:val="00046B72"/>
    <w:rsid w:val="00052A25"/>
    <w:rsid w:val="0005677D"/>
    <w:rsid w:val="000578BC"/>
    <w:rsid w:val="000848FF"/>
    <w:rsid w:val="000B48D7"/>
    <w:rsid w:val="000E5115"/>
    <w:rsid w:val="000F0175"/>
    <w:rsid w:val="000F1E62"/>
    <w:rsid w:val="001168B6"/>
    <w:rsid w:val="00134E9F"/>
    <w:rsid w:val="00141FD2"/>
    <w:rsid w:val="0016660D"/>
    <w:rsid w:val="00194CED"/>
    <w:rsid w:val="001B2C47"/>
    <w:rsid w:val="001E4D96"/>
    <w:rsid w:val="002000DA"/>
    <w:rsid w:val="00215613"/>
    <w:rsid w:val="00220DFD"/>
    <w:rsid w:val="0024005B"/>
    <w:rsid w:val="00245DB8"/>
    <w:rsid w:val="00252F0C"/>
    <w:rsid w:val="00270F6A"/>
    <w:rsid w:val="00272C75"/>
    <w:rsid w:val="00272E09"/>
    <w:rsid w:val="0027629F"/>
    <w:rsid w:val="00280D78"/>
    <w:rsid w:val="002C258B"/>
    <w:rsid w:val="002F4248"/>
    <w:rsid w:val="002F6463"/>
    <w:rsid w:val="002F7C1A"/>
    <w:rsid w:val="00315ECC"/>
    <w:rsid w:val="003229A6"/>
    <w:rsid w:val="003310F3"/>
    <w:rsid w:val="00333A3A"/>
    <w:rsid w:val="0034701D"/>
    <w:rsid w:val="0036003C"/>
    <w:rsid w:val="00363320"/>
    <w:rsid w:val="00374366"/>
    <w:rsid w:val="003A44B4"/>
    <w:rsid w:val="003B3568"/>
    <w:rsid w:val="003B73ED"/>
    <w:rsid w:val="003D1FFD"/>
    <w:rsid w:val="003E1DA2"/>
    <w:rsid w:val="003F1346"/>
    <w:rsid w:val="00412019"/>
    <w:rsid w:val="00412575"/>
    <w:rsid w:val="00420168"/>
    <w:rsid w:val="004264FD"/>
    <w:rsid w:val="00491E29"/>
    <w:rsid w:val="004A37D9"/>
    <w:rsid w:val="004A5A5B"/>
    <w:rsid w:val="004C53F0"/>
    <w:rsid w:val="004D15B3"/>
    <w:rsid w:val="005100AA"/>
    <w:rsid w:val="00570157"/>
    <w:rsid w:val="0057148C"/>
    <w:rsid w:val="005724D3"/>
    <w:rsid w:val="00581469"/>
    <w:rsid w:val="00584B56"/>
    <w:rsid w:val="00593992"/>
    <w:rsid w:val="005C6498"/>
    <w:rsid w:val="005F2E6A"/>
    <w:rsid w:val="005F4AD0"/>
    <w:rsid w:val="0062498A"/>
    <w:rsid w:val="00626A99"/>
    <w:rsid w:val="006272A7"/>
    <w:rsid w:val="00641A14"/>
    <w:rsid w:val="00653580"/>
    <w:rsid w:val="00661504"/>
    <w:rsid w:val="00690048"/>
    <w:rsid w:val="006C198E"/>
    <w:rsid w:val="006E008C"/>
    <w:rsid w:val="006E2CDF"/>
    <w:rsid w:val="006E718B"/>
    <w:rsid w:val="0071174C"/>
    <w:rsid w:val="00740C76"/>
    <w:rsid w:val="0075377D"/>
    <w:rsid w:val="007A78DF"/>
    <w:rsid w:val="007C7FD3"/>
    <w:rsid w:val="007D3253"/>
    <w:rsid w:val="007E18CB"/>
    <w:rsid w:val="007E4A87"/>
    <w:rsid w:val="008006B5"/>
    <w:rsid w:val="008016D2"/>
    <w:rsid w:val="00832051"/>
    <w:rsid w:val="00837717"/>
    <w:rsid w:val="008403F6"/>
    <w:rsid w:val="00847BE4"/>
    <w:rsid w:val="00851DE1"/>
    <w:rsid w:val="0086504E"/>
    <w:rsid w:val="00895527"/>
    <w:rsid w:val="00896966"/>
    <w:rsid w:val="008B250E"/>
    <w:rsid w:val="008D3496"/>
    <w:rsid w:val="008F2D26"/>
    <w:rsid w:val="009511C6"/>
    <w:rsid w:val="009B22FB"/>
    <w:rsid w:val="009C14CB"/>
    <w:rsid w:val="009C200B"/>
    <w:rsid w:val="009C319F"/>
    <w:rsid w:val="009C624C"/>
    <w:rsid w:val="009D1B5E"/>
    <w:rsid w:val="009F64EB"/>
    <w:rsid w:val="009F775A"/>
    <w:rsid w:val="00A45DA3"/>
    <w:rsid w:val="00A5035E"/>
    <w:rsid w:val="00A5411A"/>
    <w:rsid w:val="00A541A7"/>
    <w:rsid w:val="00A629D5"/>
    <w:rsid w:val="00A85111"/>
    <w:rsid w:val="00AD2F5D"/>
    <w:rsid w:val="00B15964"/>
    <w:rsid w:val="00B16204"/>
    <w:rsid w:val="00B433DC"/>
    <w:rsid w:val="00B476C3"/>
    <w:rsid w:val="00B96E52"/>
    <w:rsid w:val="00BA6E8F"/>
    <w:rsid w:val="00BB2383"/>
    <w:rsid w:val="00BE00C5"/>
    <w:rsid w:val="00C12906"/>
    <w:rsid w:val="00C1518C"/>
    <w:rsid w:val="00C236BD"/>
    <w:rsid w:val="00C244F5"/>
    <w:rsid w:val="00C264F2"/>
    <w:rsid w:val="00C47B72"/>
    <w:rsid w:val="00C7126E"/>
    <w:rsid w:val="00C75CF6"/>
    <w:rsid w:val="00C87D01"/>
    <w:rsid w:val="00C91A71"/>
    <w:rsid w:val="00CA637B"/>
    <w:rsid w:val="00CA71FE"/>
    <w:rsid w:val="00CF5DD0"/>
    <w:rsid w:val="00D05103"/>
    <w:rsid w:val="00D17D57"/>
    <w:rsid w:val="00D36E3A"/>
    <w:rsid w:val="00D5084A"/>
    <w:rsid w:val="00D513BD"/>
    <w:rsid w:val="00D541EC"/>
    <w:rsid w:val="00D6288C"/>
    <w:rsid w:val="00D83F8A"/>
    <w:rsid w:val="00D92869"/>
    <w:rsid w:val="00D95254"/>
    <w:rsid w:val="00DA0AB5"/>
    <w:rsid w:val="00DA14E3"/>
    <w:rsid w:val="00DB6D7C"/>
    <w:rsid w:val="00DD1ADE"/>
    <w:rsid w:val="00DF5A78"/>
    <w:rsid w:val="00DF6C46"/>
    <w:rsid w:val="00E147C3"/>
    <w:rsid w:val="00E17729"/>
    <w:rsid w:val="00E21063"/>
    <w:rsid w:val="00E370A8"/>
    <w:rsid w:val="00E474BF"/>
    <w:rsid w:val="00E47A87"/>
    <w:rsid w:val="00E504F6"/>
    <w:rsid w:val="00E65F1E"/>
    <w:rsid w:val="00E7082F"/>
    <w:rsid w:val="00E828CE"/>
    <w:rsid w:val="00E87373"/>
    <w:rsid w:val="00EB1F13"/>
    <w:rsid w:val="00EF27B3"/>
    <w:rsid w:val="00F03A91"/>
    <w:rsid w:val="00F14B40"/>
    <w:rsid w:val="00F16575"/>
    <w:rsid w:val="00F25542"/>
    <w:rsid w:val="00F87752"/>
    <w:rsid w:val="00F94E78"/>
    <w:rsid w:val="00FB0CFB"/>
    <w:rsid w:val="00FB6AA1"/>
    <w:rsid w:val="00FC58EE"/>
    <w:rsid w:val="00FD22F3"/>
    <w:rsid w:val="00FD59CB"/>
    <w:rsid w:val="00FE1BC6"/>
    <w:rsid w:val="00FE26F4"/>
    <w:rsid w:val="00FE575B"/>
    <w:rsid w:val="00FE79B4"/>
    <w:rsid w:val="00FF1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4F6"/>
    <w:pPr>
      <w:spacing w:after="0" w:line="240" w:lineRule="auto"/>
      <w:ind w:left="720" w:hanging="720"/>
      <w:jc w:val="both"/>
    </w:pPr>
    <w:rPr>
      <w:rFonts w:ascii="Arial" w:eastAsia="Calibri" w:hAnsi="Arial" w:cs="Arial"/>
      <w:sz w:val="24"/>
      <w:lang w:val="es-CO"/>
    </w:rPr>
  </w:style>
  <w:style w:type="paragraph" w:styleId="Heading1">
    <w:name w:val="heading 1"/>
    <w:next w:val="Normal"/>
    <w:link w:val="Heading1Char"/>
    <w:qFormat/>
    <w:rsid w:val="00F14B40"/>
    <w:pPr>
      <w:keepNext/>
      <w:numPr>
        <w:numId w:val="4"/>
      </w:numPr>
      <w:spacing w:before="480" w:after="240" w:line="240" w:lineRule="auto"/>
      <w:outlineLvl w:val="0"/>
    </w:pPr>
    <w:rPr>
      <w:rFonts w:ascii="Arial" w:eastAsia="Times New Roman" w:hAnsi="Arial" w:cs="Arial"/>
      <w:b/>
      <w:bCs/>
      <w:kern w:val="32"/>
      <w:sz w:val="32"/>
      <w:szCs w:val="32"/>
      <w:lang w:val="de-AT" w:eastAsia="de-AT"/>
    </w:rPr>
  </w:style>
  <w:style w:type="paragraph" w:styleId="Heading2">
    <w:name w:val="heading 2"/>
    <w:next w:val="Normal"/>
    <w:link w:val="Heading2Char"/>
    <w:qFormat/>
    <w:rsid w:val="00F14B40"/>
    <w:pPr>
      <w:keepNext/>
      <w:numPr>
        <w:ilvl w:val="1"/>
        <w:numId w:val="4"/>
      </w:numPr>
      <w:spacing w:before="240" w:after="60" w:line="240" w:lineRule="auto"/>
      <w:outlineLvl w:val="1"/>
    </w:pPr>
    <w:rPr>
      <w:rFonts w:ascii="Arial" w:eastAsia="Times New Roman" w:hAnsi="Arial" w:cs="Arial"/>
      <w:b/>
      <w:bCs/>
      <w:iCs/>
      <w:sz w:val="28"/>
      <w:szCs w:val="28"/>
      <w:lang w:val="de-AT" w:eastAsia="de-AT"/>
    </w:rPr>
  </w:style>
  <w:style w:type="paragraph" w:styleId="Heading3">
    <w:name w:val="heading 3"/>
    <w:next w:val="Normal"/>
    <w:link w:val="Heading3Char"/>
    <w:qFormat/>
    <w:rsid w:val="00F14B40"/>
    <w:pPr>
      <w:keepNext/>
      <w:numPr>
        <w:ilvl w:val="2"/>
        <w:numId w:val="4"/>
      </w:numPr>
      <w:spacing w:before="240" w:after="60" w:line="240" w:lineRule="auto"/>
      <w:outlineLvl w:val="2"/>
    </w:pPr>
    <w:rPr>
      <w:rFonts w:ascii="Arial" w:eastAsia="Times New Roman" w:hAnsi="Arial" w:cs="Arial"/>
      <w:bCs/>
      <w:i/>
      <w:sz w:val="27"/>
      <w:szCs w:val="26"/>
      <w:lang w:val="de-AT" w:eastAsia="de-AT"/>
    </w:rPr>
  </w:style>
  <w:style w:type="paragraph" w:styleId="Heading4">
    <w:name w:val="heading 4"/>
    <w:next w:val="Normal"/>
    <w:link w:val="Heading4Char"/>
    <w:qFormat/>
    <w:rsid w:val="00F14B40"/>
    <w:pPr>
      <w:keepNext/>
      <w:numPr>
        <w:ilvl w:val="3"/>
        <w:numId w:val="4"/>
      </w:numPr>
      <w:spacing w:before="240" w:after="120" w:line="240" w:lineRule="auto"/>
      <w:outlineLvl w:val="3"/>
    </w:pPr>
    <w:rPr>
      <w:rFonts w:ascii="Arial" w:eastAsia="Times New Roman" w:hAnsi="Arial" w:cs="Times New Roman"/>
      <w:bCs/>
      <w:sz w:val="26"/>
      <w:szCs w:val="28"/>
      <w:lang w:val="de-AT" w:eastAsia="de-AT"/>
    </w:rPr>
  </w:style>
  <w:style w:type="paragraph" w:styleId="Heading5">
    <w:name w:val="heading 5"/>
    <w:basedOn w:val="Normal"/>
    <w:next w:val="Normal"/>
    <w:link w:val="Heading5Char"/>
    <w:qFormat/>
    <w:rsid w:val="00F14B40"/>
    <w:pPr>
      <w:spacing w:before="200"/>
      <w:ind w:left="1008" w:hanging="1008"/>
      <w:outlineLvl w:val="4"/>
    </w:pPr>
    <w:rPr>
      <w:rFonts w:ascii="Cambria" w:eastAsia="Times New Roman" w:hAnsi="Cambria" w:cs="Times New Roman"/>
      <w:b/>
      <w:bCs/>
      <w:color w:val="7F7F7F"/>
      <w:lang w:bidi="en-US"/>
    </w:rPr>
  </w:style>
  <w:style w:type="paragraph" w:styleId="Heading6">
    <w:name w:val="heading 6"/>
    <w:basedOn w:val="Normal"/>
    <w:next w:val="Normal"/>
    <w:link w:val="Heading6Char"/>
    <w:qFormat/>
    <w:rsid w:val="00F14B40"/>
    <w:pPr>
      <w:spacing w:line="271" w:lineRule="auto"/>
      <w:ind w:left="1152" w:hanging="1152"/>
      <w:outlineLvl w:val="5"/>
    </w:pPr>
    <w:rPr>
      <w:rFonts w:ascii="Cambria" w:eastAsia="Times New Roman" w:hAnsi="Cambria" w:cs="Times New Roman"/>
      <w:b/>
      <w:bCs/>
      <w:i/>
      <w:iCs/>
      <w:color w:val="7F7F7F"/>
      <w:lang w:bidi="en-US"/>
    </w:rPr>
  </w:style>
  <w:style w:type="paragraph" w:styleId="Heading7">
    <w:name w:val="heading 7"/>
    <w:basedOn w:val="Normal"/>
    <w:next w:val="Normal"/>
    <w:link w:val="Heading7Char"/>
    <w:qFormat/>
    <w:rsid w:val="00F14B40"/>
    <w:pPr>
      <w:ind w:left="1296" w:hanging="1296"/>
      <w:outlineLvl w:val="6"/>
    </w:pPr>
    <w:rPr>
      <w:rFonts w:ascii="Cambria" w:eastAsia="Times New Roman" w:hAnsi="Cambria" w:cs="Times New Roman"/>
      <w:i/>
      <w:iCs/>
      <w:lang w:bidi="en-US"/>
    </w:rPr>
  </w:style>
  <w:style w:type="paragraph" w:styleId="Heading8">
    <w:name w:val="heading 8"/>
    <w:basedOn w:val="Normal"/>
    <w:next w:val="Normal"/>
    <w:link w:val="Heading8Char"/>
    <w:qFormat/>
    <w:rsid w:val="00F14B40"/>
    <w:pPr>
      <w:ind w:left="1440" w:hanging="1440"/>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qFormat/>
    <w:rsid w:val="00F14B40"/>
    <w:pPr>
      <w:ind w:left="1584" w:hanging="1584"/>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B40"/>
    <w:rPr>
      <w:rFonts w:ascii="Arial" w:eastAsia="Times New Roman" w:hAnsi="Arial" w:cs="Arial"/>
      <w:b/>
      <w:bCs/>
      <w:kern w:val="32"/>
      <w:sz w:val="32"/>
      <w:szCs w:val="32"/>
      <w:lang w:val="de-AT" w:eastAsia="de-AT"/>
    </w:rPr>
  </w:style>
  <w:style w:type="character" w:customStyle="1" w:styleId="Heading2Char">
    <w:name w:val="Heading 2 Char"/>
    <w:basedOn w:val="DefaultParagraphFont"/>
    <w:link w:val="Heading2"/>
    <w:rsid w:val="00F14B40"/>
    <w:rPr>
      <w:rFonts w:ascii="Arial" w:eastAsia="Times New Roman" w:hAnsi="Arial" w:cs="Arial"/>
      <w:b/>
      <w:bCs/>
      <w:iCs/>
      <w:sz w:val="28"/>
      <w:szCs w:val="28"/>
      <w:lang w:val="de-AT" w:eastAsia="de-AT"/>
    </w:rPr>
  </w:style>
  <w:style w:type="character" w:customStyle="1" w:styleId="Heading3Char">
    <w:name w:val="Heading 3 Char"/>
    <w:basedOn w:val="DefaultParagraphFont"/>
    <w:link w:val="Heading3"/>
    <w:rsid w:val="00F14B40"/>
    <w:rPr>
      <w:rFonts w:ascii="Arial" w:eastAsia="Times New Roman" w:hAnsi="Arial" w:cs="Arial"/>
      <w:bCs/>
      <w:i/>
      <w:sz w:val="27"/>
      <w:szCs w:val="26"/>
      <w:lang w:val="de-AT" w:eastAsia="de-AT"/>
    </w:rPr>
  </w:style>
  <w:style w:type="character" w:customStyle="1" w:styleId="Heading4Char">
    <w:name w:val="Heading 4 Char"/>
    <w:basedOn w:val="DefaultParagraphFont"/>
    <w:link w:val="Heading4"/>
    <w:rsid w:val="00F14B40"/>
    <w:rPr>
      <w:rFonts w:ascii="Arial" w:eastAsia="Times New Roman" w:hAnsi="Arial" w:cs="Times New Roman"/>
      <w:bCs/>
      <w:sz w:val="26"/>
      <w:szCs w:val="28"/>
      <w:lang w:val="de-AT" w:eastAsia="de-AT"/>
    </w:rPr>
  </w:style>
  <w:style w:type="character" w:customStyle="1" w:styleId="Heading5Char">
    <w:name w:val="Heading 5 Char"/>
    <w:basedOn w:val="DefaultParagraphFont"/>
    <w:link w:val="Heading5"/>
    <w:rsid w:val="00F14B40"/>
    <w:rPr>
      <w:rFonts w:ascii="Cambria" w:eastAsia="Times New Roman" w:hAnsi="Cambria" w:cs="Times New Roman"/>
      <w:b/>
      <w:bCs/>
      <w:color w:val="7F7F7F"/>
      <w:lang w:bidi="en-US"/>
    </w:rPr>
  </w:style>
  <w:style w:type="character" w:customStyle="1" w:styleId="Heading6Char">
    <w:name w:val="Heading 6 Char"/>
    <w:basedOn w:val="DefaultParagraphFont"/>
    <w:link w:val="Heading6"/>
    <w:rsid w:val="00F14B40"/>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rsid w:val="00F14B40"/>
    <w:rPr>
      <w:rFonts w:ascii="Cambria" w:eastAsia="Times New Roman" w:hAnsi="Cambria" w:cs="Times New Roman"/>
      <w:i/>
      <w:iCs/>
      <w:lang w:bidi="en-US"/>
    </w:rPr>
  </w:style>
  <w:style w:type="character" w:customStyle="1" w:styleId="Heading8Char">
    <w:name w:val="Heading 8 Char"/>
    <w:basedOn w:val="DefaultParagraphFont"/>
    <w:link w:val="Heading8"/>
    <w:rsid w:val="00F14B40"/>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F14B40"/>
    <w:rPr>
      <w:rFonts w:ascii="Cambria" w:eastAsia="Times New Roman" w:hAnsi="Cambria" w:cs="Times New Roman"/>
      <w:i/>
      <w:iCs/>
      <w:spacing w:val="5"/>
      <w:sz w:val="20"/>
      <w:szCs w:val="20"/>
      <w:lang w:bidi="en-US"/>
    </w:rPr>
  </w:style>
  <w:style w:type="paragraph" w:styleId="ListParagraph">
    <w:name w:val="List Paragraph"/>
    <w:basedOn w:val="Normal"/>
    <w:uiPriority w:val="34"/>
    <w:qFormat/>
    <w:rsid w:val="00F14B40"/>
    <w:pPr>
      <w:contextualSpacing/>
    </w:pPr>
  </w:style>
  <w:style w:type="paragraph" w:styleId="TOCHeading">
    <w:name w:val="TOC Heading"/>
    <w:basedOn w:val="Heading1"/>
    <w:next w:val="Normal"/>
    <w:uiPriority w:val="39"/>
    <w:semiHidden/>
    <w:unhideWhenUsed/>
    <w:qFormat/>
    <w:rsid w:val="00F14B40"/>
    <w:pPr>
      <w:keepLines/>
      <w:numPr>
        <w:numId w:val="0"/>
      </w:numPr>
      <w:spacing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character" w:styleId="Hyperlink">
    <w:name w:val="Hyperlink"/>
    <w:basedOn w:val="DefaultParagraphFont"/>
    <w:unhideWhenUsed/>
    <w:rsid w:val="00E504F6"/>
    <w:rPr>
      <w:color w:val="0000FF"/>
      <w:u w:val="single"/>
    </w:rPr>
  </w:style>
  <w:style w:type="character" w:customStyle="1" w:styleId="jrnl">
    <w:name w:val="jrnl"/>
    <w:basedOn w:val="DefaultParagraphFont"/>
    <w:rsid w:val="00E504F6"/>
    <w:rPr>
      <w:rFonts w:cs="Times New Roman"/>
    </w:rPr>
  </w:style>
  <w:style w:type="paragraph" w:customStyle="1" w:styleId="title1">
    <w:name w:val="title1"/>
    <w:basedOn w:val="Normal"/>
    <w:rsid w:val="00E504F6"/>
    <w:pPr>
      <w:ind w:left="0" w:firstLine="0"/>
      <w:jc w:val="left"/>
    </w:pPr>
    <w:rPr>
      <w:rFonts w:ascii="Times New Roman" w:eastAsia="SimSun" w:hAnsi="Times New Roman" w:cs="Times New Roman"/>
      <w:sz w:val="29"/>
      <w:szCs w:val="29"/>
      <w:lang w:val="en-GB" w:eastAsia="zh-CN"/>
    </w:rPr>
  </w:style>
  <w:style w:type="paragraph" w:styleId="BodyText">
    <w:name w:val="Body Text"/>
    <w:basedOn w:val="Normal"/>
    <w:link w:val="BodyTextChar"/>
    <w:rsid w:val="00E504F6"/>
    <w:pPr>
      <w:spacing w:after="120"/>
      <w:ind w:left="0" w:firstLine="0"/>
      <w:jc w:val="left"/>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rsid w:val="00E504F6"/>
    <w:rPr>
      <w:rFonts w:ascii="Times New Roman" w:eastAsia="Times New Roman" w:hAnsi="Times New Roman" w:cs="Times New Roman"/>
      <w:sz w:val="24"/>
      <w:szCs w:val="24"/>
    </w:rPr>
  </w:style>
  <w:style w:type="paragraph" w:customStyle="1" w:styleId="desc1">
    <w:name w:val="desc1"/>
    <w:basedOn w:val="Normal"/>
    <w:rsid w:val="00E504F6"/>
    <w:pPr>
      <w:spacing w:before="100" w:beforeAutospacing="1" w:after="100" w:afterAutospacing="1"/>
      <w:ind w:left="0" w:firstLine="0"/>
      <w:jc w:val="left"/>
    </w:pPr>
    <w:rPr>
      <w:rFonts w:ascii="Times New Roman" w:eastAsia="SimSun" w:hAnsi="Times New Roman" w:cs="Times New Roman"/>
      <w:sz w:val="28"/>
      <w:szCs w:val="28"/>
      <w:lang w:val="en-GB" w:eastAsia="zh-CN"/>
    </w:rPr>
  </w:style>
  <w:style w:type="paragraph" w:customStyle="1" w:styleId="details1">
    <w:name w:val="details1"/>
    <w:basedOn w:val="Normal"/>
    <w:rsid w:val="00E504F6"/>
    <w:pPr>
      <w:spacing w:before="100" w:beforeAutospacing="1" w:after="100" w:afterAutospacing="1"/>
      <w:ind w:left="0" w:firstLine="0"/>
      <w:jc w:val="left"/>
    </w:pPr>
    <w:rPr>
      <w:rFonts w:ascii="Times New Roman" w:eastAsia="SimSun" w:hAnsi="Times New Roman" w:cs="Times New Roman"/>
      <w:szCs w:val="24"/>
      <w:lang w:val="en-GB" w:eastAsia="zh-CN"/>
    </w:rPr>
  </w:style>
  <w:style w:type="paragraph" w:styleId="BalloonText">
    <w:name w:val="Balloon Text"/>
    <w:basedOn w:val="Normal"/>
    <w:link w:val="BalloonTextChar"/>
    <w:uiPriority w:val="99"/>
    <w:semiHidden/>
    <w:unhideWhenUsed/>
    <w:rsid w:val="00E504F6"/>
    <w:rPr>
      <w:rFonts w:ascii="Tahoma" w:hAnsi="Tahoma" w:cs="Tahoma"/>
      <w:sz w:val="16"/>
      <w:szCs w:val="16"/>
    </w:rPr>
  </w:style>
  <w:style w:type="character" w:customStyle="1" w:styleId="BalloonTextChar">
    <w:name w:val="Balloon Text Char"/>
    <w:basedOn w:val="DefaultParagraphFont"/>
    <w:link w:val="BalloonText"/>
    <w:uiPriority w:val="99"/>
    <w:semiHidden/>
    <w:rsid w:val="00E504F6"/>
    <w:rPr>
      <w:rFonts w:ascii="Tahoma" w:eastAsia="Calibri" w:hAnsi="Tahoma" w:cs="Tahoma"/>
      <w:sz w:val="16"/>
      <w:szCs w:val="16"/>
      <w:lang w:val="es-CO"/>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ncbi.nlm.nih.gov/pubmed/17253053" TargetMode="External"/><Relationship Id="rId18" Type="http://schemas.openxmlformats.org/officeDocument/2006/relationships/hyperlink" Target="http://www.ncbi.nlm.nih.gov/pubmed?term=%22Villarroel%20E%22%5BAuthor%5D" TargetMode="External"/><Relationship Id="rId3" Type="http://schemas.openxmlformats.org/officeDocument/2006/relationships/settings" Target="settings.xml"/><Relationship Id="rId21" Type="http://schemas.openxmlformats.org/officeDocument/2006/relationships/hyperlink" Target="http://www.ncbi.nlm.nih.gov/pubmed?term=%22Mazzarri%20M%22%5BAuthor%5D" TargetMode="External"/><Relationship Id="rId7" Type="http://schemas.openxmlformats.org/officeDocument/2006/relationships/image" Target="media/image3.jpeg"/><Relationship Id="rId12" Type="http://schemas.openxmlformats.org/officeDocument/2006/relationships/chart" Target="charts/chart3.xml"/><Relationship Id="rId17" Type="http://schemas.openxmlformats.org/officeDocument/2006/relationships/hyperlink" Target="http://www.ncbi.nlm.nih.gov/pubmed?term=%22Zulueta%20AM%22%5BAuthor%5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cbi.nlm.nih.gov/pubmed/8249076" TargetMode="External"/><Relationship Id="rId20" Type="http://schemas.openxmlformats.org/officeDocument/2006/relationships/hyperlink" Target="http://www.ncbi.nlm.nih.gov/pubmed?term=%22Feliciangeli%20MD%22%5BAuthor%5D"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ncbi.nlm.nih.gov/pubmed/10881116" TargetMode="External"/><Relationship Id="rId23" Type="http://schemas.openxmlformats.org/officeDocument/2006/relationships/hyperlink" Target="http://www.ncbi.nlm.nih.gov/pubmed/11132371" TargetMode="External"/><Relationship Id="rId10" Type="http://schemas.openxmlformats.org/officeDocument/2006/relationships/chart" Target="charts/chart1.xml"/><Relationship Id="rId19" Type="http://schemas.openxmlformats.org/officeDocument/2006/relationships/hyperlink" Target="http://www.ncbi.nlm.nih.gov/pubmed?term=%22Rodriguez%20N%22%5BAuthor%5D"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ncbi.nlm.nih.gov/pubmed/9698836" TargetMode="External"/><Relationship Id="rId22" Type="http://schemas.openxmlformats.org/officeDocument/2006/relationships/hyperlink" Target="http://www.ncbi.nlm.nih.gov/pubmed?term=leishmaniasis%2C%20venezuela%2C%20zuluet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25"/>
      <c:hPercent val="30"/>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8.4070796460176997E-2"/>
          <c:y val="6.363636363636363E-2"/>
          <c:w val="0.9011799410029494"/>
          <c:h val="0.70454545454545492"/>
        </c:manualLayout>
      </c:layout>
      <c:bar3DChart>
        <c:barDir val="col"/>
        <c:grouping val="clustered"/>
        <c:ser>
          <c:idx val="0"/>
          <c:order val="0"/>
          <c:tx>
            <c:strRef>
              <c:f>Sheet1!$A$2</c:f>
              <c:strCache>
                <c:ptCount val="1"/>
                <c:pt idx="0">
                  <c:v>cases</c:v>
                </c:pt>
              </c:strCache>
            </c:strRef>
          </c:tx>
          <c:spPr>
            <a:solidFill>
              <a:srgbClr val="4F81BD"/>
            </a:solidFill>
            <a:ln w="12653">
              <a:solidFill>
                <a:srgbClr val="000000"/>
              </a:solidFill>
              <a:prstDash val="solid"/>
            </a:ln>
          </c:spPr>
          <c:cat>
            <c:numRef>
              <c:f>Sheet1!$B$1:$R$1</c:f>
              <c:numCache>
                <c:formatCode>General</c:formatCode>
                <c:ptCount val="16"/>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numCache>
            </c:numRef>
          </c:cat>
          <c:val>
            <c:numRef>
              <c:f>Sheet1!$B$2:$R$2</c:f>
              <c:numCache>
                <c:formatCode>General</c:formatCode>
                <c:ptCount val="16"/>
                <c:pt idx="0">
                  <c:v>30</c:v>
                </c:pt>
                <c:pt idx="1">
                  <c:v>41</c:v>
                </c:pt>
                <c:pt idx="2">
                  <c:v>33</c:v>
                </c:pt>
                <c:pt idx="3">
                  <c:v>34</c:v>
                </c:pt>
                <c:pt idx="4">
                  <c:v>46</c:v>
                </c:pt>
                <c:pt idx="5">
                  <c:v>52</c:v>
                </c:pt>
                <c:pt idx="6">
                  <c:v>36</c:v>
                </c:pt>
                <c:pt idx="7">
                  <c:v>28</c:v>
                </c:pt>
                <c:pt idx="8">
                  <c:v>40</c:v>
                </c:pt>
                <c:pt idx="9">
                  <c:v>67</c:v>
                </c:pt>
                <c:pt idx="10">
                  <c:v>58</c:v>
                </c:pt>
                <c:pt idx="11">
                  <c:v>41</c:v>
                </c:pt>
                <c:pt idx="12">
                  <c:v>17</c:v>
                </c:pt>
                <c:pt idx="13">
                  <c:v>18</c:v>
                </c:pt>
                <c:pt idx="14">
                  <c:v>15</c:v>
                </c:pt>
                <c:pt idx="15">
                  <c:v>15</c:v>
                </c:pt>
              </c:numCache>
            </c:numRef>
          </c:val>
        </c:ser>
        <c:gapDepth val="0"/>
        <c:shape val="box"/>
        <c:axId val="524718080"/>
        <c:axId val="524721152"/>
        <c:axId val="0"/>
      </c:bar3DChart>
      <c:catAx>
        <c:axId val="524718080"/>
        <c:scaling>
          <c:orientation val="minMax"/>
        </c:scaling>
        <c:axPos val="b"/>
        <c:numFmt formatCode="General" sourceLinked="1"/>
        <c:tickLblPos val="low"/>
        <c:spPr>
          <a:ln w="3163">
            <a:solidFill>
              <a:srgbClr val="000000"/>
            </a:solidFill>
            <a:prstDash val="solid"/>
          </a:ln>
        </c:spPr>
        <c:txPr>
          <a:bodyPr rot="0" vert="horz"/>
          <a:lstStyle/>
          <a:p>
            <a:pPr>
              <a:defRPr sz="797" b="1" i="0" u="none" strike="noStrike" baseline="0">
                <a:solidFill>
                  <a:srgbClr val="000000"/>
                </a:solidFill>
                <a:latin typeface="Arial"/>
                <a:ea typeface="Arial"/>
                <a:cs typeface="Arial"/>
              </a:defRPr>
            </a:pPr>
            <a:endParaRPr lang="en-US"/>
          </a:p>
        </c:txPr>
        <c:crossAx val="524721152"/>
        <c:crosses val="autoZero"/>
        <c:auto val="1"/>
        <c:lblAlgn val="ctr"/>
        <c:lblOffset val="100"/>
        <c:tickLblSkip val="1"/>
        <c:tickMarkSkip val="1"/>
      </c:catAx>
      <c:valAx>
        <c:axId val="524721152"/>
        <c:scaling>
          <c:orientation val="minMax"/>
        </c:scaling>
        <c:axPos val="l"/>
        <c:numFmt formatCode="General" sourceLinked="1"/>
        <c:tickLblPos val="nextTo"/>
        <c:spPr>
          <a:ln w="3163">
            <a:solidFill>
              <a:srgbClr val="000000"/>
            </a:solidFill>
            <a:prstDash val="solid"/>
          </a:ln>
        </c:spPr>
        <c:txPr>
          <a:bodyPr rot="0" vert="horz"/>
          <a:lstStyle/>
          <a:p>
            <a:pPr>
              <a:defRPr sz="797" b="1" i="0" u="none" strike="noStrike" baseline="0">
                <a:solidFill>
                  <a:srgbClr val="000000"/>
                </a:solidFill>
                <a:latin typeface="Arial"/>
                <a:ea typeface="Arial"/>
                <a:cs typeface="Arial"/>
              </a:defRPr>
            </a:pPr>
            <a:endParaRPr lang="en-US"/>
          </a:p>
        </c:txPr>
        <c:crossAx val="524718080"/>
        <c:crosses val="autoZero"/>
        <c:crossBetween val="between"/>
      </c:valAx>
      <c:dTable>
        <c:showHorzBorder val="1"/>
        <c:showVertBorder val="1"/>
        <c:showOutline val="1"/>
        <c:showKeys val="1"/>
        <c:spPr>
          <a:ln w="3163">
            <a:solidFill>
              <a:srgbClr val="000000"/>
            </a:solidFill>
            <a:prstDash val="solid"/>
          </a:ln>
        </c:spPr>
        <c:txPr>
          <a:bodyPr/>
          <a:lstStyle/>
          <a:p>
            <a:pPr rtl="0">
              <a:defRPr sz="797" b="0" i="0" u="none" strike="noStrike" baseline="0">
                <a:solidFill>
                  <a:srgbClr val="000000"/>
                </a:solidFill>
                <a:latin typeface="Arial"/>
                <a:ea typeface="Arial"/>
                <a:cs typeface="Arial"/>
              </a:defRPr>
            </a:pPr>
            <a:endParaRPr lang="en-US"/>
          </a:p>
        </c:txPr>
      </c:dTable>
      <c:spPr>
        <a:noFill/>
        <a:ln w="25306">
          <a:noFill/>
        </a:ln>
      </c:spPr>
    </c:plotArea>
    <c:plotVisOnly val="1"/>
    <c:dispBlanksAs val="gap"/>
  </c:chart>
  <c:spPr>
    <a:noFill/>
    <a:ln>
      <a:noFill/>
    </a:ln>
  </c:spPr>
  <c:txPr>
    <a:bodyPr/>
    <a:lstStyle/>
    <a:p>
      <a:pPr>
        <a:defRPr sz="797" b="1"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autoTitleDeleted val="1"/>
    <c:view3D>
      <c:hPercent val="26"/>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8.4295612009237922E-2"/>
          <c:y val="6.666666666666668E-2"/>
          <c:w val="0.90415704387990758"/>
          <c:h val="0.72083333333333355"/>
        </c:manualLayout>
      </c:layout>
      <c:bar3DChart>
        <c:barDir val="col"/>
        <c:grouping val="clustered"/>
        <c:ser>
          <c:idx val="0"/>
          <c:order val="0"/>
          <c:tx>
            <c:strRef>
              <c:f>Sheet1!$A$2</c:f>
              <c:strCache>
                <c:ptCount val="1"/>
                <c:pt idx="0">
                  <c:v>CL cases</c:v>
                </c:pt>
              </c:strCache>
            </c:strRef>
          </c:tx>
          <c:spPr>
            <a:solidFill>
              <a:srgbClr val="0066CC"/>
            </a:solidFill>
            <a:ln w="12631">
              <a:solidFill>
                <a:srgbClr val="000000"/>
              </a:solidFill>
              <a:prstDash val="solid"/>
            </a:ln>
          </c:spPr>
          <c:cat>
            <c:numRef>
              <c:f>Sheet1!$B$1:$V$1</c:f>
              <c:numCache>
                <c:formatCode>General</c:formatCode>
                <c:ptCount val="2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numCache>
            </c:numRef>
          </c:cat>
          <c:val>
            <c:numRef>
              <c:f>Sheet1!$B$2:$V$2</c:f>
              <c:numCache>
                <c:formatCode>General</c:formatCode>
                <c:ptCount val="21"/>
                <c:pt idx="0">
                  <c:v>2018</c:v>
                </c:pt>
                <c:pt idx="1">
                  <c:v>2304</c:v>
                </c:pt>
                <c:pt idx="2">
                  <c:v>2426</c:v>
                </c:pt>
                <c:pt idx="3">
                  <c:v>2894</c:v>
                </c:pt>
                <c:pt idx="4">
                  <c:v>2582</c:v>
                </c:pt>
                <c:pt idx="5">
                  <c:v>2260</c:v>
                </c:pt>
                <c:pt idx="6">
                  <c:v>2401</c:v>
                </c:pt>
                <c:pt idx="7">
                  <c:v>1677</c:v>
                </c:pt>
                <c:pt idx="8">
                  <c:v>1701</c:v>
                </c:pt>
                <c:pt idx="9">
                  <c:v>2717</c:v>
                </c:pt>
                <c:pt idx="10">
                  <c:v>2638</c:v>
                </c:pt>
                <c:pt idx="11">
                  <c:v>2684</c:v>
                </c:pt>
                <c:pt idx="12">
                  <c:v>2506</c:v>
                </c:pt>
                <c:pt idx="13">
                  <c:v>3023</c:v>
                </c:pt>
                <c:pt idx="14">
                  <c:v>2519</c:v>
                </c:pt>
                <c:pt idx="15">
                  <c:v>2550</c:v>
                </c:pt>
                <c:pt idx="16">
                  <c:v>2553</c:v>
                </c:pt>
                <c:pt idx="17">
                  <c:v>2464</c:v>
                </c:pt>
                <c:pt idx="18">
                  <c:v>2392</c:v>
                </c:pt>
                <c:pt idx="19">
                  <c:v>2248</c:v>
                </c:pt>
                <c:pt idx="20">
                  <c:v>1952</c:v>
                </c:pt>
              </c:numCache>
            </c:numRef>
          </c:val>
        </c:ser>
        <c:gapDepth val="0"/>
        <c:shape val="box"/>
        <c:axId val="525491584"/>
        <c:axId val="525526144"/>
        <c:axId val="0"/>
      </c:bar3DChart>
      <c:catAx>
        <c:axId val="525491584"/>
        <c:scaling>
          <c:orientation val="minMax"/>
        </c:scaling>
        <c:axPos val="b"/>
        <c:numFmt formatCode="General" sourceLinked="1"/>
        <c:tickLblPos val="low"/>
        <c:spPr>
          <a:ln w="3158">
            <a:solidFill>
              <a:srgbClr val="000000"/>
            </a:solidFill>
            <a:prstDash val="solid"/>
          </a:ln>
        </c:spPr>
        <c:txPr>
          <a:bodyPr rot="0" vert="horz"/>
          <a:lstStyle/>
          <a:p>
            <a:pPr>
              <a:defRPr sz="1019" b="1" i="0" u="none" strike="noStrike" baseline="0">
                <a:solidFill>
                  <a:srgbClr val="000000"/>
                </a:solidFill>
                <a:latin typeface="Arial"/>
                <a:ea typeface="Arial"/>
                <a:cs typeface="Arial"/>
              </a:defRPr>
            </a:pPr>
            <a:endParaRPr lang="en-US"/>
          </a:p>
        </c:txPr>
        <c:crossAx val="525526144"/>
        <c:crosses val="autoZero"/>
        <c:auto val="1"/>
        <c:lblAlgn val="ctr"/>
        <c:lblOffset val="100"/>
        <c:tickLblSkip val="2"/>
        <c:tickMarkSkip val="1"/>
      </c:catAx>
      <c:valAx>
        <c:axId val="525526144"/>
        <c:scaling>
          <c:orientation val="minMax"/>
        </c:scaling>
        <c:axPos val="l"/>
        <c:numFmt formatCode="General" sourceLinked="1"/>
        <c:tickLblPos val="nextTo"/>
        <c:spPr>
          <a:ln w="3158">
            <a:solidFill>
              <a:srgbClr val="000000"/>
            </a:solidFill>
            <a:prstDash val="solid"/>
          </a:ln>
        </c:spPr>
        <c:txPr>
          <a:bodyPr rot="0" vert="horz"/>
          <a:lstStyle/>
          <a:p>
            <a:pPr>
              <a:defRPr sz="845" b="1" i="0" u="none" strike="noStrike" baseline="0">
                <a:solidFill>
                  <a:srgbClr val="000000"/>
                </a:solidFill>
                <a:latin typeface="Arial"/>
                <a:ea typeface="Arial"/>
                <a:cs typeface="Arial"/>
              </a:defRPr>
            </a:pPr>
            <a:endParaRPr lang="en-US"/>
          </a:p>
        </c:txPr>
        <c:crossAx val="525491584"/>
        <c:crosses val="autoZero"/>
        <c:crossBetween val="between"/>
      </c:valAx>
      <c:dTable>
        <c:showHorzBorder val="1"/>
        <c:showVertBorder val="1"/>
        <c:showOutline val="1"/>
        <c:showKeys val="1"/>
        <c:spPr>
          <a:ln w="3158">
            <a:solidFill>
              <a:srgbClr val="000000"/>
            </a:solidFill>
            <a:prstDash val="solid"/>
          </a:ln>
        </c:spPr>
        <c:txPr>
          <a:bodyPr/>
          <a:lstStyle/>
          <a:p>
            <a:pPr rtl="0">
              <a:defRPr sz="796" b="0" i="0" u="none" strike="noStrike" baseline="0">
                <a:solidFill>
                  <a:srgbClr val="000000"/>
                </a:solidFill>
                <a:latin typeface="Arial"/>
                <a:ea typeface="Arial"/>
                <a:cs typeface="Arial"/>
              </a:defRPr>
            </a:pPr>
            <a:endParaRPr lang="en-US"/>
          </a:p>
        </c:txPr>
      </c:dTable>
      <c:spPr>
        <a:noFill/>
        <a:ln w="25263">
          <a:noFill/>
        </a:ln>
      </c:spPr>
    </c:plotArea>
    <c:plotVisOnly val="1"/>
    <c:dispBlanksAs val="gap"/>
  </c:chart>
  <c:spPr>
    <a:noFill/>
    <a:ln>
      <a:noFill/>
    </a:ln>
  </c:spPr>
  <c:txPr>
    <a:bodyPr/>
    <a:lstStyle/>
    <a:p>
      <a:pPr>
        <a:defRPr sz="1019" b="1"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25"/>
      <c:hPercent val="28"/>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11035422343324254"/>
          <c:y val="6.4220183486238536E-2"/>
          <c:w val="0.87602179836512284"/>
          <c:h val="0.70183486238532133"/>
        </c:manualLayout>
      </c:layout>
      <c:bar3DChart>
        <c:barDir val="col"/>
        <c:grouping val="clustered"/>
        <c:ser>
          <c:idx val="0"/>
          <c:order val="0"/>
          <c:tx>
            <c:strRef>
              <c:f>Sheet1!$A$2</c:f>
              <c:strCache>
                <c:ptCount val="1"/>
                <c:pt idx="0">
                  <c:v>MCL cases</c:v>
                </c:pt>
              </c:strCache>
            </c:strRef>
          </c:tx>
          <c:spPr>
            <a:solidFill>
              <a:srgbClr val="4F81BD"/>
            </a:solidFill>
            <a:ln w="12688">
              <a:solidFill>
                <a:srgbClr val="000000"/>
              </a:solidFill>
              <a:prstDash val="solid"/>
            </a:ln>
          </c:spPr>
          <c:cat>
            <c:numRef>
              <c:f>Sheet1!$B$1:$R$1</c:f>
              <c:numCache>
                <c:formatCode>General</c:formatCode>
                <c:ptCount val="17"/>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numCache>
            </c:numRef>
          </c:cat>
          <c:val>
            <c:numRef>
              <c:f>Sheet1!$B$2:$R$2</c:f>
              <c:numCache>
                <c:formatCode>General</c:formatCode>
                <c:ptCount val="17"/>
                <c:pt idx="0">
                  <c:v>21</c:v>
                </c:pt>
                <c:pt idx="1">
                  <c:v>10</c:v>
                </c:pt>
                <c:pt idx="2">
                  <c:v>23</c:v>
                </c:pt>
                <c:pt idx="3">
                  <c:v>22</c:v>
                </c:pt>
                <c:pt idx="4">
                  <c:v>16</c:v>
                </c:pt>
                <c:pt idx="5">
                  <c:v>31</c:v>
                </c:pt>
                <c:pt idx="6">
                  <c:v>23</c:v>
                </c:pt>
                <c:pt idx="7">
                  <c:v>39</c:v>
                </c:pt>
                <c:pt idx="8">
                  <c:v>48</c:v>
                </c:pt>
                <c:pt idx="9">
                  <c:v>11</c:v>
                </c:pt>
                <c:pt idx="10">
                  <c:v>18</c:v>
                </c:pt>
                <c:pt idx="11">
                  <c:v>13</c:v>
                </c:pt>
                <c:pt idx="12">
                  <c:v>26</c:v>
                </c:pt>
                <c:pt idx="13">
                  <c:v>20</c:v>
                </c:pt>
                <c:pt idx="14">
                  <c:v>40</c:v>
                </c:pt>
                <c:pt idx="15">
                  <c:v>25</c:v>
                </c:pt>
                <c:pt idx="16">
                  <c:v>12</c:v>
                </c:pt>
              </c:numCache>
            </c:numRef>
          </c:val>
        </c:ser>
        <c:gapDepth val="0"/>
        <c:shape val="box"/>
        <c:axId val="572839040"/>
        <c:axId val="572840576"/>
        <c:axId val="0"/>
      </c:bar3DChart>
      <c:catAx>
        <c:axId val="572839040"/>
        <c:scaling>
          <c:orientation val="minMax"/>
        </c:scaling>
        <c:axPos val="b"/>
        <c:numFmt formatCode="General" sourceLinked="1"/>
        <c:tickLblPos val="low"/>
        <c:spPr>
          <a:ln w="3172">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572840576"/>
        <c:crosses val="autoZero"/>
        <c:auto val="1"/>
        <c:lblAlgn val="ctr"/>
        <c:lblOffset val="100"/>
        <c:tickLblSkip val="1"/>
        <c:tickMarkSkip val="1"/>
      </c:catAx>
      <c:valAx>
        <c:axId val="572840576"/>
        <c:scaling>
          <c:orientation val="minMax"/>
        </c:scaling>
        <c:axPos val="l"/>
        <c:numFmt formatCode="General" sourceLinked="1"/>
        <c:tickLblPos val="nextTo"/>
        <c:spPr>
          <a:ln w="3172">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572839040"/>
        <c:crosses val="autoZero"/>
        <c:crossBetween val="between"/>
      </c:valAx>
      <c:dTable>
        <c:showHorzBorder val="1"/>
        <c:showVertBorder val="1"/>
        <c:showOutline val="1"/>
        <c:showKeys val="1"/>
        <c:spPr>
          <a:ln w="3172">
            <a:solidFill>
              <a:srgbClr val="000000"/>
            </a:solidFill>
            <a:prstDash val="solid"/>
          </a:ln>
        </c:spPr>
        <c:txPr>
          <a:bodyPr/>
          <a:lstStyle/>
          <a:p>
            <a:pPr rtl="0">
              <a:defRPr sz="799" b="0" i="0" u="none" strike="noStrike" baseline="0">
                <a:solidFill>
                  <a:srgbClr val="000000"/>
                </a:solidFill>
                <a:latin typeface="Arial"/>
                <a:ea typeface="Arial"/>
                <a:cs typeface="Arial"/>
              </a:defRPr>
            </a:pPr>
            <a:endParaRPr lang="en-US"/>
          </a:p>
        </c:txPr>
      </c:dTable>
      <c:spPr>
        <a:noFill/>
        <a:ln w="25376">
          <a:noFill/>
        </a:ln>
      </c:spPr>
    </c:plotArea>
    <c:plotVisOnly val="1"/>
    <c:dispBlanksAs val="gap"/>
  </c:chart>
  <c:spPr>
    <a:noFill/>
    <a:ln>
      <a:noFill/>
    </a:ln>
  </c:spPr>
  <c:txPr>
    <a:bodyPr/>
    <a:lstStyle/>
    <a:p>
      <a:pPr>
        <a:defRPr sz="799"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1384</Words>
  <Characters>7895</Characters>
  <Application>Microsoft Office Word</Application>
  <DocSecurity>0</DocSecurity>
  <Lines>65</Lines>
  <Paragraphs>18</Paragraphs>
  <ScaleCrop>false</ScaleCrop>
  <Company/>
  <LinksUpToDate>false</LinksUpToDate>
  <CharactersWithSpaces>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2012-04-02T19:01:00Z</dcterms:created>
  <dcterms:modified xsi:type="dcterms:W3CDTF">2012-04-02T19:04:00Z</dcterms:modified>
</cp:coreProperties>
</file>