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rsidTr="00E341E9">
        <w:tc>
          <w:tcPr>
            <w:tcW w:w="1951" w:type="dxa"/>
          </w:tcPr>
          <w:p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E341E9">
        <w:tc>
          <w:tcPr>
            <w:tcW w:w="1951" w:type="dxa"/>
            <w:vMerge w:val="restart"/>
          </w:tcPr>
          <w:p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rsidR="00191A23" w:rsidRPr="0022554A" w:rsidRDefault="00171FE4" w:rsidP="0022554A">
            <w:pPr>
              <w:tabs>
                <w:tab w:val="left" w:pos="5400"/>
              </w:tabs>
              <w:rPr>
                <w:sz w:val="20"/>
              </w:rPr>
            </w:pPr>
            <w:r>
              <w:rPr>
                <w:sz w:val="20"/>
              </w:rPr>
              <w:t xml:space="preserve">             </w:t>
            </w:r>
            <w:r w:rsidR="003127E5">
              <w:rPr>
                <w:sz w:val="20"/>
              </w:rPr>
              <w:t>1</w:t>
            </w:r>
          </w:p>
        </w:tc>
        <w:tc>
          <w:tcPr>
            <w:tcW w:w="2835" w:type="dxa"/>
          </w:tcPr>
          <w:p w:rsidR="00191A23" w:rsidRPr="0022554A" w:rsidRDefault="00EC67EB" w:rsidP="00171FE4">
            <w:pPr>
              <w:tabs>
                <w:tab w:val="left" w:pos="5400"/>
              </w:tabs>
              <w:jc w:val="center"/>
              <w:rPr>
                <w:sz w:val="20"/>
              </w:rPr>
            </w:pPr>
            <w:r>
              <w:rPr>
                <w:sz w:val="20"/>
              </w:rPr>
              <w:t>Title; Abstract, methods sub-section</w:t>
            </w:r>
          </w:p>
        </w:tc>
      </w:tr>
      <w:tr w:rsidR="00191A23" w:rsidRPr="0022554A" w:rsidTr="00E341E9">
        <w:tc>
          <w:tcPr>
            <w:tcW w:w="1951" w:type="dxa"/>
            <w:vMerge/>
          </w:tcPr>
          <w:p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rsidR="00191A23" w:rsidRPr="0022554A" w:rsidRDefault="00C063CB" w:rsidP="00171FE4">
            <w:pPr>
              <w:tabs>
                <w:tab w:val="left" w:pos="5400"/>
              </w:tabs>
              <w:jc w:val="center"/>
              <w:rPr>
                <w:sz w:val="20"/>
              </w:rPr>
            </w:pPr>
            <w:r>
              <w:rPr>
                <w:sz w:val="20"/>
              </w:rPr>
              <w:t>1-</w:t>
            </w:r>
            <w:r w:rsidR="00171FE4">
              <w:rPr>
                <w:sz w:val="20"/>
              </w:rPr>
              <w:t>2</w:t>
            </w:r>
          </w:p>
        </w:tc>
        <w:tc>
          <w:tcPr>
            <w:tcW w:w="2835" w:type="dxa"/>
          </w:tcPr>
          <w:p w:rsidR="00191A23" w:rsidRPr="00171FE4" w:rsidRDefault="00EC67EB" w:rsidP="00171FE4">
            <w:pPr>
              <w:tabs>
                <w:tab w:val="left" w:pos="5400"/>
              </w:tabs>
              <w:jc w:val="center"/>
              <w:rPr>
                <w:sz w:val="20"/>
              </w:rPr>
            </w:pPr>
            <w:r>
              <w:rPr>
                <w:sz w:val="20"/>
              </w:rPr>
              <w:t>Abstract, methods and conclusions/significance sub-section</w:t>
            </w: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rsidR="00191A23" w:rsidRPr="0022554A" w:rsidRDefault="00191A23" w:rsidP="0022554A">
            <w:pPr>
              <w:tabs>
                <w:tab w:val="left" w:pos="5400"/>
              </w:tabs>
              <w:jc w:val="center"/>
              <w:rPr>
                <w:sz w:val="20"/>
              </w:rPr>
            </w:pPr>
            <w:r w:rsidRPr="0022554A">
              <w:rPr>
                <w:sz w:val="20"/>
              </w:rPr>
              <w:t>2</w:t>
            </w:r>
          </w:p>
        </w:tc>
        <w:tc>
          <w:tcPr>
            <w:tcW w:w="803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rsidR="00191A23" w:rsidRPr="0022554A" w:rsidRDefault="00171FE4" w:rsidP="00171FE4">
            <w:pPr>
              <w:tabs>
                <w:tab w:val="left" w:pos="5400"/>
              </w:tabs>
              <w:jc w:val="center"/>
              <w:rPr>
                <w:sz w:val="20"/>
              </w:rPr>
            </w:pPr>
            <w:r>
              <w:rPr>
                <w:sz w:val="20"/>
              </w:rPr>
              <w:t>5</w:t>
            </w:r>
          </w:p>
        </w:tc>
        <w:tc>
          <w:tcPr>
            <w:tcW w:w="2835" w:type="dxa"/>
          </w:tcPr>
          <w:p w:rsidR="00191A23" w:rsidRPr="0022554A" w:rsidRDefault="00536CD2" w:rsidP="00536CD2">
            <w:pPr>
              <w:tabs>
                <w:tab w:val="left" w:pos="5400"/>
              </w:tabs>
              <w:rPr>
                <w:sz w:val="20"/>
              </w:rPr>
            </w:pPr>
            <w:r>
              <w:rPr>
                <w:sz w:val="20"/>
              </w:rPr>
              <w:t>Introduction</w:t>
            </w:r>
            <w:r w:rsidR="00EC67EB">
              <w:rPr>
                <w:sz w:val="20"/>
              </w:rPr>
              <w:t>, para 1 o</w:t>
            </w:r>
            <w:r>
              <w:rPr>
                <w:sz w:val="20"/>
              </w:rPr>
              <w:t>f</w:t>
            </w:r>
            <w:r w:rsidR="00EC67EB">
              <w:rPr>
                <w:sz w:val="20"/>
              </w:rPr>
              <w:t xml:space="preserve"> page 5: </w:t>
            </w:r>
            <w:r w:rsidR="00C063CB" w:rsidRPr="00C063CB">
              <w:rPr>
                <w:sz w:val="20"/>
              </w:rPr>
              <w:t>The feasibility of generating district-level data for Ct infection and anti-Ct antibodies and how to interpret it for programmatic decision-making is still to be determined. A better understanding of the age-prevalence profiles in the post-elimination setting is also needed</w:t>
            </w:r>
          </w:p>
        </w:tc>
      </w:tr>
      <w:tr w:rsidR="00191A23" w:rsidRPr="0022554A" w:rsidTr="00E341E9">
        <w:tc>
          <w:tcPr>
            <w:tcW w:w="1951" w:type="dxa"/>
          </w:tcPr>
          <w:p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8031" w:type="dxa"/>
          </w:tcPr>
          <w:p w:rsidR="00191A23" w:rsidRPr="0022554A" w:rsidRDefault="00191A23"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1559" w:type="dxa"/>
          </w:tcPr>
          <w:p w:rsidR="00191A23" w:rsidRPr="0022554A" w:rsidRDefault="00171FE4" w:rsidP="00171FE4">
            <w:pPr>
              <w:tabs>
                <w:tab w:val="left" w:pos="5400"/>
              </w:tabs>
              <w:jc w:val="center"/>
              <w:rPr>
                <w:sz w:val="20"/>
              </w:rPr>
            </w:pPr>
            <w:r>
              <w:rPr>
                <w:sz w:val="20"/>
              </w:rPr>
              <w:t>5</w:t>
            </w:r>
          </w:p>
        </w:tc>
        <w:tc>
          <w:tcPr>
            <w:tcW w:w="2835" w:type="dxa"/>
          </w:tcPr>
          <w:p w:rsidR="00191A23" w:rsidRPr="0022554A" w:rsidRDefault="00536CD2" w:rsidP="00E644F5">
            <w:pPr>
              <w:tabs>
                <w:tab w:val="left" w:pos="5400"/>
              </w:tabs>
              <w:rPr>
                <w:sz w:val="20"/>
              </w:rPr>
            </w:pPr>
            <w:r>
              <w:rPr>
                <w:sz w:val="20"/>
              </w:rPr>
              <w:t>Introduction</w:t>
            </w:r>
            <w:r w:rsidR="00EC67EB">
              <w:rPr>
                <w:sz w:val="20"/>
              </w:rPr>
              <w:t>, para</w:t>
            </w:r>
            <w:r>
              <w:rPr>
                <w:sz w:val="20"/>
              </w:rPr>
              <w:t xml:space="preserve"> 1 of page 5:</w:t>
            </w:r>
            <w:r w:rsidR="00EC67EB">
              <w:rPr>
                <w:sz w:val="20"/>
              </w:rPr>
              <w:t xml:space="preserve"> </w:t>
            </w:r>
            <w:r w:rsidR="00C063CB" w:rsidRPr="00C063CB">
              <w:rPr>
                <w:sz w:val="20"/>
              </w:rPr>
              <w:t xml:space="preserve">We integrated ocular swabs and DBSs into the surveys, providing an opportunity to evaluate the feasibility of using tests for Ct infection and anti-Pgp3 antibodies at scale in a trachoma-endemic country. We also compared antibody data collected by ELISA in Ghana to </w:t>
            </w:r>
            <w:r w:rsidR="00C063CB" w:rsidRPr="00C063CB">
              <w:rPr>
                <w:sz w:val="20"/>
              </w:rPr>
              <w:lastRenderedPageBreak/>
              <w:t xml:space="preserve">MBA data run at the </w:t>
            </w:r>
            <w:proofErr w:type="spellStart"/>
            <w:r w:rsidR="00C063CB" w:rsidRPr="00C063CB">
              <w:rPr>
                <w:sz w:val="20"/>
              </w:rPr>
              <w:t>Centers</w:t>
            </w:r>
            <w:proofErr w:type="spellEnd"/>
            <w:r w:rsidR="00C063CB" w:rsidRPr="00C063CB">
              <w:rPr>
                <w:sz w:val="20"/>
              </w:rPr>
              <w:t xml:space="preserve"> for Disease Control and Prevention (CDC), USA. These data were also used to evaluate whether measures of infection or Pgp3 antibody response have </w:t>
            </w:r>
            <w:proofErr w:type="gramStart"/>
            <w:r w:rsidR="00C063CB" w:rsidRPr="00C063CB">
              <w:rPr>
                <w:sz w:val="20"/>
              </w:rPr>
              <w:t>added value</w:t>
            </w:r>
            <w:proofErr w:type="gramEnd"/>
            <w:r w:rsidR="00C063CB" w:rsidRPr="00C063CB">
              <w:rPr>
                <w:sz w:val="20"/>
              </w:rPr>
              <w:t xml:space="preserve"> for understanding transmission dynamics in the </w:t>
            </w:r>
            <w:proofErr w:type="spellStart"/>
            <w:r w:rsidR="00C063CB" w:rsidRPr="00C063CB">
              <w:rPr>
                <w:sz w:val="20"/>
              </w:rPr>
              <w:t>peri</w:t>
            </w:r>
            <w:proofErr w:type="spellEnd"/>
            <w:r w:rsidR="00C063CB" w:rsidRPr="00C063CB">
              <w:rPr>
                <w:sz w:val="20"/>
              </w:rPr>
              <w:t>-elimination setting.</w:t>
            </w: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lastRenderedPageBreak/>
              <w:t>Methods</w:t>
            </w:r>
          </w:p>
        </w:tc>
        <w:bookmarkEnd w:id="21"/>
        <w:bookmarkEnd w:id="22"/>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8031"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rsidR="00191A23" w:rsidRPr="0022554A" w:rsidRDefault="00C063CB" w:rsidP="0022554A">
            <w:pPr>
              <w:tabs>
                <w:tab w:val="left" w:pos="5400"/>
              </w:tabs>
              <w:rPr>
                <w:sz w:val="20"/>
              </w:rPr>
            </w:pPr>
            <w:r>
              <w:rPr>
                <w:sz w:val="20"/>
              </w:rPr>
              <w:t>6-7</w:t>
            </w:r>
          </w:p>
        </w:tc>
        <w:tc>
          <w:tcPr>
            <w:tcW w:w="2835" w:type="dxa"/>
          </w:tcPr>
          <w:p w:rsidR="00191A23" w:rsidRPr="0022554A" w:rsidRDefault="00536CD2" w:rsidP="00C063CB">
            <w:pPr>
              <w:tabs>
                <w:tab w:val="left" w:pos="5400"/>
              </w:tabs>
              <w:rPr>
                <w:sz w:val="20"/>
              </w:rPr>
            </w:pPr>
            <w:r>
              <w:rPr>
                <w:sz w:val="20"/>
              </w:rPr>
              <w:t xml:space="preserve">Survey design sub-section: </w:t>
            </w:r>
            <w:r w:rsidR="00C063CB" w:rsidRPr="00C063CB">
              <w:rPr>
                <w:sz w:val="20"/>
              </w:rPr>
              <w:t xml:space="preserve">A series of two-stage cluster-sampled population-based surveys </w:t>
            </w:r>
            <w:proofErr w:type="gramStart"/>
            <w:r w:rsidR="00C063CB" w:rsidRPr="00C063CB">
              <w:rPr>
                <w:sz w:val="20"/>
              </w:rPr>
              <w:t>were conducted</w:t>
            </w:r>
            <w:proofErr w:type="gramEnd"/>
            <w:r w:rsidR="00C063CB" w:rsidRPr="00C063CB">
              <w:rPr>
                <w:sz w:val="20"/>
              </w:rPr>
              <w:t xml:space="preserve"> in all 18 EUs as part of the Ghana pre-vali</w:t>
            </w:r>
            <w:r w:rsidR="00C063CB">
              <w:rPr>
                <w:sz w:val="20"/>
              </w:rPr>
              <w:t>dation surveillance process</w:t>
            </w:r>
            <w:r w:rsidR="00C063CB" w:rsidRPr="00C063CB">
              <w:rPr>
                <w:sz w:val="20"/>
              </w:rPr>
              <w:t xml:space="preserve">. A sub-set of nine EUs had additional indicators collected and evaluated, the results of which are the focus of this paper. Clinical, antibody and infection data </w:t>
            </w:r>
            <w:proofErr w:type="gramStart"/>
            <w:r w:rsidR="00C063CB" w:rsidRPr="00C063CB">
              <w:rPr>
                <w:sz w:val="20"/>
              </w:rPr>
              <w:t>were collected</w:t>
            </w:r>
            <w:proofErr w:type="gramEnd"/>
            <w:r w:rsidR="00C063CB" w:rsidRPr="00C063CB">
              <w:rPr>
                <w:sz w:val="20"/>
              </w:rPr>
              <w:t xml:space="preserve"> from six EUs</w:t>
            </w:r>
            <w:r w:rsidR="00C063CB">
              <w:rPr>
                <w:sz w:val="20"/>
              </w:rPr>
              <w:t>.</w:t>
            </w:r>
          </w:p>
        </w:tc>
      </w:tr>
      <w:tr w:rsidR="00191A23" w:rsidRPr="0022554A" w:rsidTr="00E341E9">
        <w:tc>
          <w:tcPr>
            <w:tcW w:w="1951" w:type="dxa"/>
          </w:tcPr>
          <w:p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8031"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rsidR="00191A23" w:rsidRDefault="00A86619" w:rsidP="0022554A">
            <w:pPr>
              <w:tabs>
                <w:tab w:val="left" w:pos="5400"/>
              </w:tabs>
              <w:rPr>
                <w:sz w:val="20"/>
              </w:rPr>
            </w:pPr>
            <w:r>
              <w:rPr>
                <w:sz w:val="20"/>
              </w:rPr>
              <w:t>5</w:t>
            </w:r>
          </w:p>
          <w:p w:rsidR="00A86619" w:rsidRPr="0022554A" w:rsidRDefault="00A86619" w:rsidP="0022554A">
            <w:pPr>
              <w:tabs>
                <w:tab w:val="left" w:pos="5400"/>
              </w:tabs>
              <w:rPr>
                <w:sz w:val="20"/>
              </w:rPr>
            </w:pPr>
          </w:p>
        </w:tc>
        <w:tc>
          <w:tcPr>
            <w:tcW w:w="2835" w:type="dxa"/>
          </w:tcPr>
          <w:p w:rsidR="00191A23" w:rsidRDefault="00536CD2" w:rsidP="0022554A">
            <w:pPr>
              <w:tabs>
                <w:tab w:val="left" w:pos="5400"/>
              </w:tabs>
              <w:rPr>
                <w:sz w:val="20"/>
              </w:rPr>
            </w:pPr>
            <w:r>
              <w:rPr>
                <w:sz w:val="20"/>
              </w:rPr>
              <w:t xml:space="preserve">Study area sub-section of methods </w:t>
            </w:r>
            <w:proofErr w:type="spellStart"/>
            <w:r>
              <w:rPr>
                <w:sz w:val="20"/>
              </w:rPr>
              <w:t>pg</w:t>
            </w:r>
            <w:proofErr w:type="spellEnd"/>
            <w:r>
              <w:rPr>
                <w:sz w:val="20"/>
              </w:rPr>
              <w:t xml:space="preserve"> 5: </w:t>
            </w:r>
            <w:r w:rsidR="00A86619">
              <w:rPr>
                <w:sz w:val="20"/>
              </w:rPr>
              <w:t>Overview of area given</w:t>
            </w:r>
            <w:r w:rsidR="00C063CB">
              <w:rPr>
                <w:sz w:val="20"/>
              </w:rPr>
              <w:t xml:space="preserve"> and map</w:t>
            </w:r>
            <w:r>
              <w:rPr>
                <w:sz w:val="20"/>
              </w:rPr>
              <w:t xml:space="preserve"> (figure 1), dates of survey</w:t>
            </w:r>
          </w:p>
          <w:p w:rsidR="00A86619" w:rsidRPr="0022554A" w:rsidRDefault="00A86619" w:rsidP="0022554A">
            <w:pPr>
              <w:tabs>
                <w:tab w:val="left" w:pos="5400"/>
              </w:tabs>
              <w:rPr>
                <w:sz w:val="20"/>
              </w:rPr>
            </w:pPr>
          </w:p>
        </w:tc>
      </w:tr>
      <w:bookmarkEnd w:id="25"/>
      <w:bookmarkEnd w:id="26"/>
      <w:tr w:rsidR="00191A23" w:rsidRPr="0022554A" w:rsidTr="00E341E9">
        <w:tc>
          <w:tcPr>
            <w:tcW w:w="1951" w:type="dxa"/>
            <w:vMerge w:val="restart"/>
          </w:tcPr>
          <w:p w:rsidR="00191A23" w:rsidRPr="0022554A" w:rsidRDefault="00191A23" w:rsidP="0022554A">
            <w:pPr>
              <w:tabs>
                <w:tab w:val="left" w:pos="5400"/>
              </w:tabs>
              <w:rPr>
                <w:bCs/>
                <w:sz w:val="20"/>
              </w:rPr>
            </w:pPr>
            <w:r w:rsidRPr="0022554A">
              <w:rPr>
                <w:bCs/>
                <w:sz w:val="20"/>
              </w:rPr>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191A23" w:rsidRPr="0022554A" w:rsidRDefault="00191A23" w:rsidP="0022554A">
            <w:pPr>
              <w:tabs>
                <w:tab w:val="left" w:pos="5400"/>
              </w:tabs>
              <w:rPr>
                <w:sz w:val="20"/>
              </w:rPr>
            </w:pPr>
            <w:r w:rsidRPr="0022554A">
              <w:rPr>
                <w:i/>
                <w:sz w:val="20"/>
              </w:rPr>
              <w:lastRenderedPageBreak/>
              <w:t>Case-control study</w:t>
            </w:r>
            <w:r w:rsidRPr="0022554A">
              <w:rPr>
                <w:sz w:val="20"/>
              </w:rPr>
              <w:t>—Give the eligibility criteria, and the sources and methods of case ascertainment and control selection. Give the rationale for the choice of cases and controls</w:t>
            </w:r>
          </w:p>
          <w:p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rsidR="00A86619" w:rsidRDefault="00781822" w:rsidP="0022554A">
            <w:pPr>
              <w:tabs>
                <w:tab w:val="left" w:pos="5400"/>
              </w:tabs>
              <w:rPr>
                <w:sz w:val="20"/>
              </w:rPr>
            </w:pPr>
            <w:r>
              <w:rPr>
                <w:sz w:val="20"/>
              </w:rPr>
              <w:lastRenderedPageBreak/>
              <w:t>6</w:t>
            </w:r>
          </w:p>
          <w:p w:rsidR="00A86619" w:rsidRDefault="00A86619" w:rsidP="0022554A">
            <w:pPr>
              <w:tabs>
                <w:tab w:val="left" w:pos="5400"/>
              </w:tabs>
              <w:rPr>
                <w:sz w:val="20"/>
              </w:rPr>
            </w:pPr>
          </w:p>
          <w:p w:rsidR="00A86619" w:rsidRDefault="00A86619" w:rsidP="0022554A">
            <w:pPr>
              <w:tabs>
                <w:tab w:val="left" w:pos="5400"/>
              </w:tabs>
              <w:rPr>
                <w:sz w:val="20"/>
              </w:rPr>
            </w:pPr>
          </w:p>
          <w:p w:rsidR="00A86619" w:rsidRDefault="00A86619" w:rsidP="0022554A">
            <w:pPr>
              <w:tabs>
                <w:tab w:val="left" w:pos="5400"/>
              </w:tabs>
              <w:rPr>
                <w:sz w:val="20"/>
              </w:rPr>
            </w:pPr>
          </w:p>
          <w:p w:rsidR="00A86619" w:rsidRDefault="00A86619" w:rsidP="0022554A">
            <w:pPr>
              <w:tabs>
                <w:tab w:val="left" w:pos="5400"/>
              </w:tabs>
              <w:rPr>
                <w:sz w:val="20"/>
              </w:rPr>
            </w:pPr>
          </w:p>
          <w:p w:rsidR="00A86619" w:rsidRDefault="00A86619" w:rsidP="0022554A">
            <w:pPr>
              <w:tabs>
                <w:tab w:val="left" w:pos="5400"/>
              </w:tabs>
              <w:rPr>
                <w:sz w:val="20"/>
              </w:rPr>
            </w:pPr>
          </w:p>
          <w:p w:rsidR="00A86619" w:rsidRDefault="00A86619" w:rsidP="0022554A">
            <w:pPr>
              <w:tabs>
                <w:tab w:val="left" w:pos="5400"/>
              </w:tabs>
              <w:rPr>
                <w:sz w:val="20"/>
              </w:rPr>
            </w:pPr>
          </w:p>
          <w:p w:rsidR="00A86619" w:rsidRPr="0022554A" w:rsidRDefault="00A86619" w:rsidP="0022554A">
            <w:pPr>
              <w:tabs>
                <w:tab w:val="left" w:pos="5400"/>
              </w:tabs>
              <w:rPr>
                <w:sz w:val="20"/>
              </w:rPr>
            </w:pPr>
          </w:p>
        </w:tc>
        <w:tc>
          <w:tcPr>
            <w:tcW w:w="2835" w:type="dxa"/>
          </w:tcPr>
          <w:p w:rsidR="00191A23" w:rsidRPr="0022554A" w:rsidRDefault="00781822" w:rsidP="00E230BE">
            <w:pPr>
              <w:tabs>
                <w:tab w:val="left" w:pos="5400"/>
              </w:tabs>
              <w:rPr>
                <w:sz w:val="20"/>
              </w:rPr>
            </w:pPr>
            <w:r>
              <w:rPr>
                <w:sz w:val="20"/>
              </w:rPr>
              <w:lastRenderedPageBreak/>
              <w:t xml:space="preserve">Methods, sampling process sub-section; </w:t>
            </w:r>
            <w:r w:rsidR="001F3743">
              <w:rPr>
                <w:sz w:val="20"/>
              </w:rPr>
              <w:t xml:space="preserve">Sampling process used – </w:t>
            </w:r>
            <w:proofErr w:type="spellStart"/>
            <w:r w:rsidR="001F3743">
              <w:rPr>
                <w:sz w:val="20"/>
              </w:rPr>
              <w:t>psu</w:t>
            </w:r>
            <w:proofErr w:type="spellEnd"/>
            <w:r w:rsidR="001F3743">
              <w:rPr>
                <w:sz w:val="20"/>
              </w:rPr>
              <w:t xml:space="preserve"> – community selected </w:t>
            </w:r>
            <w:r w:rsidR="001F3743">
              <w:rPr>
                <w:sz w:val="20"/>
              </w:rPr>
              <w:lastRenderedPageBreak/>
              <w:t xml:space="preserve">probability proportional to size and </w:t>
            </w:r>
            <w:proofErr w:type="spellStart"/>
            <w:r w:rsidR="001F3743">
              <w:rPr>
                <w:sz w:val="20"/>
              </w:rPr>
              <w:t>ssu</w:t>
            </w:r>
            <w:proofErr w:type="spellEnd"/>
            <w:r w:rsidR="001F3743">
              <w:rPr>
                <w:sz w:val="20"/>
              </w:rPr>
              <w:t xml:space="preserve"> household selected using compact segment sampling</w:t>
            </w:r>
          </w:p>
        </w:tc>
      </w:tr>
      <w:tr w:rsidR="00191A23" w:rsidRPr="0022554A" w:rsidTr="00E341E9">
        <w:tc>
          <w:tcPr>
            <w:tcW w:w="1951" w:type="dxa"/>
            <w:vMerge/>
          </w:tcPr>
          <w:p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rsidR="00191A23" w:rsidRPr="0022554A" w:rsidRDefault="003F0CD8" w:rsidP="0022554A">
            <w:pPr>
              <w:tabs>
                <w:tab w:val="left" w:pos="5400"/>
              </w:tabs>
              <w:rPr>
                <w:sz w:val="20"/>
              </w:rPr>
            </w:pPr>
            <w:r>
              <w:rPr>
                <w:sz w:val="20"/>
              </w:rPr>
              <w:t>NA</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8031"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rsidR="00040B07" w:rsidRDefault="00040B07" w:rsidP="0022554A">
            <w:pPr>
              <w:tabs>
                <w:tab w:val="left" w:pos="5400"/>
              </w:tabs>
              <w:rPr>
                <w:sz w:val="20"/>
              </w:rPr>
            </w:pPr>
            <w:r>
              <w:rPr>
                <w:sz w:val="20"/>
              </w:rPr>
              <w:t>7</w:t>
            </w:r>
          </w:p>
          <w:p w:rsidR="00040B07" w:rsidRDefault="00040B07" w:rsidP="0022554A">
            <w:pPr>
              <w:tabs>
                <w:tab w:val="left" w:pos="5400"/>
              </w:tabs>
              <w:rPr>
                <w:sz w:val="20"/>
              </w:rPr>
            </w:pPr>
          </w:p>
          <w:p w:rsidR="00040B07" w:rsidRDefault="00040B07" w:rsidP="0022554A">
            <w:pPr>
              <w:tabs>
                <w:tab w:val="left" w:pos="5400"/>
              </w:tabs>
              <w:rPr>
                <w:sz w:val="20"/>
              </w:rPr>
            </w:pPr>
          </w:p>
          <w:p w:rsidR="00191A23" w:rsidRDefault="00191A23" w:rsidP="0022554A">
            <w:pPr>
              <w:tabs>
                <w:tab w:val="left" w:pos="5400"/>
              </w:tabs>
              <w:rPr>
                <w:sz w:val="20"/>
              </w:rPr>
            </w:pPr>
          </w:p>
          <w:p w:rsidR="00744366" w:rsidRDefault="00744366" w:rsidP="0022554A">
            <w:pPr>
              <w:tabs>
                <w:tab w:val="left" w:pos="5400"/>
              </w:tabs>
              <w:rPr>
                <w:sz w:val="20"/>
              </w:rPr>
            </w:pPr>
            <w:r>
              <w:rPr>
                <w:sz w:val="20"/>
              </w:rPr>
              <w:t>8</w:t>
            </w:r>
          </w:p>
          <w:p w:rsidR="00B86ED2" w:rsidRDefault="00B86ED2" w:rsidP="0022554A">
            <w:pPr>
              <w:tabs>
                <w:tab w:val="left" w:pos="5400"/>
              </w:tabs>
              <w:rPr>
                <w:sz w:val="20"/>
              </w:rPr>
            </w:pPr>
          </w:p>
          <w:p w:rsidR="00B86ED2" w:rsidRDefault="00B86ED2" w:rsidP="0022554A">
            <w:pPr>
              <w:tabs>
                <w:tab w:val="left" w:pos="5400"/>
              </w:tabs>
              <w:rPr>
                <w:sz w:val="20"/>
              </w:rPr>
            </w:pPr>
          </w:p>
          <w:p w:rsidR="00B86ED2" w:rsidRDefault="00B86ED2" w:rsidP="0022554A">
            <w:pPr>
              <w:tabs>
                <w:tab w:val="left" w:pos="5400"/>
              </w:tabs>
              <w:rPr>
                <w:sz w:val="20"/>
              </w:rPr>
            </w:pPr>
          </w:p>
          <w:p w:rsidR="00B86ED2" w:rsidRDefault="00744366" w:rsidP="0022554A">
            <w:pPr>
              <w:tabs>
                <w:tab w:val="left" w:pos="5400"/>
              </w:tabs>
              <w:rPr>
                <w:sz w:val="20"/>
              </w:rPr>
            </w:pPr>
            <w:r>
              <w:rPr>
                <w:sz w:val="20"/>
              </w:rPr>
              <w:t>9</w:t>
            </w:r>
          </w:p>
          <w:p w:rsidR="00B86ED2" w:rsidRPr="0022554A" w:rsidRDefault="00B86ED2" w:rsidP="0022554A">
            <w:pPr>
              <w:tabs>
                <w:tab w:val="left" w:pos="5400"/>
              </w:tabs>
              <w:rPr>
                <w:sz w:val="20"/>
              </w:rPr>
            </w:pPr>
          </w:p>
        </w:tc>
        <w:tc>
          <w:tcPr>
            <w:tcW w:w="2835" w:type="dxa"/>
          </w:tcPr>
          <w:p w:rsidR="00040B07" w:rsidRDefault="00997E91" w:rsidP="00B86ED2">
            <w:pPr>
              <w:tabs>
                <w:tab w:val="left" w:pos="5400"/>
              </w:tabs>
              <w:rPr>
                <w:sz w:val="20"/>
              </w:rPr>
            </w:pPr>
            <w:r>
              <w:rPr>
                <w:sz w:val="20"/>
              </w:rPr>
              <w:t xml:space="preserve">Methods, clinical assessment sub-section: </w:t>
            </w:r>
            <w:r w:rsidR="00040B07">
              <w:rPr>
                <w:sz w:val="20"/>
              </w:rPr>
              <w:t xml:space="preserve">Clinical examination using </w:t>
            </w:r>
            <w:proofErr w:type="spellStart"/>
            <w:r w:rsidR="00040B07">
              <w:rPr>
                <w:sz w:val="20"/>
              </w:rPr>
              <w:t>Thylefors</w:t>
            </w:r>
            <w:proofErr w:type="spellEnd"/>
            <w:r w:rsidR="00040B07">
              <w:rPr>
                <w:sz w:val="20"/>
              </w:rPr>
              <w:t xml:space="preserve"> simplified grading system</w:t>
            </w:r>
          </w:p>
          <w:p w:rsidR="00B86ED2" w:rsidRDefault="00744366" w:rsidP="00B86ED2">
            <w:pPr>
              <w:tabs>
                <w:tab w:val="left" w:pos="5400"/>
              </w:tabs>
              <w:rPr>
                <w:sz w:val="20"/>
              </w:rPr>
            </w:pPr>
            <w:r>
              <w:rPr>
                <w:sz w:val="20"/>
              </w:rPr>
              <w:t xml:space="preserve">Methods, nucleic acid and antibody testing sub-section: </w:t>
            </w:r>
            <w:r w:rsidR="00040B07">
              <w:rPr>
                <w:sz w:val="20"/>
              </w:rPr>
              <w:t>Ocular swabs were analysed for the presence of Ct DNA</w:t>
            </w:r>
          </w:p>
          <w:p w:rsidR="00040B07" w:rsidRDefault="00744366" w:rsidP="00B86ED2">
            <w:pPr>
              <w:tabs>
                <w:tab w:val="left" w:pos="5400"/>
              </w:tabs>
              <w:rPr>
                <w:sz w:val="20"/>
              </w:rPr>
            </w:pPr>
            <w:r>
              <w:rPr>
                <w:sz w:val="20"/>
              </w:rPr>
              <w:t>Methods, 2</w:t>
            </w:r>
            <w:r w:rsidRPr="00744366">
              <w:rPr>
                <w:sz w:val="20"/>
                <w:vertAlign w:val="superscript"/>
              </w:rPr>
              <w:t>nd</w:t>
            </w:r>
            <w:r>
              <w:rPr>
                <w:sz w:val="20"/>
              </w:rPr>
              <w:t xml:space="preserve"> para page 9: </w:t>
            </w:r>
            <w:r w:rsidR="00040B07">
              <w:rPr>
                <w:sz w:val="20"/>
              </w:rPr>
              <w:t>DBSs were tested for antibodies to the Ct antigen Pgp3</w:t>
            </w:r>
          </w:p>
          <w:p w:rsidR="00040B07" w:rsidRPr="0022554A" w:rsidRDefault="00040B07" w:rsidP="00B86ED2">
            <w:pPr>
              <w:tabs>
                <w:tab w:val="left" w:pos="5400"/>
              </w:tabs>
              <w:rPr>
                <w:sz w:val="20"/>
              </w:rPr>
            </w:pPr>
            <w:r>
              <w:rPr>
                <w:sz w:val="20"/>
              </w:rPr>
              <w:t>Further information given on statistics analysis</w:t>
            </w:r>
          </w:p>
        </w:tc>
      </w:tr>
      <w:tr w:rsidR="00191A23" w:rsidRPr="0022554A" w:rsidTr="00E341E9">
        <w:trPr>
          <w:trHeight w:val="294"/>
        </w:trPr>
        <w:tc>
          <w:tcPr>
            <w:tcW w:w="1951" w:type="dxa"/>
          </w:tcPr>
          <w:p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rsidR="00191A23" w:rsidRPr="00D9573A" w:rsidRDefault="00040B07" w:rsidP="00040B07">
            <w:pPr>
              <w:tabs>
                <w:tab w:val="left" w:pos="5400"/>
              </w:tabs>
              <w:rPr>
                <w:sz w:val="20"/>
              </w:rPr>
            </w:pPr>
            <w:r>
              <w:rPr>
                <w:sz w:val="20"/>
              </w:rPr>
              <w:t>7-</w:t>
            </w:r>
            <w:r w:rsidR="00744366">
              <w:rPr>
                <w:sz w:val="20"/>
              </w:rPr>
              <w:t>9</w:t>
            </w:r>
          </w:p>
        </w:tc>
        <w:tc>
          <w:tcPr>
            <w:tcW w:w="2835" w:type="dxa"/>
          </w:tcPr>
          <w:p w:rsidR="00191A23" w:rsidRPr="00D9573A" w:rsidRDefault="00744366" w:rsidP="0022554A">
            <w:pPr>
              <w:tabs>
                <w:tab w:val="left" w:pos="5400"/>
              </w:tabs>
              <w:rPr>
                <w:sz w:val="20"/>
              </w:rPr>
            </w:pPr>
            <w:r>
              <w:rPr>
                <w:sz w:val="20"/>
              </w:rPr>
              <w:t xml:space="preserve">Methods, nucleic acid and antibody testing sub-section: </w:t>
            </w:r>
            <w:r w:rsidR="00040B07">
              <w:rPr>
                <w:sz w:val="20"/>
              </w:rPr>
              <w:t>Details given on sample collection</w:t>
            </w:r>
          </w:p>
        </w:tc>
      </w:tr>
      <w:tr w:rsidR="00191A23" w:rsidRPr="0022554A" w:rsidTr="00E341E9">
        <w:tc>
          <w:tcPr>
            <w:tcW w:w="1951" w:type="dxa"/>
          </w:tcPr>
          <w:p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rsidR="00191A23" w:rsidRPr="0022554A" w:rsidRDefault="00191A23" w:rsidP="0022554A">
            <w:pPr>
              <w:tabs>
                <w:tab w:val="left" w:pos="5400"/>
              </w:tabs>
              <w:jc w:val="center"/>
              <w:rPr>
                <w:sz w:val="20"/>
              </w:rPr>
            </w:pPr>
            <w:r w:rsidRPr="0022554A">
              <w:rPr>
                <w:sz w:val="20"/>
              </w:rPr>
              <w:t>9</w:t>
            </w:r>
          </w:p>
        </w:tc>
        <w:tc>
          <w:tcPr>
            <w:tcW w:w="8031" w:type="dxa"/>
          </w:tcPr>
          <w:p w:rsidR="00191A23" w:rsidRPr="00750A26" w:rsidRDefault="00191A23" w:rsidP="0022554A">
            <w:pPr>
              <w:tabs>
                <w:tab w:val="left" w:pos="5400"/>
              </w:tabs>
              <w:rPr>
                <w:color w:val="000000"/>
                <w:sz w:val="20"/>
              </w:rPr>
            </w:pPr>
            <w:r w:rsidRPr="00750A26">
              <w:rPr>
                <w:color w:val="000000"/>
                <w:sz w:val="20"/>
              </w:rPr>
              <w:t>Describe any efforts to address potential sources of bias</w:t>
            </w:r>
          </w:p>
        </w:tc>
        <w:tc>
          <w:tcPr>
            <w:tcW w:w="1559" w:type="dxa"/>
          </w:tcPr>
          <w:p w:rsidR="00191A23" w:rsidRPr="0022554A" w:rsidRDefault="00972FE7" w:rsidP="0022554A">
            <w:pPr>
              <w:tabs>
                <w:tab w:val="left" w:pos="5400"/>
              </w:tabs>
              <w:rPr>
                <w:color w:val="000000"/>
                <w:sz w:val="20"/>
              </w:rPr>
            </w:pPr>
            <w:r>
              <w:rPr>
                <w:color w:val="000000"/>
                <w:sz w:val="20"/>
              </w:rPr>
              <w:t>6</w:t>
            </w:r>
          </w:p>
        </w:tc>
        <w:tc>
          <w:tcPr>
            <w:tcW w:w="2835" w:type="dxa"/>
          </w:tcPr>
          <w:p w:rsidR="00191A23" w:rsidRPr="0022554A" w:rsidRDefault="00972FE7" w:rsidP="0022554A">
            <w:pPr>
              <w:tabs>
                <w:tab w:val="left" w:pos="5400"/>
              </w:tabs>
              <w:rPr>
                <w:color w:val="000000"/>
                <w:sz w:val="20"/>
              </w:rPr>
            </w:pPr>
            <w:r>
              <w:rPr>
                <w:color w:val="000000"/>
                <w:sz w:val="20"/>
              </w:rPr>
              <w:t xml:space="preserve">Methods, survey design sub-section, para 2: </w:t>
            </w:r>
            <w:r w:rsidR="00040B07">
              <w:rPr>
                <w:color w:val="000000"/>
                <w:sz w:val="20"/>
              </w:rPr>
              <w:t>Methodologies for selecting participants were outlined</w:t>
            </w:r>
          </w:p>
        </w:tc>
      </w:tr>
      <w:tr w:rsidR="00191A23" w:rsidRPr="0022554A" w:rsidTr="00E341E9">
        <w:tc>
          <w:tcPr>
            <w:tcW w:w="1951" w:type="dxa"/>
          </w:tcPr>
          <w:p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lastRenderedPageBreak/>
              <w:t>Study size</w:t>
            </w:r>
          </w:p>
        </w:tc>
        <w:tc>
          <w:tcPr>
            <w:tcW w:w="616" w:type="dxa"/>
          </w:tcPr>
          <w:p w:rsidR="00191A23" w:rsidRPr="0022554A" w:rsidRDefault="00191A23" w:rsidP="0022554A">
            <w:pPr>
              <w:tabs>
                <w:tab w:val="left" w:pos="5400"/>
              </w:tabs>
              <w:jc w:val="center"/>
              <w:rPr>
                <w:sz w:val="20"/>
              </w:rPr>
            </w:pPr>
            <w:r w:rsidRPr="0022554A">
              <w:rPr>
                <w:sz w:val="20"/>
              </w:rPr>
              <w:t>10</w:t>
            </w:r>
          </w:p>
        </w:tc>
        <w:tc>
          <w:tcPr>
            <w:tcW w:w="8031" w:type="dxa"/>
          </w:tcPr>
          <w:p w:rsidR="00191A23" w:rsidRPr="0022554A" w:rsidRDefault="00191A23" w:rsidP="0022554A">
            <w:pPr>
              <w:tabs>
                <w:tab w:val="left" w:pos="5400"/>
              </w:tabs>
              <w:rPr>
                <w:sz w:val="20"/>
              </w:rPr>
            </w:pPr>
            <w:r w:rsidRPr="0022554A">
              <w:rPr>
                <w:sz w:val="20"/>
              </w:rPr>
              <w:t>Explain how the study size was arrived at</w:t>
            </w:r>
          </w:p>
        </w:tc>
        <w:tc>
          <w:tcPr>
            <w:tcW w:w="1559" w:type="dxa"/>
          </w:tcPr>
          <w:p w:rsidR="00191A23" w:rsidRPr="0022554A" w:rsidRDefault="00040B07" w:rsidP="0022554A">
            <w:pPr>
              <w:tabs>
                <w:tab w:val="left" w:pos="5400"/>
              </w:tabs>
              <w:rPr>
                <w:sz w:val="20"/>
              </w:rPr>
            </w:pPr>
            <w:r>
              <w:rPr>
                <w:sz w:val="20"/>
              </w:rPr>
              <w:t>7</w:t>
            </w:r>
          </w:p>
        </w:tc>
        <w:tc>
          <w:tcPr>
            <w:tcW w:w="2835" w:type="dxa"/>
          </w:tcPr>
          <w:p w:rsidR="00023358" w:rsidRPr="0022554A" w:rsidRDefault="00972FE7" w:rsidP="0022554A">
            <w:pPr>
              <w:tabs>
                <w:tab w:val="left" w:pos="5400"/>
              </w:tabs>
              <w:rPr>
                <w:sz w:val="20"/>
              </w:rPr>
            </w:pPr>
            <w:r>
              <w:rPr>
                <w:sz w:val="20"/>
              </w:rPr>
              <w:t xml:space="preserve">Methods, para 1, </w:t>
            </w:r>
            <w:proofErr w:type="spellStart"/>
            <w:r>
              <w:rPr>
                <w:sz w:val="20"/>
              </w:rPr>
              <w:t>pg</w:t>
            </w:r>
            <w:proofErr w:type="spellEnd"/>
            <w:r>
              <w:rPr>
                <w:sz w:val="20"/>
              </w:rPr>
              <w:t xml:space="preserve"> 7: </w:t>
            </w:r>
            <w:r w:rsidR="00040B07">
              <w:rPr>
                <w:sz w:val="20"/>
              </w:rPr>
              <w:t xml:space="preserve">Referred to </w:t>
            </w:r>
            <w:r w:rsidR="00FA1420">
              <w:rPr>
                <w:sz w:val="20"/>
              </w:rPr>
              <w:t xml:space="preserve">sample size calculations as published </w:t>
            </w:r>
            <w:r>
              <w:rPr>
                <w:sz w:val="20"/>
              </w:rPr>
              <w:t>elsewhere</w:t>
            </w:r>
          </w:p>
        </w:tc>
      </w:tr>
    </w:tbl>
    <w:p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rsidTr="00517788">
        <w:tc>
          <w:tcPr>
            <w:tcW w:w="1521" w:type="dxa"/>
          </w:tcPr>
          <w:p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rsidR="00191A23" w:rsidRPr="0022554A" w:rsidRDefault="00191A23" w:rsidP="00191A23">
            <w:pPr>
              <w:tabs>
                <w:tab w:val="left" w:pos="5400"/>
              </w:tabs>
              <w:jc w:val="center"/>
              <w:rPr>
                <w:sz w:val="20"/>
              </w:rPr>
            </w:pPr>
            <w:r w:rsidRPr="0022554A">
              <w:rPr>
                <w:sz w:val="20"/>
              </w:rPr>
              <w:t>11</w:t>
            </w:r>
          </w:p>
        </w:tc>
        <w:tc>
          <w:tcPr>
            <w:tcW w:w="8328" w:type="dxa"/>
          </w:tcPr>
          <w:p w:rsidR="00191A23" w:rsidRPr="0022554A" w:rsidRDefault="00191A23" w:rsidP="00191A23">
            <w:pPr>
              <w:tabs>
                <w:tab w:val="left" w:pos="5400"/>
              </w:tabs>
              <w:rPr>
                <w:sz w:val="20"/>
              </w:rPr>
            </w:pPr>
            <w:r w:rsidRPr="0022554A">
              <w:rPr>
                <w:sz w:val="20"/>
              </w:rPr>
              <w:t xml:space="preserve">Explain how quantitative variables </w:t>
            </w:r>
            <w:proofErr w:type="gramStart"/>
            <w:r w:rsidRPr="0022554A">
              <w:rPr>
                <w:sz w:val="20"/>
              </w:rPr>
              <w:t>were handled</w:t>
            </w:r>
            <w:proofErr w:type="gramEnd"/>
            <w:r w:rsidRPr="0022554A">
              <w:rPr>
                <w:sz w:val="20"/>
              </w:rPr>
              <w:t xml:space="preserve"> in the analyses. If applicable, describe which groupings were chosen and why</w:t>
            </w:r>
          </w:p>
        </w:tc>
        <w:tc>
          <w:tcPr>
            <w:tcW w:w="1276" w:type="dxa"/>
          </w:tcPr>
          <w:p w:rsidR="00191A23" w:rsidRPr="0022554A" w:rsidRDefault="00B94AFD" w:rsidP="00191A23">
            <w:pPr>
              <w:tabs>
                <w:tab w:val="left" w:pos="5400"/>
              </w:tabs>
              <w:rPr>
                <w:sz w:val="20"/>
              </w:rPr>
            </w:pPr>
            <w:r>
              <w:rPr>
                <w:sz w:val="20"/>
              </w:rPr>
              <w:t>10</w:t>
            </w:r>
            <w:r w:rsidR="009F6B4D">
              <w:rPr>
                <w:sz w:val="20"/>
              </w:rPr>
              <w:t>-12</w:t>
            </w:r>
          </w:p>
        </w:tc>
        <w:tc>
          <w:tcPr>
            <w:tcW w:w="3118" w:type="dxa"/>
          </w:tcPr>
          <w:p w:rsidR="00191A23" w:rsidRPr="0022554A" w:rsidRDefault="004003D2" w:rsidP="00B94AFD">
            <w:pPr>
              <w:tabs>
                <w:tab w:val="left" w:pos="5400"/>
              </w:tabs>
              <w:rPr>
                <w:sz w:val="20"/>
              </w:rPr>
            </w:pPr>
            <w:r>
              <w:rPr>
                <w:sz w:val="20"/>
              </w:rPr>
              <w:t xml:space="preserve">Methods, statistical analysis sub-section: </w:t>
            </w:r>
            <w:r w:rsidR="00B94AFD">
              <w:rPr>
                <w:sz w:val="20"/>
              </w:rPr>
              <w:t>Explanations of analysis given</w:t>
            </w:r>
          </w:p>
        </w:tc>
      </w:tr>
      <w:tr w:rsidR="00191A23" w:rsidRPr="0022554A" w:rsidTr="00517788">
        <w:tc>
          <w:tcPr>
            <w:tcW w:w="1521" w:type="dxa"/>
            <w:vMerge w:val="restart"/>
          </w:tcPr>
          <w:p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rsidR="00191A23" w:rsidRPr="0022554A" w:rsidRDefault="00191A23" w:rsidP="00191A23">
            <w:pPr>
              <w:tabs>
                <w:tab w:val="left" w:pos="5400"/>
              </w:tabs>
              <w:jc w:val="center"/>
              <w:rPr>
                <w:sz w:val="20"/>
              </w:rPr>
            </w:pPr>
            <w:r w:rsidRPr="0022554A">
              <w:rPr>
                <w:sz w:val="20"/>
              </w:rPr>
              <w:t>12</w:t>
            </w:r>
          </w:p>
        </w:tc>
        <w:tc>
          <w:tcPr>
            <w:tcW w:w="8328" w:type="dxa"/>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rsidR="00191A23" w:rsidRPr="0022554A" w:rsidRDefault="00012C85" w:rsidP="00191A23">
            <w:pPr>
              <w:tabs>
                <w:tab w:val="left" w:pos="5400"/>
              </w:tabs>
              <w:rPr>
                <w:sz w:val="20"/>
              </w:rPr>
            </w:pPr>
            <w:r>
              <w:rPr>
                <w:sz w:val="20"/>
              </w:rPr>
              <w:t>1</w:t>
            </w:r>
            <w:r w:rsidR="004003D2">
              <w:rPr>
                <w:sz w:val="20"/>
              </w:rPr>
              <w:t>1</w:t>
            </w:r>
          </w:p>
        </w:tc>
        <w:tc>
          <w:tcPr>
            <w:tcW w:w="3118" w:type="dxa"/>
          </w:tcPr>
          <w:p w:rsidR="00191A23" w:rsidRPr="0022554A" w:rsidRDefault="004003D2" w:rsidP="009F6B4D">
            <w:pPr>
              <w:tabs>
                <w:tab w:val="left" w:pos="5400"/>
              </w:tabs>
              <w:rPr>
                <w:sz w:val="20"/>
              </w:rPr>
            </w:pPr>
            <w:r>
              <w:rPr>
                <w:sz w:val="20"/>
              </w:rPr>
              <w:t xml:space="preserve">Methods, para 3 of </w:t>
            </w:r>
            <w:proofErr w:type="spellStart"/>
            <w:r>
              <w:rPr>
                <w:sz w:val="20"/>
              </w:rPr>
              <w:t>pg</w:t>
            </w:r>
            <w:proofErr w:type="spellEnd"/>
            <w:r>
              <w:rPr>
                <w:sz w:val="20"/>
              </w:rPr>
              <w:t xml:space="preserve"> 11: </w:t>
            </w:r>
            <w:r w:rsidR="009F6B4D">
              <w:rPr>
                <w:sz w:val="20"/>
              </w:rPr>
              <w:t>Multivariate logistic regression</w:t>
            </w:r>
          </w:p>
        </w:tc>
      </w:tr>
      <w:tr w:rsidR="00191A23" w:rsidRPr="0022554A" w:rsidTr="00517788">
        <w:tc>
          <w:tcPr>
            <w:tcW w:w="1521" w:type="dxa"/>
            <w:vMerge/>
          </w:tcPr>
          <w:p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rsidR="00191A23" w:rsidRPr="0022554A" w:rsidRDefault="003A692A" w:rsidP="00191A23">
            <w:pPr>
              <w:tabs>
                <w:tab w:val="left" w:pos="5400"/>
              </w:tabs>
              <w:rPr>
                <w:sz w:val="20"/>
              </w:rPr>
            </w:pPr>
            <w:r>
              <w:rPr>
                <w:sz w:val="20"/>
              </w:rPr>
              <w:t>11</w:t>
            </w:r>
          </w:p>
        </w:tc>
        <w:tc>
          <w:tcPr>
            <w:tcW w:w="3118" w:type="dxa"/>
          </w:tcPr>
          <w:p w:rsidR="00191A23" w:rsidRPr="0022554A" w:rsidRDefault="003A692A" w:rsidP="00191A23">
            <w:pPr>
              <w:tabs>
                <w:tab w:val="left" w:pos="5400"/>
              </w:tabs>
              <w:rPr>
                <w:sz w:val="20"/>
              </w:rPr>
            </w:pPr>
            <w:r>
              <w:rPr>
                <w:sz w:val="20"/>
              </w:rPr>
              <w:t xml:space="preserve">Methods, para 3 of </w:t>
            </w:r>
            <w:proofErr w:type="spellStart"/>
            <w:r>
              <w:rPr>
                <w:sz w:val="20"/>
              </w:rPr>
              <w:t>pg</w:t>
            </w:r>
            <w:proofErr w:type="spellEnd"/>
            <w:r>
              <w:rPr>
                <w:sz w:val="20"/>
              </w:rPr>
              <w:t xml:space="preserve"> 11: </w:t>
            </w:r>
            <w:r w:rsidR="00422FD7" w:rsidRPr="00422FD7">
              <w:rPr>
                <w:sz w:val="20"/>
              </w:rPr>
              <w:t xml:space="preserve">For the serology data, chi-square tests </w:t>
            </w:r>
            <w:proofErr w:type="gramStart"/>
            <w:r w:rsidR="00422FD7" w:rsidRPr="00422FD7">
              <w:rPr>
                <w:sz w:val="20"/>
              </w:rPr>
              <w:t>were used</w:t>
            </w:r>
            <w:proofErr w:type="gramEnd"/>
            <w:r w:rsidR="00422FD7" w:rsidRPr="00422FD7">
              <w:rPr>
                <w:sz w:val="20"/>
              </w:rPr>
              <w:t xml:space="preserve"> to determine univariate associations. The non-parametric test for trend </w:t>
            </w:r>
            <w:proofErr w:type="gramStart"/>
            <w:r w:rsidR="00422FD7" w:rsidRPr="00422FD7">
              <w:rPr>
                <w:sz w:val="20"/>
              </w:rPr>
              <w:t>was used</w:t>
            </w:r>
            <w:proofErr w:type="gramEnd"/>
            <w:r w:rsidR="00422FD7" w:rsidRPr="00422FD7">
              <w:rPr>
                <w:sz w:val="20"/>
              </w:rPr>
              <w:t xml:space="preserve"> to determine an increase in seropositivity with age. Positive univariate associations of seropositivity at the individual level (age, EU, baseline TF endemicity) and gender (included a priori) were included in multivariate logistic regression models. The likelihood ratio test </w:t>
            </w:r>
            <w:proofErr w:type="gramStart"/>
            <w:r w:rsidR="00422FD7" w:rsidRPr="00422FD7">
              <w:rPr>
                <w:sz w:val="20"/>
              </w:rPr>
              <w:t>was used</w:t>
            </w:r>
            <w:proofErr w:type="gramEnd"/>
            <w:r w:rsidR="00422FD7" w:rsidRPr="00422FD7">
              <w:rPr>
                <w:sz w:val="20"/>
              </w:rPr>
              <w:t xml:space="preserve"> to determine the model of best fit. Regression </w:t>
            </w:r>
            <w:proofErr w:type="gramStart"/>
            <w:r w:rsidR="00422FD7" w:rsidRPr="00422FD7">
              <w:rPr>
                <w:sz w:val="20"/>
              </w:rPr>
              <w:t>was used</w:t>
            </w:r>
            <w:proofErr w:type="gramEnd"/>
            <w:r w:rsidR="00422FD7" w:rsidRPr="00422FD7">
              <w:rPr>
                <w:sz w:val="20"/>
              </w:rPr>
              <w:t xml:space="preserve"> for analysis of associations between continuous variables at the level of the EU. The geometric mean antibody titre was calculated using a log (x+1) transformation to take into account zero values.</w:t>
            </w:r>
          </w:p>
        </w:tc>
      </w:tr>
      <w:tr w:rsidR="00191A23" w:rsidRPr="0022554A" w:rsidTr="00517788">
        <w:tc>
          <w:tcPr>
            <w:tcW w:w="1521" w:type="dxa"/>
            <w:vMerge/>
          </w:tcPr>
          <w:p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rsidR="00191A23" w:rsidRPr="0022554A" w:rsidRDefault="00386191" w:rsidP="00191A23">
            <w:pPr>
              <w:tabs>
                <w:tab w:val="left" w:pos="5400"/>
              </w:tabs>
              <w:rPr>
                <w:sz w:val="20"/>
              </w:rPr>
            </w:pPr>
            <w:r>
              <w:rPr>
                <w:sz w:val="20"/>
              </w:rPr>
              <w:t>10</w:t>
            </w:r>
          </w:p>
        </w:tc>
        <w:tc>
          <w:tcPr>
            <w:tcW w:w="3118" w:type="dxa"/>
          </w:tcPr>
          <w:p w:rsidR="00191A23" w:rsidRPr="0022554A" w:rsidRDefault="00A36B8D" w:rsidP="00191A23">
            <w:pPr>
              <w:tabs>
                <w:tab w:val="left" w:pos="5400"/>
              </w:tabs>
              <w:rPr>
                <w:sz w:val="20"/>
              </w:rPr>
            </w:pPr>
            <w:r>
              <w:rPr>
                <w:sz w:val="20"/>
              </w:rPr>
              <w:t>Methods, statistical analysis sub-section</w:t>
            </w:r>
            <w:r w:rsidR="00B41A89">
              <w:rPr>
                <w:sz w:val="20"/>
              </w:rPr>
              <w:t xml:space="preserve">, </w:t>
            </w:r>
            <w:proofErr w:type="gramStart"/>
            <w:r w:rsidR="00B41A89">
              <w:rPr>
                <w:sz w:val="20"/>
              </w:rPr>
              <w:t>para</w:t>
            </w:r>
            <w:proofErr w:type="gramEnd"/>
            <w:r w:rsidR="00B41A89">
              <w:rPr>
                <w:sz w:val="20"/>
              </w:rPr>
              <w:t xml:space="preserve"> 1</w:t>
            </w:r>
            <w:r>
              <w:rPr>
                <w:sz w:val="20"/>
              </w:rPr>
              <w:t xml:space="preserve">: </w:t>
            </w:r>
            <w:r w:rsidR="004A2860">
              <w:rPr>
                <w:sz w:val="20"/>
              </w:rPr>
              <w:t>Only individuals with complete serological, infection and clinical data were included in the analysis.</w:t>
            </w:r>
          </w:p>
        </w:tc>
      </w:tr>
      <w:tr w:rsidR="00191A23" w:rsidRPr="0022554A" w:rsidTr="00517788">
        <w:tc>
          <w:tcPr>
            <w:tcW w:w="1521" w:type="dxa"/>
            <w:vMerge/>
          </w:tcPr>
          <w:p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rsidR="00191A23" w:rsidRPr="0022554A" w:rsidRDefault="00362ECE" w:rsidP="00191A23">
            <w:pPr>
              <w:tabs>
                <w:tab w:val="left" w:pos="5400"/>
              </w:tabs>
              <w:rPr>
                <w:sz w:val="20"/>
              </w:rPr>
            </w:pPr>
            <w:r>
              <w:rPr>
                <w:sz w:val="20"/>
              </w:rPr>
              <w:t>1</w:t>
            </w:r>
            <w:r w:rsidR="00B41A89">
              <w:rPr>
                <w:sz w:val="20"/>
              </w:rPr>
              <w:t>0</w:t>
            </w:r>
          </w:p>
        </w:tc>
        <w:tc>
          <w:tcPr>
            <w:tcW w:w="3118" w:type="dxa"/>
          </w:tcPr>
          <w:p w:rsidR="00191A23" w:rsidRPr="0022554A" w:rsidRDefault="00B41A89" w:rsidP="00191A23">
            <w:pPr>
              <w:tabs>
                <w:tab w:val="left" w:pos="5400"/>
              </w:tabs>
              <w:rPr>
                <w:sz w:val="20"/>
              </w:rPr>
            </w:pPr>
            <w:r>
              <w:rPr>
                <w:sz w:val="20"/>
              </w:rPr>
              <w:t>Methods, statistical analysis sub-section,</w:t>
            </w:r>
            <w:r>
              <w:rPr>
                <w:sz w:val="20"/>
              </w:rPr>
              <w:t xml:space="preserve"> </w:t>
            </w:r>
            <w:proofErr w:type="gramStart"/>
            <w:r>
              <w:rPr>
                <w:sz w:val="20"/>
              </w:rPr>
              <w:t>para</w:t>
            </w:r>
            <w:proofErr w:type="gramEnd"/>
            <w:r>
              <w:rPr>
                <w:sz w:val="20"/>
              </w:rPr>
              <w:t xml:space="preserve"> 1: </w:t>
            </w:r>
            <w:r w:rsidR="00362ECE" w:rsidRPr="00362ECE">
              <w:rPr>
                <w:sz w:val="20"/>
              </w:rPr>
              <w:t xml:space="preserve">The dataset was presumed to be self-weighted but the analysis was adjusted (using STATA’s </w:t>
            </w:r>
            <w:proofErr w:type="spellStart"/>
            <w:r w:rsidR="00362ECE" w:rsidRPr="00362ECE">
              <w:rPr>
                <w:sz w:val="20"/>
              </w:rPr>
              <w:t>svy</w:t>
            </w:r>
            <w:proofErr w:type="spellEnd"/>
            <w:r w:rsidR="00362ECE" w:rsidRPr="00362ECE">
              <w:rPr>
                <w:sz w:val="20"/>
              </w:rPr>
              <w:t xml:space="preserve"> command) for the cluster sampling methodology.</w:t>
            </w:r>
          </w:p>
        </w:tc>
      </w:tr>
      <w:tr w:rsidR="00191A23" w:rsidRPr="0022554A" w:rsidTr="00517788">
        <w:tc>
          <w:tcPr>
            <w:tcW w:w="1521" w:type="dxa"/>
            <w:vMerge/>
          </w:tcPr>
          <w:p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rsidR="00191A23" w:rsidRPr="0022554A" w:rsidRDefault="00386191" w:rsidP="00191A23">
            <w:pPr>
              <w:tabs>
                <w:tab w:val="left" w:pos="5400"/>
              </w:tabs>
              <w:rPr>
                <w:sz w:val="20"/>
              </w:rPr>
            </w:pPr>
            <w:r>
              <w:rPr>
                <w:sz w:val="20"/>
              </w:rPr>
              <w:t>NA</w:t>
            </w:r>
          </w:p>
        </w:tc>
        <w:tc>
          <w:tcPr>
            <w:tcW w:w="3118" w:type="dxa"/>
          </w:tcPr>
          <w:p w:rsidR="00191A23" w:rsidRPr="0022554A" w:rsidRDefault="00684C5D" w:rsidP="00191A23">
            <w:pPr>
              <w:tabs>
                <w:tab w:val="left" w:pos="5400"/>
              </w:tabs>
              <w:rPr>
                <w:sz w:val="20"/>
              </w:rPr>
            </w:pPr>
            <w:r>
              <w:rPr>
                <w:sz w:val="20"/>
              </w:rPr>
              <w:t>None conducted</w:t>
            </w:r>
          </w:p>
        </w:tc>
      </w:tr>
      <w:bookmarkEnd w:id="52"/>
      <w:bookmarkEnd w:id="53"/>
      <w:tr w:rsidR="00191A23" w:rsidRPr="0022554A" w:rsidTr="00191A23">
        <w:tc>
          <w:tcPr>
            <w:tcW w:w="14992" w:type="dxa"/>
            <w:gridSpan w:val="5"/>
          </w:tcPr>
          <w:p w:rsidR="00191A23" w:rsidRPr="0022554A" w:rsidRDefault="00191A23" w:rsidP="00191A23">
            <w:pPr>
              <w:pStyle w:val="TableSubHead"/>
              <w:tabs>
                <w:tab w:val="left" w:pos="5400"/>
              </w:tabs>
              <w:rPr>
                <w:sz w:val="20"/>
              </w:rPr>
            </w:pPr>
            <w:r w:rsidRPr="0022554A">
              <w:rPr>
                <w:sz w:val="20"/>
              </w:rPr>
              <w:t>Results</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276" w:type="dxa"/>
          </w:tcPr>
          <w:p w:rsidR="00191A23" w:rsidRDefault="004934A4" w:rsidP="00191A23">
            <w:pPr>
              <w:tabs>
                <w:tab w:val="left" w:pos="5400"/>
              </w:tabs>
              <w:rPr>
                <w:sz w:val="20"/>
              </w:rPr>
            </w:pPr>
            <w:r>
              <w:rPr>
                <w:sz w:val="20"/>
              </w:rPr>
              <w:t>10</w:t>
            </w:r>
            <w:r w:rsidR="00001B0F">
              <w:rPr>
                <w:sz w:val="20"/>
              </w:rPr>
              <w:t>, 12</w:t>
            </w:r>
          </w:p>
        </w:tc>
        <w:tc>
          <w:tcPr>
            <w:tcW w:w="3118" w:type="dxa"/>
          </w:tcPr>
          <w:p w:rsidR="00B41A89" w:rsidRDefault="00B41A89" w:rsidP="00191A23">
            <w:pPr>
              <w:tabs>
                <w:tab w:val="left" w:pos="5400"/>
              </w:tabs>
              <w:rPr>
                <w:sz w:val="20"/>
              </w:rPr>
            </w:pPr>
            <w:r>
              <w:rPr>
                <w:sz w:val="20"/>
              </w:rPr>
              <w:t xml:space="preserve">Methods, statistical analysis sub-section, </w:t>
            </w:r>
            <w:proofErr w:type="gramStart"/>
            <w:r>
              <w:rPr>
                <w:sz w:val="20"/>
              </w:rPr>
              <w:t>para</w:t>
            </w:r>
            <w:proofErr w:type="gramEnd"/>
            <w:r>
              <w:rPr>
                <w:sz w:val="20"/>
              </w:rPr>
              <w:t xml:space="preserve"> 1: </w:t>
            </w:r>
            <w:r w:rsidR="004934A4">
              <w:rPr>
                <w:sz w:val="20"/>
              </w:rPr>
              <w:t>Only individuals with complete serological, infection and clinical data were included in the analysis.</w:t>
            </w:r>
            <w:r w:rsidR="00001B0F">
              <w:rPr>
                <w:sz w:val="20"/>
              </w:rPr>
              <w:t xml:space="preserve"> </w:t>
            </w:r>
          </w:p>
          <w:p w:rsidR="00191A23" w:rsidRDefault="00B41A89" w:rsidP="00191A23">
            <w:pPr>
              <w:tabs>
                <w:tab w:val="left" w:pos="5400"/>
              </w:tabs>
              <w:rPr>
                <w:sz w:val="20"/>
              </w:rPr>
            </w:pPr>
            <w:r>
              <w:rPr>
                <w:sz w:val="20"/>
              </w:rPr>
              <w:t xml:space="preserve">Results, para 1: </w:t>
            </w:r>
            <w:r w:rsidR="00001B0F">
              <w:rPr>
                <w:sz w:val="20"/>
              </w:rPr>
              <w:t>A total of 10,902 DBSs were analysed by MBA</w:t>
            </w:r>
          </w:p>
        </w:tc>
      </w:tr>
      <w:tr w:rsidR="00191A23" w:rsidRPr="0022554A" w:rsidTr="00517788">
        <w:tc>
          <w:tcPr>
            <w:tcW w:w="0" w:type="auto"/>
            <w:vMerge/>
          </w:tcPr>
          <w:p w:rsidR="00191A23" w:rsidRPr="0022554A" w:rsidRDefault="00191A23" w:rsidP="00191A23">
            <w:pPr>
              <w:tabs>
                <w:tab w:val="left" w:pos="5400"/>
              </w:tabs>
              <w:rPr>
                <w:bCs/>
                <w:sz w:val="20"/>
              </w:rPr>
            </w:pPr>
            <w:bookmarkStart w:id="57" w:name="bold31" w:colFirst="0" w:colLast="0"/>
            <w:bookmarkStart w:id="58" w:name="italic32"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rsidR="00191A23" w:rsidRDefault="004934A4" w:rsidP="00191A23">
            <w:pPr>
              <w:tabs>
                <w:tab w:val="left" w:pos="5400"/>
              </w:tabs>
              <w:rPr>
                <w:sz w:val="20"/>
              </w:rPr>
            </w:pPr>
            <w:r>
              <w:rPr>
                <w:sz w:val="20"/>
              </w:rPr>
              <w:t>NA</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rsidR="00191A23" w:rsidRDefault="00191A23" w:rsidP="00191A23">
            <w:pPr>
              <w:tabs>
                <w:tab w:val="left" w:pos="5400"/>
              </w:tabs>
              <w:rPr>
                <w:sz w:val="20"/>
              </w:rPr>
            </w:pPr>
          </w:p>
        </w:tc>
        <w:tc>
          <w:tcPr>
            <w:tcW w:w="3118" w:type="dxa"/>
          </w:tcPr>
          <w:p w:rsidR="00191A23" w:rsidRDefault="00F21464" w:rsidP="00191A23">
            <w:pPr>
              <w:tabs>
                <w:tab w:val="left" w:pos="5400"/>
              </w:tabs>
              <w:rPr>
                <w:sz w:val="20"/>
              </w:rPr>
            </w:pPr>
            <w:r>
              <w:rPr>
                <w:sz w:val="20"/>
              </w:rPr>
              <w:t>Not required</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191A23" w:rsidRPr="0022554A" w:rsidRDefault="00191A23"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rsidR="00191A23" w:rsidRPr="0022554A" w:rsidRDefault="00191A23" w:rsidP="00191A23">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6" w:type="dxa"/>
          </w:tcPr>
          <w:p w:rsidR="00191A23" w:rsidRDefault="00761EED" w:rsidP="00191A23">
            <w:pPr>
              <w:tabs>
                <w:tab w:val="left" w:pos="5400"/>
              </w:tabs>
              <w:rPr>
                <w:sz w:val="20"/>
              </w:rPr>
            </w:pPr>
            <w:r>
              <w:rPr>
                <w:sz w:val="20"/>
              </w:rPr>
              <w:t>11</w:t>
            </w:r>
          </w:p>
        </w:tc>
        <w:tc>
          <w:tcPr>
            <w:tcW w:w="3118" w:type="dxa"/>
          </w:tcPr>
          <w:p w:rsidR="00761EED" w:rsidRDefault="00761EED" w:rsidP="00580ED5">
            <w:pPr>
              <w:tabs>
                <w:tab w:val="left" w:pos="5400"/>
              </w:tabs>
              <w:rPr>
                <w:sz w:val="20"/>
              </w:rPr>
            </w:pPr>
            <w:r>
              <w:rPr>
                <w:sz w:val="20"/>
              </w:rPr>
              <w:t xml:space="preserve">Results, para 2 and table 2 </w:t>
            </w:r>
          </w:p>
          <w:p w:rsidR="00191A23" w:rsidRDefault="00761EED" w:rsidP="00580ED5">
            <w:pPr>
              <w:tabs>
                <w:tab w:val="left" w:pos="5400"/>
              </w:tabs>
              <w:rPr>
                <w:sz w:val="20"/>
              </w:rPr>
            </w:pPr>
            <w:r>
              <w:rPr>
                <w:sz w:val="20"/>
              </w:rPr>
              <w:t>Tab</w:t>
            </w:r>
            <w:r w:rsidR="00001B0F">
              <w:rPr>
                <w:sz w:val="20"/>
              </w:rPr>
              <w:t>le of samples by age, median ages and gender proportions given</w:t>
            </w:r>
          </w:p>
          <w:p w:rsidR="00580ED5" w:rsidRDefault="00580ED5" w:rsidP="00580ED5">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67" w:name="bold36" w:colFirst="0" w:colLast="0"/>
            <w:bookmarkStart w:id="68" w:name="italic36"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rsidR="00191A23" w:rsidRDefault="00191A23" w:rsidP="00191A23">
            <w:pPr>
              <w:tabs>
                <w:tab w:val="left" w:pos="5400"/>
              </w:tabs>
              <w:rPr>
                <w:sz w:val="20"/>
              </w:rPr>
            </w:pPr>
          </w:p>
        </w:tc>
        <w:tc>
          <w:tcPr>
            <w:tcW w:w="3118" w:type="dxa"/>
          </w:tcPr>
          <w:p w:rsidR="00191A23" w:rsidRDefault="00001B0F" w:rsidP="00191A23">
            <w:pPr>
              <w:tabs>
                <w:tab w:val="left" w:pos="5400"/>
              </w:tabs>
              <w:rPr>
                <w:sz w:val="20"/>
              </w:rPr>
            </w:pPr>
            <w:r>
              <w:rPr>
                <w:sz w:val="20"/>
              </w:rPr>
              <w:t>Excluded if did not have all data available</w:t>
            </w:r>
          </w:p>
        </w:tc>
      </w:tr>
      <w:tr w:rsidR="00191A23" w:rsidRPr="0022554A" w:rsidTr="00517788">
        <w:tc>
          <w:tcPr>
            <w:tcW w:w="0" w:type="auto"/>
            <w:vMerge/>
          </w:tcPr>
          <w:p w:rsidR="00191A23" w:rsidRPr="0022554A" w:rsidRDefault="00191A23"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rsidR="00191A23" w:rsidRDefault="00580ED5" w:rsidP="00191A23">
            <w:pPr>
              <w:tabs>
                <w:tab w:val="left" w:pos="5400"/>
              </w:tabs>
              <w:rPr>
                <w:sz w:val="20"/>
              </w:rPr>
            </w:pPr>
            <w:r>
              <w:rPr>
                <w:sz w:val="20"/>
              </w:rPr>
              <w:t>NA</w:t>
            </w:r>
          </w:p>
        </w:tc>
        <w:tc>
          <w:tcPr>
            <w:tcW w:w="3118" w:type="dxa"/>
          </w:tcPr>
          <w:p w:rsidR="00191A23" w:rsidRDefault="00191A23" w:rsidP="00191A23">
            <w:pPr>
              <w:tabs>
                <w:tab w:val="left" w:pos="5400"/>
              </w:tabs>
              <w:rPr>
                <w:sz w:val="20"/>
              </w:rPr>
            </w:pPr>
          </w:p>
        </w:tc>
      </w:tr>
      <w:tr w:rsidR="00191A23" w:rsidRPr="0022554A" w:rsidTr="00517788">
        <w:trPr>
          <w:trHeight w:val="295"/>
        </w:trPr>
        <w:tc>
          <w:tcPr>
            <w:tcW w:w="0" w:type="auto"/>
            <w:vMerge w:val="restart"/>
          </w:tcPr>
          <w:p w:rsidR="00191A23" w:rsidRPr="0022554A" w:rsidRDefault="00191A23"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rsidR="00191A23" w:rsidRPr="0022554A" w:rsidRDefault="00191A23" w:rsidP="00191A23">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rsidR="00191A23" w:rsidRPr="0022554A" w:rsidRDefault="00580ED5" w:rsidP="00191A23">
            <w:pPr>
              <w:tabs>
                <w:tab w:val="left" w:pos="5400"/>
              </w:tabs>
              <w:rPr>
                <w:i/>
                <w:sz w:val="20"/>
              </w:rPr>
            </w:pPr>
            <w:r>
              <w:rPr>
                <w:i/>
                <w:sz w:val="20"/>
              </w:rPr>
              <w:t>NA</w:t>
            </w: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rsidR="00191A23" w:rsidRPr="0022554A" w:rsidRDefault="00580ED5" w:rsidP="00191A23">
            <w:pPr>
              <w:tabs>
                <w:tab w:val="left" w:pos="5400"/>
              </w:tabs>
              <w:rPr>
                <w:i/>
                <w:sz w:val="20"/>
              </w:rPr>
            </w:pPr>
            <w:r>
              <w:rPr>
                <w:i/>
                <w:sz w:val="20"/>
              </w:rPr>
              <w:t>NA</w:t>
            </w: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rsidR="00191A23" w:rsidRDefault="00580ED5" w:rsidP="00191A23">
            <w:pPr>
              <w:tabs>
                <w:tab w:val="left" w:pos="5400"/>
              </w:tabs>
              <w:rPr>
                <w:i/>
                <w:sz w:val="20"/>
              </w:rPr>
            </w:pPr>
            <w:r>
              <w:rPr>
                <w:i/>
                <w:sz w:val="20"/>
              </w:rPr>
              <w:t>NA</w:t>
            </w:r>
          </w:p>
        </w:tc>
        <w:tc>
          <w:tcPr>
            <w:tcW w:w="3118" w:type="dxa"/>
          </w:tcPr>
          <w:p w:rsidR="00191A23" w:rsidRDefault="00191A23" w:rsidP="00191A23">
            <w:pPr>
              <w:tabs>
                <w:tab w:val="left" w:pos="5400"/>
              </w:tabs>
              <w:rPr>
                <w:i/>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rsidR="00191A23" w:rsidRPr="0022554A" w:rsidRDefault="00191A23" w:rsidP="00191A23">
            <w:pPr>
              <w:tabs>
                <w:tab w:val="left" w:pos="5400"/>
              </w:tabs>
              <w:jc w:val="center"/>
              <w:rPr>
                <w:sz w:val="20"/>
              </w:rPr>
            </w:pPr>
            <w:r w:rsidRPr="0022554A">
              <w:rPr>
                <w:sz w:val="20"/>
              </w:rPr>
              <w:t>16</w:t>
            </w:r>
          </w:p>
        </w:tc>
        <w:tc>
          <w:tcPr>
            <w:tcW w:w="8328" w:type="dxa"/>
          </w:tcPr>
          <w:p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rsidR="00191A23" w:rsidRPr="0022554A" w:rsidRDefault="00580ED5" w:rsidP="00191A23">
            <w:pPr>
              <w:tabs>
                <w:tab w:val="left" w:pos="5400"/>
              </w:tabs>
              <w:rPr>
                <w:sz w:val="20"/>
              </w:rPr>
            </w:pPr>
            <w:r>
              <w:rPr>
                <w:sz w:val="20"/>
              </w:rPr>
              <w:t>10-15</w:t>
            </w:r>
          </w:p>
        </w:tc>
        <w:tc>
          <w:tcPr>
            <w:tcW w:w="3118" w:type="dxa"/>
          </w:tcPr>
          <w:p w:rsidR="00191A23" w:rsidRPr="0022554A" w:rsidRDefault="00DF2AC8" w:rsidP="00191A23">
            <w:pPr>
              <w:tabs>
                <w:tab w:val="left" w:pos="5400"/>
              </w:tabs>
              <w:rPr>
                <w:sz w:val="20"/>
              </w:rPr>
            </w:pPr>
            <w:proofErr w:type="gramStart"/>
            <w:r>
              <w:rPr>
                <w:sz w:val="20"/>
              </w:rPr>
              <w:t>Through-out</w:t>
            </w:r>
            <w:proofErr w:type="gramEnd"/>
            <w:r>
              <w:rPr>
                <w:sz w:val="20"/>
              </w:rPr>
              <w:t xml:space="preserve"> the results section: </w:t>
            </w:r>
            <w:r w:rsidR="00580ED5">
              <w:rPr>
                <w:sz w:val="20"/>
              </w:rPr>
              <w:t xml:space="preserve">Basic analysis is given as is required for this kind of study. </w:t>
            </w:r>
          </w:p>
        </w:tc>
      </w:tr>
      <w:tr w:rsidR="00191A23" w:rsidRPr="0022554A" w:rsidTr="00517788">
        <w:tc>
          <w:tcPr>
            <w:tcW w:w="0" w:type="auto"/>
            <w:vMerge/>
          </w:tcPr>
          <w:p w:rsidR="00191A23" w:rsidRPr="0022554A" w:rsidRDefault="00191A23"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rsidR="00191A23" w:rsidRPr="0022554A" w:rsidRDefault="00580ED5" w:rsidP="00191A23">
            <w:pPr>
              <w:tabs>
                <w:tab w:val="left" w:pos="5400"/>
              </w:tabs>
              <w:rPr>
                <w:sz w:val="20"/>
              </w:rPr>
            </w:pPr>
            <w:r>
              <w:rPr>
                <w:sz w:val="20"/>
              </w:rPr>
              <w:t>14-1</w:t>
            </w:r>
            <w:r w:rsidR="00001B0F">
              <w:rPr>
                <w:sz w:val="20"/>
              </w:rPr>
              <w:t>6</w:t>
            </w:r>
          </w:p>
        </w:tc>
        <w:tc>
          <w:tcPr>
            <w:tcW w:w="3118" w:type="dxa"/>
          </w:tcPr>
          <w:p w:rsidR="00191A23" w:rsidRPr="0022554A" w:rsidRDefault="00001B0F" w:rsidP="00001B0F">
            <w:pPr>
              <w:tabs>
                <w:tab w:val="left" w:pos="5400"/>
              </w:tabs>
              <w:rPr>
                <w:sz w:val="20"/>
              </w:rPr>
            </w:pPr>
            <w:r>
              <w:rPr>
                <w:sz w:val="20"/>
              </w:rPr>
              <w:t xml:space="preserve">Table 3 and 4 give details on EUs and TF at baseline. </w:t>
            </w:r>
          </w:p>
        </w:tc>
      </w:tr>
      <w:tr w:rsidR="00191A23" w:rsidRPr="0022554A" w:rsidTr="00517788">
        <w:tc>
          <w:tcPr>
            <w:tcW w:w="0" w:type="auto"/>
            <w:vMerge/>
          </w:tcPr>
          <w:p w:rsidR="00191A23" w:rsidRPr="0022554A" w:rsidRDefault="00191A23"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rsidR="00191A23" w:rsidRPr="0022554A" w:rsidRDefault="00580ED5" w:rsidP="00191A23">
            <w:pPr>
              <w:tabs>
                <w:tab w:val="left" w:pos="5400"/>
              </w:tabs>
              <w:rPr>
                <w:sz w:val="20"/>
              </w:rPr>
            </w:pPr>
            <w:r>
              <w:rPr>
                <w:sz w:val="20"/>
              </w:rPr>
              <w:t>NA</w:t>
            </w:r>
          </w:p>
        </w:tc>
        <w:tc>
          <w:tcPr>
            <w:tcW w:w="3118" w:type="dxa"/>
          </w:tcPr>
          <w:p w:rsidR="00191A23" w:rsidRPr="0022554A" w:rsidRDefault="00191A23" w:rsidP="00191A23">
            <w:pPr>
              <w:tabs>
                <w:tab w:val="left" w:pos="5400"/>
              </w:tabs>
              <w:rPr>
                <w:sz w:val="20"/>
              </w:rPr>
            </w:pPr>
          </w:p>
        </w:tc>
      </w:tr>
    </w:tbl>
    <w:p w:rsidR="00191A23" w:rsidRDefault="00191A23">
      <w:bookmarkStart w:id="80" w:name="italic43"/>
      <w:bookmarkStart w:id="81" w:name="bold44"/>
      <w:bookmarkEnd w:id="78"/>
      <w:bookmarkEnd w:id="7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rsidTr="00517788">
        <w:tc>
          <w:tcPr>
            <w:tcW w:w="0" w:type="auto"/>
          </w:tcPr>
          <w:p w:rsidR="00191A23" w:rsidRPr="0022554A" w:rsidRDefault="00191A23" w:rsidP="00191A23">
            <w:pPr>
              <w:tabs>
                <w:tab w:val="left" w:pos="5400"/>
              </w:tabs>
              <w:rPr>
                <w:bCs/>
                <w:sz w:val="20"/>
              </w:rPr>
            </w:pPr>
            <w:r w:rsidRPr="0022554A">
              <w:rPr>
                <w:bCs/>
                <w:sz w:val="20"/>
              </w:rPr>
              <w:lastRenderedPageBreak/>
              <w:t>Other analyses</w:t>
            </w:r>
            <w:bookmarkEnd w:id="80"/>
            <w:bookmarkEnd w:id="81"/>
          </w:p>
        </w:tc>
        <w:tc>
          <w:tcPr>
            <w:tcW w:w="0" w:type="auto"/>
          </w:tcPr>
          <w:p w:rsidR="00191A23" w:rsidRPr="0022554A" w:rsidRDefault="00191A23" w:rsidP="00191A23">
            <w:pPr>
              <w:tabs>
                <w:tab w:val="left" w:pos="5400"/>
              </w:tabs>
              <w:jc w:val="center"/>
              <w:rPr>
                <w:sz w:val="20"/>
              </w:rPr>
            </w:pPr>
            <w:r w:rsidRPr="0022554A">
              <w:rPr>
                <w:sz w:val="20"/>
              </w:rPr>
              <w:t>17</w:t>
            </w:r>
          </w:p>
        </w:tc>
        <w:tc>
          <w:tcPr>
            <w:tcW w:w="8687" w:type="dxa"/>
          </w:tcPr>
          <w:p w:rsidR="00191A23" w:rsidRPr="0022554A" w:rsidRDefault="00191A23"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265" w:type="dxa"/>
          </w:tcPr>
          <w:p w:rsidR="00191A23" w:rsidRPr="0022554A" w:rsidRDefault="00580ED5" w:rsidP="00191A23">
            <w:pPr>
              <w:tabs>
                <w:tab w:val="left" w:pos="5400"/>
              </w:tabs>
              <w:rPr>
                <w:sz w:val="20"/>
              </w:rPr>
            </w:pPr>
            <w:r>
              <w:rPr>
                <w:sz w:val="20"/>
              </w:rPr>
              <w:t>16</w:t>
            </w:r>
          </w:p>
        </w:tc>
        <w:tc>
          <w:tcPr>
            <w:tcW w:w="3129" w:type="dxa"/>
          </w:tcPr>
          <w:p w:rsidR="00191A23" w:rsidRPr="0022554A" w:rsidRDefault="00DF2AC8" w:rsidP="00DF2AC8">
            <w:pPr>
              <w:tabs>
                <w:tab w:val="left" w:pos="5400"/>
              </w:tabs>
              <w:rPr>
                <w:sz w:val="20"/>
              </w:rPr>
            </w:pPr>
            <w:r>
              <w:rPr>
                <w:sz w:val="20"/>
              </w:rPr>
              <w:t>Results, h</w:t>
            </w:r>
            <w:r w:rsidR="00FB001B">
              <w:rPr>
                <w:sz w:val="20"/>
              </w:rPr>
              <w:t>eterogeneity of data</w:t>
            </w:r>
            <w:r>
              <w:rPr>
                <w:sz w:val="20"/>
              </w:rPr>
              <w:t xml:space="preserve"> sub-section: </w:t>
            </w:r>
            <w:r w:rsidR="00FB001B">
              <w:rPr>
                <w:sz w:val="20"/>
              </w:rPr>
              <w:t>DE and ICC</w:t>
            </w:r>
          </w:p>
        </w:tc>
      </w:tr>
      <w:tr w:rsidR="00976EE1" w:rsidRPr="0022554A" w:rsidTr="00191A23">
        <w:tc>
          <w:tcPr>
            <w:tcW w:w="14992" w:type="dxa"/>
            <w:gridSpan w:val="5"/>
          </w:tcPr>
          <w:p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rsidTr="00517788">
        <w:tc>
          <w:tcPr>
            <w:tcW w:w="0" w:type="auto"/>
          </w:tcPr>
          <w:p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8687"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rsidR="00B8705D" w:rsidRDefault="00B8705D" w:rsidP="00191A23">
            <w:pPr>
              <w:tabs>
                <w:tab w:val="left" w:pos="5400"/>
              </w:tabs>
              <w:rPr>
                <w:sz w:val="20"/>
              </w:rPr>
            </w:pPr>
            <w:r>
              <w:rPr>
                <w:sz w:val="20"/>
              </w:rPr>
              <w:t>17</w:t>
            </w:r>
          </w:p>
          <w:p w:rsidR="00B8705D" w:rsidRDefault="00B8705D" w:rsidP="00191A23">
            <w:pPr>
              <w:tabs>
                <w:tab w:val="left" w:pos="5400"/>
              </w:tabs>
              <w:rPr>
                <w:sz w:val="20"/>
              </w:rPr>
            </w:pPr>
          </w:p>
          <w:p w:rsidR="00B8705D" w:rsidRDefault="00B8705D" w:rsidP="00191A23">
            <w:pPr>
              <w:tabs>
                <w:tab w:val="left" w:pos="5400"/>
              </w:tabs>
              <w:rPr>
                <w:sz w:val="20"/>
              </w:rPr>
            </w:pPr>
          </w:p>
          <w:p w:rsidR="00B8705D" w:rsidRDefault="00B8705D" w:rsidP="00191A23">
            <w:pPr>
              <w:tabs>
                <w:tab w:val="left" w:pos="5400"/>
              </w:tabs>
              <w:rPr>
                <w:sz w:val="20"/>
              </w:rPr>
            </w:pPr>
          </w:p>
          <w:p w:rsidR="00B8705D" w:rsidRDefault="00B8705D" w:rsidP="00191A23">
            <w:pPr>
              <w:tabs>
                <w:tab w:val="left" w:pos="5400"/>
              </w:tabs>
              <w:rPr>
                <w:sz w:val="20"/>
              </w:rPr>
            </w:pPr>
          </w:p>
          <w:p w:rsidR="00B8705D" w:rsidRDefault="00B8705D" w:rsidP="00191A23">
            <w:pPr>
              <w:tabs>
                <w:tab w:val="left" w:pos="5400"/>
              </w:tabs>
              <w:rPr>
                <w:sz w:val="20"/>
              </w:rPr>
            </w:pPr>
          </w:p>
          <w:p w:rsidR="00191A23" w:rsidRPr="0022554A" w:rsidRDefault="00B8705D" w:rsidP="00191A23">
            <w:pPr>
              <w:tabs>
                <w:tab w:val="left" w:pos="5400"/>
              </w:tabs>
              <w:rPr>
                <w:sz w:val="20"/>
              </w:rPr>
            </w:pPr>
            <w:r>
              <w:rPr>
                <w:sz w:val="20"/>
              </w:rPr>
              <w:t>20</w:t>
            </w:r>
          </w:p>
        </w:tc>
        <w:tc>
          <w:tcPr>
            <w:tcW w:w="3129" w:type="dxa"/>
          </w:tcPr>
          <w:p w:rsidR="00D52AB5" w:rsidRDefault="00C9518C" w:rsidP="00191A23">
            <w:pPr>
              <w:tabs>
                <w:tab w:val="left" w:pos="5400"/>
              </w:tabs>
              <w:rPr>
                <w:sz w:val="20"/>
              </w:rPr>
            </w:pPr>
            <w:r>
              <w:rPr>
                <w:sz w:val="20"/>
              </w:rPr>
              <w:t xml:space="preserve">Discussion, para 1: </w:t>
            </w:r>
            <w:r w:rsidR="00B8705D" w:rsidRPr="00B8705D">
              <w:rPr>
                <w:sz w:val="20"/>
              </w:rPr>
              <w:t>As evidenced in this study, elimination of trachoma as a public health problem does not equate to the absence of ocular Ct infection nor cessation in acquisition of anti-Ct antibodies.</w:t>
            </w:r>
          </w:p>
          <w:p w:rsidR="00B8705D" w:rsidRPr="0022554A" w:rsidRDefault="00C9518C" w:rsidP="00191A23">
            <w:pPr>
              <w:tabs>
                <w:tab w:val="left" w:pos="5400"/>
              </w:tabs>
              <w:rPr>
                <w:sz w:val="20"/>
              </w:rPr>
            </w:pPr>
            <w:r>
              <w:rPr>
                <w:sz w:val="20"/>
              </w:rPr>
              <w:t xml:space="preserve">Discussion, final para: </w:t>
            </w:r>
            <w:r w:rsidR="00B8705D" w:rsidRPr="00B8705D">
              <w:rPr>
                <w:sz w:val="20"/>
              </w:rPr>
              <w:t>Infection and in particular serological data provide useful insights into transmission dynamics. Even if an EU meets trachoma elimination targets, this may not reflect complete interruption of transmission of Ct infection.</w:t>
            </w:r>
          </w:p>
        </w:tc>
      </w:tr>
      <w:tr w:rsidR="00191A23" w:rsidRPr="0022554A" w:rsidTr="00517788">
        <w:tc>
          <w:tcPr>
            <w:tcW w:w="0" w:type="auto"/>
          </w:tcPr>
          <w:p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8687" w:type="dxa"/>
          </w:tcPr>
          <w:p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rsidR="00191A23" w:rsidRDefault="008B26EB" w:rsidP="00B8705D">
            <w:pPr>
              <w:tabs>
                <w:tab w:val="left" w:pos="5400"/>
              </w:tabs>
              <w:rPr>
                <w:sz w:val="20"/>
              </w:rPr>
            </w:pPr>
            <w:r>
              <w:rPr>
                <w:sz w:val="20"/>
              </w:rPr>
              <w:t>17</w:t>
            </w:r>
          </w:p>
          <w:p w:rsidR="00B8705D" w:rsidRDefault="00B8705D" w:rsidP="00B8705D">
            <w:pPr>
              <w:tabs>
                <w:tab w:val="left" w:pos="5400"/>
              </w:tabs>
              <w:rPr>
                <w:sz w:val="20"/>
              </w:rPr>
            </w:pPr>
          </w:p>
          <w:p w:rsidR="00B8705D" w:rsidRDefault="00B8705D" w:rsidP="00B8705D">
            <w:pPr>
              <w:tabs>
                <w:tab w:val="left" w:pos="5400"/>
              </w:tabs>
              <w:rPr>
                <w:sz w:val="20"/>
              </w:rPr>
            </w:pPr>
          </w:p>
          <w:p w:rsidR="00B8705D" w:rsidRDefault="00B8705D" w:rsidP="00B8705D">
            <w:pPr>
              <w:tabs>
                <w:tab w:val="left" w:pos="5400"/>
              </w:tabs>
              <w:rPr>
                <w:sz w:val="20"/>
              </w:rPr>
            </w:pPr>
          </w:p>
          <w:p w:rsidR="00B8705D" w:rsidRDefault="00B8705D" w:rsidP="00B8705D">
            <w:pPr>
              <w:tabs>
                <w:tab w:val="left" w:pos="5400"/>
              </w:tabs>
              <w:rPr>
                <w:sz w:val="20"/>
              </w:rPr>
            </w:pPr>
          </w:p>
          <w:p w:rsidR="00B8705D" w:rsidRDefault="00B8705D" w:rsidP="00B8705D">
            <w:pPr>
              <w:tabs>
                <w:tab w:val="left" w:pos="5400"/>
              </w:tabs>
              <w:rPr>
                <w:sz w:val="20"/>
              </w:rPr>
            </w:pPr>
          </w:p>
          <w:p w:rsidR="00B8705D" w:rsidRDefault="00B8705D" w:rsidP="00B8705D">
            <w:pPr>
              <w:tabs>
                <w:tab w:val="left" w:pos="5400"/>
              </w:tabs>
              <w:rPr>
                <w:sz w:val="20"/>
              </w:rPr>
            </w:pPr>
          </w:p>
          <w:p w:rsidR="00B8705D" w:rsidRDefault="00B8705D" w:rsidP="00B8705D">
            <w:pPr>
              <w:tabs>
                <w:tab w:val="left" w:pos="5400"/>
              </w:tabs>
              <w:rPr>
                <w:sz w:val="20"/>
              </w:rPr>
            </w:pPr>
          </w:p>
          <w:p w:rsidR="00B94418" w:rsidRDefault="00B94418" w:rsidP="00B8705D">
            <w:pPr>
              <w:tabs>
                <w:tab w:val="left" w:pos="5400"/>
              </w:tabs>
              <w:rPr>
                <w:sz w:val="20"/>
              </w:rPr>
            </w:pPr>
          </w:p>
          <w:p w:rsidR="00B8705D" w:rsidRPr="0022554A" w:rsidRDefault="00B8705D" w:rsidP="00B8705D">
            <w:pPr>
              <w:tabs>
                <w:tab w:val="left" w:pos="5400"/>
              </w:tabs>
              <w:rPr>
                <w:sz w:val="20"/>
              </w:rPr>
            </w:pPr>
            <w:r>
              <w:rPr>
                <w:sz w:val="20"/>
              </w:rPr>
              <w:t>1</w:t>
            </w:r>
            <w:r w:rsidR="00B94418">
              <w:rPr>
                <w:sz w:val="20"/>
              </w:rPr>
              <w:t>8</w:t>
            </w:r>
          </w:p>
        </w:tc>
        <w:tc>
          <w:tcPr>
            <w:tcW w:w="3129" w:type="dxa"/>
          </w:tcPr>
          <w:p w:rsidR="00FA2FA4" w:rsidRDefault="008B26EB" w:rsidP="00B8705D">
            <w:pPr>
              <w:tabs>
                <w:tab w:val="left" w:pos="5400"/>
              </w:tabs>
              <w:rPr>
                <w:sz w:val="20"/>
              </w:rPr>
            </w:pPr>
            <w:r>
              <w:rPr>
                <w:sz w:val="20"/>
              </w:rPr>
              <w:t xml:space="preserve">Discussion, para 3: </w:t>
            </w:r>
            <w:r w:rsidR="00B8705D">
              <w:rPr>
                <w:sz w:val="20"/>
              </w:rPr>
              <w:t>T</w:t>
            </w:r>
            <w:r w:rsidR="00B8705D" w:rsidRPr="00B8705D">
              <w:rPr>
                <w:sz w:val="20"/>
              </w:rPr>
              <w:t>here are some concerns pooling can reduce the sensitivity of the test. Evidence suggests the impact would be minimal and likely to affect those individuals with lower ocular bacterial load, who are likely to be less important as drivers of transmission</w:t>
            </w:r>
          </w:p>
          <w:p w:rsidR="00B8705D" w:rsidRPr="0022554A" w:rsidRDefault="00B94418" w:rsidP="00B8705D">
            <w:pPr>
              <w:tabs>
                <w:tab w:val="left" w:pos="5400"/>
              </w:tabs>
              <w:rPr>
                <w:sz w:val="20"/>
              </w:rPr>
            </w:pPr>
            <w:r>
              <w:rPr>
                <w:sz w:val="20"/>
              </w:rPr>
              <w:t xml:space="preserve">Discussion, final para of </w:t>
            </w:r>
            <w:proofErr w:type="spellStart"/>
            <w:r>
              <w:rPr>
                <w:sz w:val="20"/>
              </w:rPr>
              <w:t>pg</w:t>
            </w:r>
            <w:proofErr w:type="spellEnd"/>
            <w:r>
              <w:rPr>
                <w:sz w:val="20"/>
              </w:rPr>
              <w:t xml:space="preserve"> 18: </w:t>
            </w:r>
            <w:r w:rsidR="00B8705D" w:rsidRPr="00B8705D">
              <w:rPr>
                <w:sz w:val="20"/>
              </w:rPr>
              <w:t xml:space="preserve">It is difficult </w:t>
            </w:r>
            <w:proofErr w:type="gramStart"/>
            <w:r w:rsidR="00B8705D" w:rsidRPr="00B8705D">
              <w:rPr>
                <w:sz w:val="20"/>
              </w:rPr>
              <w:t>to directly compare</w:t>
            </w:r>
            <w:proofErr w:type="gramEnd"/>
            <w:r w:rsidR="00B8705D" w:rsidRPr="00B8705D">
              <w:rPr>
                <w:sz w:val="20"/>
              </w:rPr>
              <w:t xml:space="preserve"> the seropositivity rates across studies because there is currently no agreed standard methodology for defining </w:t>
            </w:r>
            <w:r w:rsidR="00B8705D" w:rsidRPr="00B8705D">
              <w:rPr>
                <w:sz w:val="20"/>
              </w:rPr>
              <w:lastRenderedPageBreak/>
              <w:t>the threshold u</w:t>
            </w:r>
            <w:r w:rsidR="00B8705D">
              <w:rPr>
                <w:sz w:val="20"/>
              </w:rPr>
              <w:t xml:space="preserve">sed to determine seropositivity. </w:t>
            </w:r>
            <w:r w:rsidR="00B8705D" w:rsidRPr="00B8705D">
              <w:rPr>
                <w:sz w:val="20"/>
              </w:rPr>
              <w:t>Another difficulty in interpreting the serological data is that antibodies to Pgp3 do not distinguish between urogenital and ocular infection, and Ct exposure could have occurred at birth through ocular or respiratory infection from a mother with genital Ct</w:t>
            </w:r>
          </w:p>
        </w:tc>
      </w:tr>
      <w:tr w:rsidR="00191A23" w:rsidRPr="0022554A" w:rsidTr="00517788">
        <w:tc>
          <w:tcPr>
            <w:tcW w:w="0" w:type="auto"/>
          </w:tcPr>
          <w:p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lastRenderedPageBreak/>
              <w:t>Interpretation</w:t>
            </w:r>
          </w:p>
        </w:tc>
        <w:tc>
          <w:tcPr>
            <w:tcW w:w="0" w:type="auto"/>
          </w:tcPr>
          <w:p w:rsidR="00191A23" w:rsidRPr="0022554A" w:rsidRDefault="00191A23" w:rsidP="00191A23">
            <w:pPr>
              <w:tabs>
                <w:tab w:val="left" w:pos="5400"/>
              </w:tabs>
              <w:jc w:val="center"/>
              <w:rPr>
                <w:sz w:val="20"/>
              </w:rPr>
            </w:pPr>
            <w:r w:rsidRPr="0022554A">
              <w:rPr>
                <w:sz w:val="20"/>
              </w:rPr>
              <w:t>20</w:t>
            </w:r>
          </w:p>
        </w:tc>
        <w:tc>
          <w:tcPr>
            <w:tcW w:w="8687" w:type="dxa"/>
          </w:tcPr>
          <w:p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191A23" w:rsidRPr="0022554A" w:rsidRDefault="004C0170" w:rsidP="00191A23">
            <w:pPr>
              <w:tabs>
                <w:tab w:val="left" w:pos="5400"/>
              </w:tabs>
              <w:rPr>
                <w:sz w:val="20"/>
              </w:rPr>
            </w:pPr>
            <w:r>
              <w:rPr>
                <w:sz w:val="20"/>
              </w:rPr>
              <w:t>16-20</w:t>
            </w:r>
          </w:p>
        </w:tc>
        <w:tc>
          <w:tcPr>
            <w:tcW w:w="3129" w:type="dxa"/>
          </w:tcPr>
          <w:p w:rsidR="00191A23" w:rsidRPr="0022554A" w:rsidRDefault="004C0170" w:rsidP="00191A23">
            <w:pPr>
              <w:tabs>
                <w:tab w:val="left" w:pos="5400"/>
              </w:tabs>
              <w:rPr>
                <w:sz w:val="20"/>
              </w:rPr>
            </w:pPr>
            <w:r>
              <w:rPr>
                <w:sz w:val="20"/>
              </w:rPr>
              <w:t>As above</w:t>
            </w:r>
          </w:p>
        </w:tc>
      </w:tr>
      <w:tr w:rsidR="00191A23" w:rsidRPr="0022554A" w:rsidTr="00517788">
        <w:tc>
          <w:tcPr>
            <w:tcW w:w="0" w:type="auto"/>
          </w:tcPr>
          <w:p w:rsidR="00191A23" w:rsidRPr="0022554A" w:rsidRDefault="00191A23" w:rsidP="00191A23">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0" w:type="auto"/>
          </w:tcPr>
          <w:p w:rsidR="00191A23" w:rsidRPr="0022554A" w:rsidRDefault="00191A23" w:rsidP="00191A23">
            <w:pPr>
              <w:tabs>
                <w:tab w:val="left" w:pos="5400"/>
              </w:tabs>
              <w:jc w:val="center"/>
              <w:rPr>
                <w:sz w:val="20"/>
              </w:rPr>
            </w:pPr>
            <w:r w:rsidRPr="0022554A">
              <w:rPr>
                <w:sz w:val="20"/>
              </w:rPr>
              <w:t>21</w:t>
            </w:r>
          </w:p>
        </w:tc>
        <w:tc>
          <w:tcPr>
            <w:tcW w:w="8687" w:type="dxa"/>
          </w:tcPr>
          <w:p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rsidR="00191A23" w:rsidRPr="0022554A" w:rsidRDefault="00B8705D" w:rsidP="00191A23">
            <w:pPr>
              <w:tabs>
                <w:tab w:val="left" w:pos="5400"/>
              </w:tabs>
              <w:rPr>
                <w:sz w:val="20"/>
              </w:rPr>
            </w:pPr>
            <w:r>
              <w:rPr>
                <w:sz w:val="20"/>
              </w:rPr>
              <w:t>20</w:t>
            </w:r>
          </w:p>
        </w:tc>
        <w:tc>
          <w:tcPr>
            <w:tcW w:w="3129" w:type="dxa"/>
          </w:tcPr>
          <w:p w:rsidR="00191A23" w:rsidRPr="0022554A" w:rsidRDefault="00B94418" w:rsidP="00191A23">
            <w:pPr>
              <w:tabs>
                <w:tab w:val="left" w:pos="5400"/>
              </w:tabs>
              <w:rPr>
                <w:sz w:val="20"/>
              </w:rPr>
            </w:pPr>
            <w:r>
              <w:rPr>
                <w:sz w:val="20"/>
              </w:rPr>
              <w:t xml:space="preserve">Discussion, final para: </w:t>
            </w:r>
            <w:r w:rsidR="00B8705D" w:rsidRPr="00B8705D">
              <w:rPr>
                <w:sz w:val="20"/>
              </w:rPr>
              <w:t>Infection and in particular serological data provide useful insights into transmission dynamics. Even if an EU meets trachoma elimination targets, this may not reflect complete interruption of transmission of Ct infection.</w:t>
            </w:r>
          </w:p>
        </w:tc>
      </w:tr>
      <w:tr w:rsidR="00191A23" w:rsidRPr="0022554A" w:rsidTr="00517788">
        <w:tc>
          <w:tcPr>
            <w:tcW w:w="1911" w:type="dxa"/>
            <w:gridSpan w:val="2"/>
          </w:tcPr>
          <w:p w:rsidR="00191A23" w:rsidRPr="0022554A" w:rsidRDefault="00191A23" w:rsidP="00191A23">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3"/>
          </w:tcPr>
          <w:p w:rsidR="00191A23" w:rsidRPr="0022554A" w:rsidRDefault="00191A23" w:rsidP="00191A23">
            <w:pPr>
              <w:pStyle w:val="TableSubHead"/>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rsidR="00191A23" w:rsidRPr="0022554A" w:rsidRDefault="00191A23" w:rsidP="00191A23">
            <w:pPr>
              <w:tabs>
                <w:tab w:val="left" w:pos="5400"/>
              </w:tabs>
              <w:jc w:val="center"/>
              <w:rPr>
                <w:sz w:val="20"/>
              </w:rPr>
            </w:pPr>
            <w:r w:rsidRPr="0022554A">
              <w:rPr>
                <w:sz w:val="20"/>
              </w:rPr>
              <w:t>22</w:t>
            </w:r>
          </w:p>
        </w:tc>
        <w:tc>
          <w:tcPr>
            <w:tcW w:w="8687" w:type="dxa"/>
          </w:tcPr>
          <w:p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191A23" w:rsidRPr="0022554A" w:rsidRDefault="00191A23" w:rsidP="00191A23">
            <w:pPr>
              <w:tabs>
                <w:tab w:val="left" w:pos="5400"/>
              </w:tabs>
              <w:rPr>
                <w:sz w:val="20"/>
              </w:rPr>
            </w:pPr>
          </w:p>
        </w:tc>
        <w:tc>
          <w:tcPr>
            <w:tcW w:w="3129" w:type="dxa"/>
          </w:tcPr>
          <w:p w:rsidR="00191A23" w:rsidRPr="0022554A" w:rsidRDefault="00B8705D" w:rsidP="00B8705D">
            <w:pPr>
              <w:tabs>
                <w:tab w:val="left" w:pos="5400"/>
              </w:tabs>
              <w:rPr>
                <w:sz w:val="20"/>
              </w:rPr>
            </w:pPr>
            <w:r>
              <w:rPr>
                <w:sz w:val="20"/>
              </w:rPr>
              <w:t xml:space="preserve">Added to PLOS submission </w:t>
            </w:r>
          </w:p>
        </w:tc>
      </w:tr>
      <w:bookmarkEnd w:id="94"/>
      <w:bookmarkEnd w:id="95"/>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w:t>
      </w:r>
      <w:proofErr w:type="gramStart"/>
      <w:r w:rsidRPr="002602FB">
        <w:rPr>
          <w:sz w:val="20"/>
        </w:rPr>
        <w:t>is best used</w:t>
      </w:r>
      <w:proofErr w:type="gramEnd"/>
      <w:r w:rsidRPr="002602FB">
        <w:rPr>
          <w:sz w:val="20"/>
        </w:rPr>
        <w:t xml:space="preserve">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bookmarkStart w:id="96" w:name="_GoBack"/>
      <w:bookmarkEnd w:id="96"/>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EA7" w:rsidRDefault="00512EA7">
      <w:r>
        <w:separator/>
      </w:r>
    </w:p>
  </w:endnote>
  <w:endnote w:type="continuationSeparator" w:id="0">
    <w:p w:rsidR="00512EA7" w:rsidRDefault="0051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4418">
      <w:rPr>
        <w:rStyle w:val="PageNumber"/>
        <w:noProof/>
      </w:rPr>
      <w:t>9</w:t>
    </w:r>
    <w:r>
      <w:rPr>
        <w:rStyle w:val="PageNumber"/>
      </w:rPr>
      <w:fldChar w:fldCharType="end"/>
    </w:r>
  </w:p>
  <w:p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EA7" w:rsidRDefault="00512EA7">
      <w:r>
        <w:separator/>
      </w:r>
    </w:p>
  </w:footnote>
  <w:footnote w:type="continuationSeparator" w:id="0">
    <w:p w:rsidR="00512EA7" w:rsidRDefault="0051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1B0F"/>
    <w:rsid w:val="00002974"/>
    <w:rsid w:val="00005F0F"/>
    <w:rsid w:val="00012C85"/>
    <w:rsid w:val="00023358"/>
    <w:rsid w:val="00023515"/>
    <w:rsid w:val="00040B07"/>
    <w:rsid w:val="00093E3A"/>
    <w:rsid w:val="000B6FD4"/>
    <w:rsid w:val="000E3193"/>
    <w:rsid w:val="000E691B"/>
    <w:rsid w:val="000F26ED"/>
    <w:rsid w:val="00110BFB"/>
    <w:rsid w:val="00134AAC"/>
    <w:rsid w:val="00171FE4"/>
    <w:rsid w:val="00191A23"/>
    <w:rsid w:val="001A495C"/>
    <w:rsid w:val="001A75E9"/>
    <w:rsid w:val="001E02AD"/>
    <w:rsid w:val="001F3743"/>
    <w:rsid w:val="0021265E"/>
    <w:rsid w:val="00215E03"/>
    <w:rsid w:val="00224268"/>
    <w:rsid w:val="0022554A"/>
    <w:rsid w:val="00226A29"/>
    <w:rsid w:val="002552FD"/>
    <w:rsid w:val="002602FB"/>
    <w:rsid w:val="002B385C"/>
    <w:rsid w:val="002C731D"/>
    <w:rsid w:val="002D06D0"/>
    <w:rsid w:val="002D1ABE"/>
    <w:rsid w:val="002F1A87"/>
    <w:rsid w:val="003127E5"/>
    <w:rsid w:val="003354B7"/>
    <w:rsid w:val="003508EF"/>
    <w:rsid w:val="00362ECE"/>
    <w:rsid w:val="00372129"/>
    <w:rsid w:val="00385050"/>
    <w:rsid w:val="00386191"/>
    <w:rsid w:val="00392898"/>
    <w:rsid w:val="003A3FDD"/>
    <w:rsid w:val="003A692A"/>
    <w:rsid w:val="003F0CD8"/>
    <w:rsid w:val="004003D2"/>
    <w:rsid w:val="00404D2C"/>
    <w:rsid w:val="004060E6"/>
    <w:rsid w:val="00407BEA"/>
    <w:rsid w:val="00422FD7"/>
    <w:rsid w:val="004243C8"/>
    <w:rsid w:val="00434B02"/>
    <w:rsid w:val="0045419E"/>
    <w:rsid w:val="0045734B"/>
    <w:rsid w:val="00465542"/>
    <w:rsid w:val="00472DF5"/>
    <w:rsid w:val="004934A4"/>
    <w:rsid w:val="00495204"/>
    <w:rsid w:val="004A2860"/>
    <w:rsid w:val="004A2D31"/>
    <w:rsid w:val="004A31B3"/>
    <w:rsid w:val="004A32C8"/>
    <w:rsid w:val="004C0170"/>
    <w:rsid w:val="004E1263"/>
    <w:rsid w:val="005044A6"/>
    <w:rsid w:val="00512EA7"/>
    <w:rsid w:val="00517788"/>
    <w:rsid w:val="00536CD2"/>
    <w:rsid w:val="00580ED5"/>
    <w:rsid w:val="00586EE5"/>
    <w:rsid w:val="00590F64"/>
    <w:rsid w:val="005923E5"/>
    <w:rsid w:val="005B567D"/>
    <w:rsid w:val="005D0CFC"/>
    <w:rsid w:val="005D19F4"/>
    <w:rsid w:val="005F254A"/>
    <w:rsid w:val="006149D3"/>
    <w:rsid w:val="0065657F"/>
    <w:rsid w:val="006640F2"/>
    <w:rsid w:val="00666336"/>
    <w:rsid w:val="00683E42"/>
    <w:rsid w:val="00684C5D"/>
    <w:rsid w:val="006A2F18"/>
    <w:rsid w:val="006A5DD9"/>
    <w:rsid w:val="006B2915"/>
    <w:rsid w:val="006B56D7"/>
    <w:rsid w:val="006C0B63"/>
    <w:rsid w:val="006C7601"/>
    <w:rsid w:val="006D16AA"/>
    <w:rsid w:val="006F66AC"/>
    <w:rsid w:val="00701AC5"/>
    <w:rsid w:val="00711D81"/>
    <w:rsid w:val="00744366"/>
    <w:rsid w:val="0074576C"/>
    <w:rsid w:val="00750A26"/>
    <w:rsid w:val="00754BA5"/>
    <w:rsid w:val="007562C3"/>
    <w:rsid w:val="00761EED"/>
    <w:rsid w:val="00781822"/>
    <w:rsid w:val="007C72F6"/>
    <w:rsid w:val="007F7FA0"/>
    <w:rsid w:val="00816966"/>
    <w:rsid w:val="00817D26"/>
    <w:rsid w:val="00821CD4"/>
    <w:rsid w:val="008423A7"/>
    <w:rsid w:val="008440CC"/>
    <w:rsid w:val="00852B5A"/>
    <w:rsid w:val="0089107E"/>
    <w:rsid w:val="00891604"/>
    <w:rsid w:val="008B26EB"/>
    <w:rsid w:val="008D225B"/>
    <w:rsid w:val="00921BF8"/>
    <w:rsid w:val="009367F9"/>
    <w:rsid w:val="009642BE"/>
    <w:rsid w:val="00972FE7"/>
    <w:rsid w:val="00976EE1"/>
    <w:rsid w:val="009872CC"/>
    <w:rsid w:val="00997E91"/>
    <w:rsid w:val="009B10F1"/>
    <w:rsid w:val="009B368D"/>
    <w:rsid w:val="009C24D4"/>
    <w:rsid w:val="009E0429"/>
    <w:rsid w:val="009F5211"/>
    <w:rsid w:val="009F6B4D"/>
    <w:rsid w:val="00A13C96"/>
    <w:rsid w:val="00A36B8D"/>
    <w:rsid w:val="00A42352"/>
    <w:rsid w:val="00A527E4"/>
    <w:rsid w:val="00A5640D"/>
    <w:rsid w:val="00A729D6"/>
    <w:rsid w:val="00A86619"/>
    <w:rsid w:val="00A938BF"/>
    <w:rsid w:val="00AB7BC4"/>
    <w:rsid w:val="00AE23EB"/>
    <w:rsid w:val="00AE2C57"/>
    <w:rsid w:val="00AF4615"/>
    <w:rsid w:val="00AF5804"/>
    <w:rsid w:val="00B41A89"/>
    <w:rsid w:val="00B50DF8"/>
    <w:rsid w:val="00B54EA0"/>
    <w:rsid w:val="00B60EFB"/>
    <w:rsid w:val="00B61567"/>
    <w:rsid w:val="00B65366"/>
    <w:rsid w:val="00B77807"/>
    <w:rsid w:val="00B86ED2"/>
    <w:rsid w:val="00B8705D"/>
    <w:rsid w:val="00B940E9"/>
    <w:rsid w:val="00B94418"/>
    <w:rsid w:val="00B94AFD"/>
    <w:rsid w:val="00BA1206"/>
    <w:rsid w:val="00BC7FE6"/>
    <w:rsid w:val="00BE3709"/>
    <w:rsid w:val="00C063CB"/>
    <w:rsid w:val="00C10BA7"/>
    <w:rsid w:val="00C9518C"/>
    <w:rsid w:val="00CA489B"/>
    <w:rsid w:val="00CB6CC8"/>
    <w:rsid w:val="00CC4C93"/>
    <w:rsid w:val="00D120D2"/>
    <w:rsid w:val="00D20D7C"/>
    <w:rsid w:val="00D26FCA"/>
    <w:rsid w:val="00D52AB5"/>
    <w:rsid w:val="00D6407C"/>
    <w:rsid w:val="00D87AF7"/>
    <w:rsid w:val="00D9573A"/>
    <w:rsid w:val="00DA120C"/>
    <w:rsid w:val="00DC4BEF"/>
    <w:rsid w:val="00DC793B"/>
    <w:rsid w:val="00DF2AC8"/>
    <w:rsid w:val="00E10628"/>
    <w:rsid w:val="00E144CD"/>
    <w:rsid w:val="00E2292B"/>
    <w:rsid w:val="00E230BE"/>
    <w:rsid w:val="00E341E9"/>
    <w:rsid w:val="00E644F5"/>
    <w:rsid w:val="00EA6E28"/>
    <w:rsid w:val="00EC67EB"/>
    <w:rsid w:val="00F0752A"/>
    <w:rsid w:val="00F21464"/>
    <w:rsid w:val="00F378D0"/>
    <w:rsid w:val="00F76A7F"/>
    <w:rsid w:val="00F838E1"/>
    <w:rsid w:val="00F842DC"/>
    <w:rsid w:val="00F876FF"/>
    <w:rsid w:val="00F93A89"/>
    <w:rsid w:val="00F970FA"/>
    <w:rsid w:val="00FA1420"/>
    <w:rsid w:val="00FA2721"/>
    <w:rsid w:val="00FA2FA4"/>
    <w:rsid w:val="00FA3D11"/>
    <w:rsid w:val="00FB00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70356CD"/>
  <w15:docId w15:val="{1026F6D1-FEB7-44A7-A88F-F818E2AC4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107</TotalTime>
  <Pages>9</Pages>
  <Words>1663</Words>
  <Characters>9481</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Laura Senyonjo</cp:lastModifiedBy>
  <cp:revision>29</cp:revision>
  <cp:lastPrinted>2018-04-11T11:02:00Z</cp:lastPrinted>
  <dcterms:created xsi:type="dcterms:W3CDTF">2018-07-23T14:26:00Z</dcterms:created>
  <dcterms:modified xsi:type="dcterms:W3CDTF">2018-08-31T12:44:00Z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