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BB" w:rsidRPr="00D57E43" w:rsidRDefault="006D22BB" w:rsidP="00E475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57E43">
        <w:rPr>
          <w:rFonts w:ascii="Times New Roman" w:hAnsi="Times New Roman"/>
          <w:b/>
          <w:sz w:val="24"/>
          <w:szCs w:val="24"/>
        </w:rPr>
        <w:t>SUPPORTING INFORMATION</w:t>
      </w:r>
    </w:p>
    <w:p w:rsidR="002E65CD" w:rsidRPr="00D57E43" w:rsidRDefault="002E65CD" w:rsidP="00F32829">
      <w:pPr>
        <w:pStyle w:val="ListParagraph"/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D57E43">
        <w:rPr>
          <w:rFonts w:ascii="Times New Roman" w:hAnsi="Times New Roman"/>
          <w:b/>
          <w:noProof/>
          <w:sz w:val="24"/>
          <w:szCs w:val="24"/>
        </w:rPr>
        <w:t>Institutional Review Board (IRB) approvals</w:t>
      </w:r>
    </w:p>
    <w:p w:rsidR="006D22BB" w:rsidRPr="00D57E43" w:rsidRDefault="006D22BB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The IRB approvals for each participating center are listed below:</w:t>
      </w:r>
    </w:p>
    <w:p w:rsidR="006D22BB" w:rsidRPr="00D57E43" w:rsidRDefault="006D22BB" w:rsidP="00EC6712">
      <w:pPr>
        <w:pStyle w:val="ListParagraph"/>
        <w:widowControl w:val="0"/>
        <w:numPr>
          <w:ilvl w:val="0"/>
          <w:numId w:val="6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University of Pennsylvania (parent IRB for all study sites): Protocol #824398</w:t>
      </w:r>
    </w:p>
    <w:p w:rsidR="006D22BB" w:rsidRPr="00D57E43" w:rsidRDefault="006D22BB" w:rsidP="00EC6712">
      <w:pPr>
        <w:pStyle w:val="ListParagraph"/>
        <w:widowControl w:val="0"/>
        <w:numPr>
          <w:ilvl w:val="0"/>
          <w:numId w:val="6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Drexel University: Protocol #160400452</w:t>
      </w:r>
    </w:p>
    <w:p w:rsidR="006D22BB" w:rsidRPr="00D57E43" w:rsidRDefault="006D22BB" w:rsidP="00EC6712">
      <w:pPr>
        <w:pStyle w:val="ListParagraph"/>
        <w:widowControl w:val="0"/>
        <w:numPr>
          <w:ilvl w:val="0"/>
          <w:numId w:val="6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Albert Einstein Healthcare Network: Executed an IRB Authorization Agreement to serve as relying IRB for Protocol #824398 at the University of Pennsylvania</w:t>
      </w:r>
    </w:p>
    <w:p w:rsidR="006D22BB" w:rsidRPr="00D57E43" w:rsidRDefault="006D22BB" w:rsidP="00EC6712">
      <w:pPr>
        <w:pStyle w:val="ListParagraph"/>
        <w:widowControl w:val="0"/>
        <w:numPr>
          <w:ilvl w:val="0"/>
          <w:numId w:val="6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Temple University: Protocol #23715, Executed an IRB Data Use Agreeement to serve as relying IRB for Protocol #824398 at the University of Pennsylvania</w:t>
      </w:r>
    </w:p>
    <w:p w:rsidR="00BD3DEB" w:rsidRPr="00D57E43" w:rsidRDefault="00BD3DEB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B6668" w:rsidRPr="00D57E43" w:rsidRDefault="007B6668" w:rsidP="002A744D">
      <w:pPr>
        <w:pStyle w:val="ListParagraph"/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D57E43">
        <w:rPr>
          <w:rFonts w:ascii="Times New Roman" w:hAnsi="Times New Roman"/>
          <w:b/>
          <w:noProof/>
          <w:sz w:val="24"/>
          <w:szCs w:val="24"/>
        </w:rPr>
        <w:t>Antibiotic categorizations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For the purposes of the analysis, antibiotic exposures were grouped into </w:t>
      </w:r>
      <w:r w:rsidRPr="00D57E43">
        <w:rPr>
          <w:rFonts w:ascii="Times New Roman" w:hAnsi="Times New Roman"/>
          <w:sz w:val="24"/>
          <w:szCs w:val="24"/>
        </w:rPr>
        <w:t>five</w:t>
      </w:r>
      <w:r w:rsidRPr="00D57E43">
        <w:rPr>
          <w:rFonts w:ascii="Times New Roman" w:hAnsi="Times New Roman"/>
          <w:sz w:val="24"/>
          <w:szCs w:val="24"/>
        </w:rPr>
        <w:t xml:space="preserve"> major categories: 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(1) </w:t>
      </w:r>
      <w:r w:rsidRPr="00D57E43">
        <w:rPr>
          <w:rFonts w:ascii="Times New Roman" w:hAnsi="Times New Roman"/>
          <w:sz w:val="24"/>
          <w:szCs w:val="24"/>
        </w:rPr>
        <w:t>B</w:t>
      </w:r>
      <w:r w:rsidRPr="00D57E43">
        <w:rPr>
          <w:rFonts w:ascii="Times New Roman" w:hAnsi="Times New Roman"/>
          <w:sz w:val="24"/>
          <w:szCs w:val="24"/>
        </w:rPr>
        <w:t xml:space="preserve">road Gram-negative (GN) </w:t>
      </w:r>
      <w:r w:rsidRPr="00D57E43">
        <w:rPr>
          <w:rFonts w:ascii="Times New Roman" w:hAnsi="Times New Roman"/>
          <w:sz w:val="24"/>
          <w:szCs w:val="24"/>
        </w:rPr>
        <w:t xml:space="preserve">antibiotics: </w:t>
      </w:r>
      <w:r w:rsidRPr="00D57E43">
        <w:rPr>
          <w:rFonts w:ascii="Times New Roman" w:hAnsi="Times New Roman"/>
          <w:sz w:val="24"/>
          <w:szCs w:val="24"/>
        </w:rPr>
        <w:t>agents with antipseudomonal</w:t>
      </w:r>
      <w:r w:rsidRPr="00D57E43">
        <w:rPr>
          <w:rFonts w:ascii="Times New Roman" w:hAnsi="Times New Roman"/>
          <w:sz w:val="24"/>
          <w:szCs w:val="24"/>
        </w:rPr>
        <w:t xml:space="preserve"> activity;</w:t>
      </w:r>
      <w:r w:rsidRPr="00D57E43">
        <w:rPr>
          <w:rFonts w:ascii="Times New Roman" w:hAnsi="Times New Roman"/>
          <w:sz w:val="24"/>
          <w:szCs w:val="24"/>
        </w:rPr>
        <w:t xml:space="preserve"> specifically fluoroquinolones, </w:t>
      </w:r>
      <w:proofErr w:type="spellStart"/>
      <w:r w:rsidRPr="00D57E43">
        <w:rPr>
          <w:rFonts w:ascii="Times New Roman" w:hAnsi="Times New Roman"/>
          <w:sz w:val="24"/>
          <w:szCs w:val="24"/>
        </w:rPr>
        <w:t>cefepime</w:t>
      </w:r>
      <w:proofErr w:type="spellEnd"/>
      <w:r w:rsidRPr="00D57E43">
        <w:rPr>
          <w:rFonts w:ascii="Times New Roman" w:hAnsi="Times New Roman"/>
          <w:sz w:val="24"/>
          <w:szCs w:val="24"/>
        </w:rPr>
        <w:t>, ceftazidime, piperacillin-</w:t>
      </w:r>
      <w:proofErr w:type="spellStart"/>
      <w:r w:rsidRPr="00D57E43">
        <w:rPr>
          <w:rFonts w:ascii="Times New Roman" w:hAnsi="Times New Roman"/>
          <w:sz w:val="24"/>
          <w:szCs w:val="24"/>
        </w:rPr>
        <w:t>tazobactam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E43">
        <w:rPr>
          <w:rFonts w:ascii="Times New Roman" w:hAnsi="Times New Roman"/>
          <w:sz w:val="24"/>
          <w:szCs w:val="24"/>
        </w:rPr>
        <w:t>meropenem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E43">
        <w:rPr>
          <w:rFonts w:ascii="Times New Roman" w:hAnsi="Times New Roman"/>
          <w:sz w:val="24"/>
          <w:szCs w:val="24"/>
        </w:rPr>
        <w:t>aztreonam</w:t>
      </w:r>
      <w:proofErr w:type="spellEnd"/>
      <w:r w:rsidRPr="00D57E43">
        <w:rPr>
          <w:rFonts w:ascii="Times New Roman" w:hAnsi="Times New Roman"/>
          <w:sz w:val="24"/>
          <w:szCs w:val="24"/>
        </w:rPr>
        <w:t>, gentamicin, and tobramycin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(2) </w:t>
      </w:r>
      <w:r w:rsidRPr="00D57E43">
        <w:rPr>
          <w:rFonts w:ascii="Times New Roman" w:hAnsi="Times New Roman"/>
          <w:sz w:val="24"/>
          <w:szCs w:val="24"/>
        </w:rPr>
        <w:t>N</w:t>
      </w:r>
      <w:r w:rsidRPr="00D57E43">
        <w:rPr>
          <w:rFonts w:ascii="Times New Roman" w:hAnsi="Times New Roman"/>
          <w:sz w:val="24"/>
          <w:szCs w:val="24"/>
        </w:rPr>
        <w:t>arrow GN</w:t>
      </w:r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sz w:val="24"/>
          <w:szCs w:val="24"/>
        </w:rPr>
        <w:t>antibiotics</w:t>
      </w:r>
      <w:r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sz w:val="24"/>
          <w:szCs w:val="24"/>
        </w:rPr>
        <w:t>agents with GN coverage but no antipseudomonal activity</w:t>
      </w:r>
      <w:r w:rsidRPr="00D57E43">
        <w:rPr>
          <w:rFonts w:ascii="Times New Roman" w:hAnsi="Times New Roman"/>
          <w:sz w:val="24"/>
          <w:szCs w:val="24"/>
        </w:rPr>
        <w:t>;</w:t>
      </w:r>
      <w:r w:rsidRPr="00D57E43">
        <w:rPr>
          <w:rFonts w:ascii="Times New Roman" w:hAnsi="Times New Roman"/>
          <w:sz w:val="24"/>
          <w:szCs w:val="24"/>
        </w:rPr>
        <w:t xml:space="preserve"> specifically ceftriaxone, cefotaxime, ampicillin-sulbactam, and amoxicillin-clavulanate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(3) </w:t>
      </w:r>
      <w:r w:rsidRPr="00D57E43">
        <w:rPr>
          <w:rFonts w:ascii="Times New Roman" w:hAnsi="Times New Roman"/>
          <w:sz w:val="24"/>
          <w:szCs w:val="24"/>
        </w:rPr>
        <w:t>B</w:t>
      </w:r>
      <w:r w:rsidRPr="00D57E43">
        <w:rPr>
          <w:rFonts w:ascii="Times New Roman" w:hAnsi="Times New Roman"/>
          <w:sz w:val="24"/>
          <w:szCs w:val="24"/>
        </w:rPr>
        <w:t>road Gram-positive (GP) antibiotics</w:t>
      </w:r>
      <w:r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sz w:val="24"/>
          <w:szCs w:val="24"/>
        </w:rPr>
        <w:t>agents active against MRSA and/or VRE</w:t>
      </w:r>
      <w:r w:rsidRPr="00D57E43">
        <w:rPr>
          <w:rFonts w:ascii="Times New Roman" w:hAnsi="Times New Roman"/>
          <w:sz w:val="24"/>
          <w:szCs w:val="24"/>
        </w:rPr>
        <w:t>;</w:t>
      </w:r>
      <w:r w:rsidRPr="00D57E43">
        <w:rPr>
          <w:rFonts w:ascii="Times New Roman" w:hAnsi="Times New Roman"/>
          <w:sz w:val="24"/>
          <w:szCs w:val="24"/>
        </w:rPr>
        <w:t xml:space="preserve"> specifically vancomycin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>(4)</w:t>
      </w:r>
      <w:r w:rsidRPr="00D57E43">
        <w:rPr>
          <w:rFonts w:ascii="Times New Roman" w:hAnsi="Times New Roman"/>
          <w:sz w:val="24"/>
          <w:szCs w:val="24"/>
        </w:rPr>
        <w:t xml:space="preserve"> N</w:t>
      </w:r>
      <w:r w:rsidRPr="00D57E43">
        <w:rPr>
          <w:rFonts w:ascii="Times New Roman" w:hAnsi="Times New Roman"/>
          <w:sz w:val="24"/>
          <w:szCs w:val="24"/>
        </w:rPr>
        <w:t>arrow GP antibiotics</w:t>
      </w:r>
      <w:r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sz w:val="24"/>
          <w:szCs w:val="24"/>
        </w:rPr>
        <w:t>agents active against GP organisms but which do not cover MRSA and/or VRE</w:t>
      </w:r>
      <w:r w:rsidRPr="00D57E43">
        <w:rPr>
          <w:rFonts w:ascii="Times New Roman" w:hAnsi="Times New Roman"/>
          <w:sz w:val="24"/>
          <w:szCs w:val="24"/>
        </w:rPr>
        <w:t>;</w:t>
      </w:r>
      <w:r w:rsidRPr="00D57E43">
        <w:rPr>
          <w:rFonts w:ascii="Times New Roman" w:hAnsi="Times New Roman"/>
          <w:sz w:val="24"/>
          <w:szCs w:val="24"/>
        </w:rPr>
        <w:t xml:space="preserve"> specifically cefazolin and </w:t>
      </w:r>
      <w:proofErr w:type="spellStart"/>
      <w:r w:rsidRPr="00D57E43">
        <w:rPr>
          <w:rFonts w:ascii="Times New Roman" w:hAnsi="Times New Roman"/>
          <w:sz w:val="24"/>
          <w:szCs w:val="24"/>
        </w:rPr>
        <w:t>nafcillin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(5) Other </w:t>
      </w:r>
      <w:r w:rsidRPr="00D57E43">
        <w:rPr>
          <w:rFonts w:ascii="Times New Roman" w:hAnsi="Times New Roman"/>
          <w:sz w:val="24"/>
          <w:szCs w:val="24"/>
        </w:rPr>
        <w:t>antibiotics</w:t>
      </w:r>
      <w:r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sz w:val="24"/>
          <w:szCs w:val="24"/>
        </w:rPr>
        <w:t xml:space="preserve">metronidazole, azithromycin, doxycycline, clindamycin, </w:t>
      </w:r>
      <w:proofErr w:type="spellStart"/>
      <w:r w:rsidRPr="00D57E43">
        <w:rPr>
          <w:rFonts w:ascii="Times New Roman" w:hAnsi="Times New Roman"/>
          <w:sz w:val="24"/>
          <w:szCs w:val="24"/>
        </w:rPr>
        <w:t>rifaximin</w:t>
      </w:r>
      <w:proofErr w:type="spellEnd"/>
      <w:r w:rsidRPr="00D57E43">
        <w:rPr>
          <w:rFonts w:ascii="Times New Roman" w:hAnsi="Times New Roman"/>
          <w:sz w:val="24"/>
          <w:szCs w:val="24"/>
        </w:rPr>
        <w:t>, trimethoprim-sulfamethoxazole, and erythromycin</w:t>
      </w:r>
    </w:p>
    <w:p w:rsidR="007B6668" w:rsidRPr="00D57E43" w:rsidRDefault="007B6668" w:rsidP="007B666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lastRenderedPageBreak/>
        <w:t xml:space="preserve">Following the initial analyses using this antibiotic grouping, we performed three sensitivity analyses were the definition of “narrow GN antibiotics” was revised (see Supporting Information </w:t>
      </w:r>
      <w:r w:rsidRPr="00D57E43">
        <w:rPr>
          <w:rFonts w:ascii="Times New Roman" w:hAnsi="Times New Roman"/>
          <w:sz w:val="24"/>
          <w:szCs w:val="24"/>
        </w:rPr>
        <w:t xml:space="preserve">[D.2.] </w:t>
      </w:r>
      <w:r w:rsidRPr="00D57E43">
        <w:rPr>
          <w:rFonts w:ascii="Times New Roman" w:hAnsi="Times New Roman"/>
          <w:sz w:val="24"/>
          <w:szCs w:val="24"/>
        </w:rPr>
        <w:t>for details).</w:t>
      </w:r>
    </w:p>
    <w:p w:rsidR="007B6668" w:rsidRPr="00D57E43" w:rsidRDefault="007B6668" w:rsidP="007B6668">
      <w:pPr>
        <w:widowControl w:val="0"/>
        <w:spacing w:after="0" w:line="480" w:lineRule="auto"/>
        <w:ind w:firstLine="360"/>
        <w:rPr>
          <w:rFonts w:ascii="Times New Roman" w:hAnsi="Times New Roman"/>
          <w:b/>
          <w:noProof/>
          <w:sz w:val="24"/>
          <w:szCs w:val="24"/>
        </w:rPr>
      </w:pPr>
    </w:p>
    <w:p w:rsidR="002A744D" w:rsidRPr="00D57E43" w:rsidRDefault="002A744D" w:rsidP="002A744D">
      <w:pPr>
        <w:pStyle w:val="ListParagraph"/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D57E43">
        <w:rPr>
          <w:rFonts w:ascii="Times New Roman" w:hAnsi="Times New Roman"/>
          <w:b/>
          <w:noProof/>
          <w:sz w:val="24"/>
          <w:szCs w:val="24"/>
        </w:rPr>
        <w:t>Additional information on isolate susceptibilities</w:t>
      </w:r>
    </w:p>
    <w:p w:rsidR="002A744D" w:rsidRPr="00D57E43" w:rsidRDefault="007B6668" w:rsidP="00E4751F">
      <w:pPr>
        <w:widowControl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D57E43">
        <w:rPr>
          <w:rFonts w:ascii="Times New Roman" w:hAnsi="Times New Roman"/>
          <w:sz w:val="24"/>
          <w:szCs w:val="24"/>
          <w:u w:val="single"/>
        </w:rPr>
        <w:t>MDRO definitions</w:t>
      </w:r>
      <w:r w:rsidR="002A744D" w:rsidRPr="00D57E43">
        <w:rPr>
          <w:rFonts w:ascii="Times New Roman" w:hAnsi="Times New Roman"/>
          <w:sz w:val="24"/>
          <w:szCs w:val="24"/>
          <w:u w:val="single"/>
        </w:rPr>
        <w:t>:</w:t>
      </w:r>
    </w:p>
    <w:p w:rsidR="002A744D" w:rsidRPr="00D57E43" w:rsidRDefault="00EE6B2C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>Methicillin-resistant</w:t>
      </w:r>
      <w:r w:rsidRPr="00D57E43">
        <w:rPr>
          <w:rFonts w:ascii="Times New Roman" w:hAnsi="Times New Roman"/>
          <w:i/>
          <w:sz w:val="24"/>
          <w:szCs w:val="24"/>
        </w:rPr>
        <w:t xml:space="preserve"> Staphylococcus aureus</w:t>
      </w:r>
      <w:r w:rsidRPr="00D57E43">
        <w:rPr>
          <w:rFonts w:ascii="Times New Roman" w:hAnsi="Times New Roman"/>
          <w:sz w:val="24"/>
          <w:szCs w:val="24"/>
        </w:rPr>
        <w:t xml:space="preserve"> (MRSA)</w:t>
      </w:r>
      <w:r w:rsidR="002A744D"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i/>
          <w:sz w:val="24"/>
          <w:szCs w:val="24"/>
        </w:rPr>
        <w:t>S. aureus</w:t>
      </w:r>
      <w:r w:rsidRPr="00D57E43">
        <w:rPr>
          <w:rFonts w:ascii="Times New Roman" w:hAnsi="Times New Roman"/>
          <w:sz w:val="24"/>
          <w:szCs w:val="24"/>
        </w:rPr>
        <w:t xml:space="preserve"> that has tested resistant to at least one of the following: methicillin, oxacillin, or </w:t>
      </w:r>
      <w:proofErr w:type="spellStart"/>
      <w:r w:rsidRPr="00D57E43">
        <w:rPr>
          <w:rFonts w:ascii="Times New Roman" w:hAnsi="Times New Roman"/>
          <w:sz w:val="24"/>
          <w:szCs w:val="24"/>
        </w:rPr>
        <w:t>cefoxitin</w:t>
      </w:r>
      <w:proofErr w:type="spellEnd"/>
      <w:r w:rsidR="007B6668" w:rsidRPr="00D57E43">
        <w:rPr>
          <w:rFonts w:ascii="Times New Roman" w:hAnsi="Times New Roman"/>
          <w:sz w:val="24"/>
          <w:szCs w:val="24"/>
        </w:rPr>
        <w:t>.</w:t>
      </w:r>
    </w:p>
    <w:p w:rsidR="00EE6B2C" w:rsidRPr="00D57E43" w:rsidRDefault="00EE6B2C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Vancomycin-resistant enterococci (VRE): </w:t>
      </w:r>
      <w:r w:rsidRPr="00D57E43">
        <w:rPr>
          <w:rFonts w:ascii="Times New Roman" w:hAnsi="Times New Roman"/>
          <w:i/>
          <w:sz w:val="24"/>
          <w:szCs w:val="24"/>
        </w:rPr>
        <w:t xml:space="preserve">E. </w:t>
      </w:r>
      <w:proofErr w:type="spellStart"/>
      <w:r w:rsidRPr="00D57E43">
        <w:rPr>
          <w:rFonts w:ascii="Times New Roman" w:hAnsi="Times New Roman"/>
          <w:i/>
          <w:sz w:val="24"/>
          <w:szCs w:val="24"/>
        </w:rPr>
        <w:t>faecalis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or </w:t>
      </w:r>
      <w:r w:rsidRPr="00D57E43">
        <w:rPr>
          <w:rFonts w:ascii="Times New Roman" w:hAnsi="Times New Roman"/>
          <w:i/>
          <w:sz w:val="24"/>
          <w:szCs w:val="24"/>
        </w:rPr>
        <w:t xml:space="preserve">E. </w:t>
      </w:r>
      <w:proofErr w:type="spellStart"/>
      <w:r w:rsidRPr="00D57E43">
        <w:rPr>
          <w:rFonts w:ascii="Times New Roman" w:hAnsi="Times New Roman"/>
          <w:i/>
          <w:sz w:val="24"/>
          <w:szCs w:val="24"/>
        </w:rPr>
        <w:t>faecium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that has tested resistant to vancomycin.</w:t>
      </w:r>
    </w:p>
    <w:p w:rsidR="002A744D" w:rsidRPr="00D57E43" w:rsidRDefault="00173014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>Extended-spectrum cephalosporin-resistant (ESC-R) Enterobacteriaceae (EB)</w:t>
      </w:r>
      <w:r w:rsidR="002A744D" w:rsidRPr="00D57E43">
        <w:rPr>
          <w:rFonts w:ascii="Times New Roman" w:hAnsi="Times New Roman"/>
          <w:sz w:val="24"/>
          <w:szCs w:val="24"/>
        </w:rPr>
        <w:t xml:space="preserve">: </w:t>
      </w:r>
      <w:r w:rsidR="0099335F" w:rsidRPr="00D57E43">
        <w:rPr>
          <w:rFonts w:ascii="Times New Roman" w:hAnsi="Times New Roman"/>
          <w:sz w:val="24"/>
          <w:szCs w:val="24"/>
        </w:rPr>
        <w:t xml:space="preserve">EB that </w:t>
      </w:r>
      <w:r w:rsidR="00763CA0" w:rsidRPr="00D57E43">
        <w:rPr>
          <w:rFonts w:ascii="Times New Roman" w:hAnsi="Times New Roman"/>
          <w:sz w:val="24"/>
          <w:szCs w:val="24"/>
        </w:rPr>
        <w:t>has tested resistant to one of the following:</w:t>
      </w:r>
      <w:r w:rsidR="0099335F" w:rsidRPr="00D57E43">
        <w:rPr>
          <w:rFonts w:ascii="Times New Roman" w:hAnsi="Times New Roman"/>
          <w:sz w:val="24"/>
          <w:szCs w:val="24"/>
        </w:rPr>
        <w:t xml:space="preserve"> ceftazidime, cefotaxime, ceftriaxone, or </w:t>
      </w:r>
      <w:proofErr w:type="spellStart"/>
      <w:r w:rsidR="0099335F" w:rsidRPr="00D57E43">
        <w:rPr>
          <w:rFonts w:ascii="Times New Roman" w:hAnsi="Times New Roman"/>
          <w:sz w:val="24"/>
          <w:szCs w:val="24"/>
        </w:rPr>
        <w:t>cefepime</w:t>
      </w:r>
      <w:proofErr w:type="spellEnd"/>
    </w:p>
    <w:p w:rsidR="00763CA0" w:rsidRPr="00D57E43" w:rsidRDefault="00763CA0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Carbapenem-resistant Enterobacteriaceae (CRE): EB that has tested resistant to at least one of the following: imipenem, </w:t>
      </w:r>
      <w:proofErr w:type="spellStart"/>
      <w:r w:rsidRPr="00D57E43">
        <w:rPr>
          <w:rFonts w:ascii="Times New Roman" w:hAnsi="Times New Roman"/>
          <w:sz w:val="24"/>
          <w:szCs w:val="24"/>
        </w:rPr>
        <w:t>meropenem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E43">
        <w:rPr>
          <w:rFonts w:ascii="Times New Roman" w:hAnsi="Times New Roman"/>
          <w:sz w:val="24"/>
          <w:szCs w:val="24"/>
        </w:rPr>
        <w:t>doripenem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or </w:t>
      </w:r>
      <w:proofErr w:type="spellStart"/>
      <w:r w:rsidRPr="00D57E43">
        <w:rPr>
          <w:rFonts w:ascii="Times New Roman" w:hAnsi="Times New Roman"/>
          <w:sz w:val="24"/>
          <w:szCs w:val="24"/>
        </w:rPr>
        <w:t>ertapenem</w:t>
      </w:r>
      <w:proofErr w:type="spellEnd"/>
    </w:p>
    <w:p w:rsidR="0099335F" w:rsidRPr="00D57E43" w:rsidRDefault="0099335F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>MDR-</w:t>
      </w:r>
      <w:r w:rsidRPr="00D57E43">
        <w:rPr>
          <w:rFonts w:ascii="Times New Roman" w:hAnsi="Times New Roman"/>
          <w:i/>
          <w:sz w:val="24"/>
          <w:szCs w:val="24"/>
        </w:rPr>
        <w:t>Pseudomonas</w:t>
      </w:r>
      <w:r w:rsidR="002A744D" w:rsidRPr="00D57E43">
        <w:rPr>
          <w:rFonts w:ascii="Times New Roman" w:hAnsi="Times New Roman"/>
          <w:sz w:val="24"/>
          <w:szCs w:val="24"/>
        </w:rPr>
        <w:t>:</w:t>
      </w:r>
      <w:r w:rsidRPr="00D57E43">
        <w:rPr>
          <w:rFonts w:ascii="Times New Roman" w:hAnsi="Times New Roman"/>
          <w:sz w:val="24"/>
          <w:szCs w:val="24"/>
        </w:rPr>
        <w:t xml:space="preserve"> </w:t>
      </w:r>
      <w:r w:rsidR="00763CA0" w:rsidRPr="00D57E43">
        <w:rPr>
          <w:rFonts w:ascii="Times New Roman" w:hAnsi="Times New Roman"/>
          <w:i/>
          <w:sz w:val="24"/>
          <w:szCs w:val="24"/>
        </w:rPr>
        <w:t>Pseudomonas</w:t>
      </w:r>
      <w:r w:rsidR="00763CA0" w:rsidRPr="00D57E43">
        <w:rPr>
          <w:rFonts w:ascii="Times New Roman" w:hAnsi="Times New Roman"/>
          <w:sz w:val="24"/>
          <w:szCs w:val="24"/>
        </w:rPr>
        <w:t xml:space="preserve"> species that has tested e</w:t>
      </w:r>
      <w:r w:rsidRPr="00D57E43">
        <w:rPr>
          <w:rFonts w:ascii="Times New Roman" w:hAnsi="Times New Roman"/>
          <w:sz w:val="24"/>
          <w:szCs w:val="24"/>
        </w:rPr>
        <w:t xml:space="preserve">ither intermediate or resistant to at least one </w:t>
      </w:r>
      <w:r w:rsidR="00763CA0" w:rsidRPr="00D57E43">
        <w:rPr>
          <w:rFonts w:ascii="Times New Roman" w:hAnsi="Times New Roman"/>
          <w:sz w:val="24"/>
          <w:szCs w:val="24"/>
        </w:rPr>
        <w:t>of the following</w:t>
      </w:r>
      <w:r w:rsidRPr="00D57E43">
        <w:rPr>
          <w:rFonts w:ascii="Times New Roman" w:hAnsi="Times New Roman"/>
          <w:sz w:val="24"/>
          <w:szCs w:val="24"/>
        </w:rPr>
        <w:t>: extended-spectrum cephalosporins (</w:t>
      </w:r>
      <w:proofErr w:type="spellStart"/>
      <w:r w:rsidRPr="00D57E43">
        <w:rPr>
          <w:rFonts w:ascii="Times New Roman" w:hAnsi="Times New Roman"/>
          <w:sz w:val="24"/>
          <w:szCs w:val="24"/>
        </w:rPr>
        <w:t>cefepime</w:t>
      </w:r>
      <w:proofErr w:type="spellEnd"/>
      <w:r w:rsidRPr="00D57E43">
        <w:rPr>
          <w:rFonts w:ascii="Times New Roman" w:hAnsi="Times New Roman"/>
          <w:sz w:val="24"/>
          <w:szCs w:val="24"/>
        </w:rPr>
        <w:t>, ceftazidime)</w:t>
      </w:r>
      <w:r w:rsidR="007B6668" w:rsidRPr="00D57E43">
        <w:rPr>
          <w:rFonts w:ascii="Times New Roman" w:hAnsi="Times New Roman"/>
          <w:sz w:val="24"/>
          <w:szCs w:val="24"/>
        </w:rPr>
        <w:t>;</w:t>
      </w:r>
      <w:r w:rsidRPr="00D57E43">
        <w:rPr>
          <w:rFonts w:ascii="Times New Roman" w:hAnsi="Times New Roman"/>
          <w:sz w:val="24"/>
          <w:szCs w:val="24"/>
        </w:rPr>
        <w:t xml:space="preserve"> fluoroquinolones (ciprofloxacin, levofloxacin); aminoglycosides (amikacin, gentamicin, tobramycin</w:t>
      </w:r>
      <w:r w:rsidR="007B6668" w:rsidRPr="00D57E43">
        <w:rPr>
          <w:rFonts w:ascii="Times New Roman" w:hAnsi="Times New Roman"/>
          <w:sz w:val="24"/>
          <w:szCs w:val="24"/>
        </w:rPr>
        <w:t>);</w:t>
      </w:r>
      <w:r w:rsidRPr="00D57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E43">
        <w:rPr>
          <w:rFonts w:ascii="Times New Roman" w:hAnsi="Times New Roman"/>
          <w:sz w:val="24"/>
          <w:szCs w:val="24"/>
        </w:rPr>
        <w:t>carbapenems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(imipenem, </w:t>
      </w:r>
      <w:proofErr w:type="spellStart"/>
      <w:r w:rsidRPr="00D57E43">
        <w:rPr>
          <w:rFonts w:ascii="Times New Roman" w:hAnsi="Times New Roman"/>
          <w:sz w:val="24"/>
          <w:szCs w:val="24"/>
        </w:rPr>
        <w:t>meropenem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E43">
        <w:rPr>
          <w:rFonts w:ascii="Times New Roman" w:hAnsi="Times New Roman"/>
          <w:sz w:val="24"/>
          <w:szCs w:val="24"/>
        </w:rPr>
        <w:t>doripenem</w:t>
      </w:r>
      <w:proofErr w:type="spellEnd"/>
      <w:r w:rsidR="007B6668" w:rsidRPr="00D57E43">
        <w:rPr>
          <w:rFonts w:ascii="Times New Roman" w:hAnsi="Times New Roman"/>
          <w:sz w:val="24"/>
          <w:szCs w:val="24"/>
        </w:rPr>
        <w:t>);</w:t>
      </w:r>
      <w:r w:rsidRPr="00D57E43">
        <w:rPr>
          <w:rFonts w:ascii="Times New Roman" w:hAnsi="Times New Roman"/>
          <w:sz w:val="24"/>
          <w:szCs w:val="24"/>
        </w:rPr>
        <w:t xml:space="preserve"> piperacillin/piperacillin-</w:t>
      </w:r>
      <w:proofErr w:type="spellStart"/>
      <w:r w:rsidRPr="00D57E43">
        <w:rPr>
          <w:rFonts w:ascii="Times New Roman" w:hAnsi="Times New Roman"/>
          <w:sz w:val="24"/>
          <w:szCs w:val="24"/>
        </w:rPr>
        <w:t>tazobactam</w:t>
      </w:r>
      <w:proofErr w:type="spellEnd"/>
      <w:r w:rsidRPr="00D57E43">
        <w:rPr>
          <w:rFonts w:ascii="Times New Roman" w:hAnsi="Times New Roman"/>
          <w:sz w:val="24"/>
          <w:szCs w:val="24"/>
        </w:rPr>
        <w:t>.</w:t>
      </w:r>
    </w:p>
    <w:p w:rsidR="00763CA0" w:rsidRPr="00D57E43" w:rsidRDefault="00763CA0" w:rsidP="00782CBC">
      <w:pPr>
        <w:pStyle w:val="ListParagraph"/>
        <w:widowControl w:val="0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>MDR-</w:t>
      </w:r>
      <w:r w:rsidRPr="00D57E43">
        <w:rPr>
          <w:rFonts w:ascii="Times New Roman" w:hAnsi="Times New Roman"/>
          <w:i/>
          <w:sz w:val="24"/>
          <w:szCs w:val="24"/>
        </w:rPr>
        <w:t>Acinetobacter</w:t>
      </w:r>
      <w:r w:rsidRPr="00D57E43">
        <w:rPr>
          <w:rFonts w:ascii="Times New Roman" w:hAnsi="Times New Roman"/>
          <w:sz w:val="24"/>
          <w:szCs w:val="24"/>
        </w:rPr>
        <w:t xml:space="preserve">: </w:t>
      </w:r>
      <w:r w:rsidRPr="00D57E43">
        <w:rPr>
          <w:rFonts w:ascii="Times New Roman" w:hAnsi="Times New Roman"/>
          <w:i/>
          <w:sz w:val="24"/>
          <w:szCs w:val="24"/>
        </w:rPr>
        <w:t xml:space="preserve">Acinetobacter </w:t>
      </w:r>
      <w:r w:rsidRPr="00D57E43">
        <w:rPr>
          <w:rFonts w:ascii="Times New Roman" w:hAnsi="Times New Roman"/>
          <w:sz w:val="24"/>
          <w:szCs w:val="24"/>
        </w:rPr>
        <w:t>species that has tested either intermediate or resistant to at least one of the following: extended-spectrum cephalosporins (</w:t>
      </w:r>
      <w:proofErr w:type="spellStart"/>
      <w:r w:rsidRPr="00D57E43">
        <w:rPr>
          <w:rFonts w:ascii="Times New Roman" w:hAnsi="Times New Roman"/>
          <w:sz w:val="24"/>
          <w:szCs w:val="24"/>
        </w:rPr>
        <w:t>cefepime</w:t>
      </w:r>
      <w:proofErr w:type="spellEnd"/>
      <w:r w:rsidRPr="00D57E43">
        <w:rPr>
          <w:rFonts w:ascii="Times New Roman" w:hAnsi="Times New Roman"/>
          <w:sz w:val="24"/>
          <w:szCs w:val="24"/>
        </w:rPr>
        <w:t>, ceftazidime</w:t>
      </w:r>
      <w:r w:rsidRPr="00D57E43">
        <w:rPr>
          <w:rFonts w:ascii="Times New Roman" w:hAnsi="Times New Roman"/>
          <w:sz w:val="24"/>
          <w:szCs w:val="24"/>
        </w:rPr>
        <w:t>, ceftriaxone, cefotaxime</w:t>
      </w:r>
      <w:r w:rsidRPr="00D57E43">
        <w:rPr>
          <w:rFonts w:ascii="Times New Roman" w:hAnsi="Times New Roman"/>
          <w:sz w:val="24"/>
          <w:szCs w:val="24"/>
        </w:rPr>
        <w:t>); fluoroquinolones (ciprofloxacin, levofloxacin); aminoglycosides (amikacin, gentamicin, tobramycin</w:t>
      </w:r>
      <w:r w:rsidR="007B6668" w:rsidRPr="00D57E43">
        <w:rPr>
          <w:rFonts w:ascii="Times New Roman" w:hAnsi="Times New Roman"/>
          <w:sz w:val="24"/>
          <w:szCs w:val="24"/>
        </w:rPr>
        <w:t>);</w:t>
      </w:r>
      <w:r w:rsidRPr="00D57E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E43">
        <w:rPr>
          <w:rFonts w:ascii="Times New Roman" w:hAnsi="Times New Roman"/>
          <w:sz w:val="24"/>
          <w:szCs w:val="24"/>
        </w:rPr>
        <w:t>carbapenems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(imipenem, </w:t>
      </w:r>
      <w:proofErr w:type="spellStart"/>
      <w:r w:rsidRPr="00D57E43">
        <w:rPr>
          <w:rFonts w:ascii="Times New Roman" w:hAnsi="Times New Roman"/>
          <w:sz w:val="24"/>
          <w:szCs w:val="24"/>
        </w:rPr>
        <w:t>meropenem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E43">
        <w:rPr>
          <w:rFonts w:ascii="Times New Roman" w:hAnsi="Times New Roman"/>
          <w:sz w:val="24"/>
          <w:szCs w:val="24"/>
        </w:rPr>
        <w:t>doripenem</w:t>
      </w:r>
      <w:proofErr w:type="spellEnd"/>
      <w:r w:rsidR="007B6668" w:rsidRPr="00D57E43">
        <w:rPr>
          <w:rFonts w:ascii="Times New Roman" w:hAnsi="Times New Roman"/>
          <w:sz w:val="24"/>
          <w:szCs w:val="24"/>
        </w:rPr>
        <w:t>);</w:t>
      </w:r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sz w:val="24"/>
          <w:szCs w:val="24"/>
        </w:rPr>
        <w:lastRenderedPageBreak/>
        <w:t>piperacillin/piperacillin-</w:t>
      </w:r>
      <w:proofErr w:type="spellStart"/>
      <w:r w:rsidRPr="00D57E43">
        <w:rPr>
          <w:rFonts w:ascii="Times New Roman" w:hAnsi="Times New Roman"/>
          <w:sz w:val="24"/>
          <w:szCs w:val="24"/>
        </w:rPr>
        <w:t>tazobactam</w:t>
      </w:r>
      <w:proofErr w:type="spellEnd"/>
      <w:r w:rsidRPr="00D57E43">
        <w:rPr>
          <w:rFonts w:ascii="Times New Roman" w:hAnsi="Times New Roman"/>
          <w:sz w:val="24"/>
          <w:szCs w:val="24"/>
        </w:rPr>
        <w:t>, ampicillin-sulbactam</w:t>
      </w:r>
      <w:r w:rsidRPr="00D57E43">
        <w:rPr>
          <w:rFonts w:ascii="Times New Roman" w:hAnsi="Times New Roman"/>
          <w:sz w:val="24"/>
          <w:szCs w:val="24"/>
        </w:rPr>
        <w:t>.</w:t>
      </w:r>
    </w:p>
    <w:p w:rsidR="00763CA0" w:rsidRPr="00D57E43" w:rsidRDefault="00763CA0" w:rsidP="002A744D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52530" w:rsidRPr="00D57E43" w:rsidRDefault="002E65CD" w:rsidP="00607C0E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D57E43">
        <w:rPr>
          <w:rFonts w:ascii="Times New Roman" w:hAnsi="Times New Roman"/>
          <w:noProof/>
          <w:sz w:val="24"/>
          <w:szCs w:val="24"/>
          <w:u w:val="single"/>
        </w:rPr>
        <w:t>Table 2 Footnote additional information:</w:t>
      </w:r>
    </w:p>
    <w:p w:rsidR="00014AFA" w:rsidRPr="00D57E43" w:rsidRDefault="002E65CD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One donor had</w:t>
      </w:r>
      <w:r w:rsidR="003A2682" w:rsidRPr="00D57E43">
        <w:rPr>
          <w:rFonts w:ascii="Times New Roman" w:hAnsi="Times New Roman"/>
          <w:noProof/>
          <w:sz w:val="24"/>
          <w:szCs w:val="24"/>
        </w:rPr>
        <w:t xml:space="preserve"> an</w:t>
      </w:r>
      <w:r w:rsidRPr="00D57E43">
        <w:rPr>
          <w:rFonts w:ascii="Times New Roman" w:hAnsi="Times New Roman"/>
          <w:noProof/>
          <w:sz w:val="24"/>
          <w:szCs w:val="24"/>
        </w:rPr>
        <w:t xml:space="preserve"> MDR-</w:t>
      </w:r>
      <w:r w:rsidR="003A2682" w:rsidRPr="00D57E43">
        <w:rPr>
          <w:rFonts w:ascii="Times New Roman" w:hAnsi="Times New Roman"/>
          <w:i/>
          <w:noProof/>
          <w:sz w:val="24"/>
          <w:szCs w:val="24"/>
        </w:rPr>
        <w:t>Pseudomonas</w:t>
      </w:r>
      <w:r w:rsidRPr="00D57E43">
        <w:rPr>
          <w:rFonts w:ascii="Times New Roman" w:hAnsi="Times New Roman"/>
          <w:noProof/>
          <w:sz w:val="24"/>
          <w:szCs w:val="24"/>
        </w:rPr>
        <w:t xml:space="preserve"> on </w:t>
      </w:r>
      <w:r w:rsidR="00CD6D07" w:rsidRPr="00D57E43">
        <w:rPr>
          <w:rFonts w:ascii="Times New Roman" w:hAnsi="Times New Roman"/>
          <w:noProof/>
          <w:sz w:val="24"/>
          <w:szCs w:val="24"/>
        </w:rPr>
        <w:t>one</w:t>
      </w:r>
      <w:r w:rsidRPr="00D57E43">
        <w:rPr>
          <w:rFonts w:ascii="Times New Roman" w:hAnsi="Times New Roman"/>
          <w:noProof/>
          <w:sz w:val="24"/>
          <w:szCs w:val="24"/>
        </w:rPr>
        <w:t xml:space="preserve"> respiratory tract specimen</w:t>
      </w:r>
      <w:r w:rsidR="00F37765" w:rsidRPr="00D57E43">
        <w:rPr>
          <w:rFonts w:ascii="Times New Roman" w:hAnsi="Times New Roman"/>
          <w:noProof/>
          <w:sz w:val="24"/>
          <w:szCs w:val="24"/>
        </w:rPr>
        <w:t xml:space="preserve"> (Isolate</w:t>
      </w:r>
      <w:r w:rsidRPr="00D57E43">
        <w:rPr>
          <w:rFonts w:ascii="Times New Roman" w:hAnsi="Times New Roman"/>
          <w:noProof/>
          <w:sz w:val="24"/>
          <w:szCs w:val="24"/>
        </w:rPr>
        <w:t xml:space="preserve"> #1</w:t>
      </w:r>
      <w:r w:rsidR="00CD6D07"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>below) and one blood culture (Isolate #</w:t>
      </w:r>
      <w:r w:rsidR="00CD6D07" w:rsidRPr="00D57E43">
        <w:rPr>
          <w:rFonts w:ascii="Times New Roman" w:hAnsi="Times New Roman"/>
          <w:noProof/>
          <w:sz w:val="24"/>
          <w:szCs w:val="24"/>
        </w:rPr>
        <w:t>2</w:t>
      </w:r>
      <w:r w:rsidRPr="00D57E43">
        <w:rPr>
          <w:rFonts w:ascii="Times New Roman" w:hAnsi="Times New Roman"/>
          <w:noProof/>
          <w:sz w:val="24"/>
          <w:szCs w:val="24"/>
        </w:rPr>
        <w:t xml:space="preserve"> below). A second donor had MDR-</w:t>
      </w:r>
      <w:r w:rsidR="003A2682" w:rsidRPr="00D57E43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3A2682" w:rsidRPr="00D57E43">
        <w:rPr>
          <w:rFonts w:ascii="Times New Roman" w:hAnsi="Times New Roman"/>
          <w:i/>
          <w:noProof/>
          <w:sz w:val="24"/>
          <w:szCs w:val="24"/>
        </w:rPr>
        <w:t>Pseudomonas</w:t>
      </w:r>
      <w:r w:rsidR="003A2682"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>on one respiratory tract specimen (Isolate #</w:t>
      </w:r>
      <w:r w:rsidR="00CD6D07" w:rsidRPr="00D57E43">
        <w:rPr>
          <w:rFonts w:ascii="Times New Roman" w:hAnsi="Times New Roman"/>
          <w:noProof/>
          <w:sz w:val="24"/>
          <w:szCs w:val="24"/>
        </w:rPr>
        <w:t>3</w:t>
      </w:r>
      <w:r w:rsidRPr="00D57E43">
        <w:rPr>
          <w:rFonts w:ascii="Times New Roman" w:hAnsi="Times New Roman"/>
          <w:noProof/>
          <w:sz w:val="24"/>
          <w:szCs w:val="24"/>
        </w:rPr>
        <w:t xml:space="preserve"> below).</w:t>
      </w:r>
      <w:r w:rsidR="001C2015" w:rsidRPr="00D57E43">
        <w:rPr>
          <w:rFonts w:ascii="Times New Roman" w:hAnsi="Times New Roman"/>
          <w:noProof/>
          <w:sz w:val="24"/>
          <w:szCs w:val="24"/>
        </w:rPr>
        <w:t xml:space="preserve"> One donor had an MDR-</w:t>
      </w:r>
      <w:r w:rsidR="001C2015" w:rsidRPr="00D57E43">
        <w:rPr>
          <w:rFonts w:ascii="Times New Roman" w:hAnsi="Times New Roman"/>
          <w:i/>
          <w:noProof/>
          <w:sz w:val="24"/>
          <w:szCs w:val="24"/>
        </w:rPr>
        <w:t>Acinetobacter</w:t>
      </w:r>
      <w:r w:rsidR="001C2015" w:rsidRPr="00D57E43">
        <w:rPr>
          <w:rFonts w:ascii="Times New Roman" w:hAnsi="Times New Roman"/>
          <w:noProof/>
          <w:sz w:val="24"/>
          <w:szCs w:val="24"/>
        </w:rPr>
        <w:t xml:space="preserve"> on one respiratory tract specimen (Isolate #4 below).</w:t>
      </w:r>
    </w:p>
    <w:p w:rsidR="002E65CD" w:rsidRPr="00D57E43" w:rsidRDefault="002E65CD" w:rsidP="00E4751F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Isolate #1 (respiratory)</w:t>
      </w:r>
      <w:r w:rsidR="003A2682" w:rsidRPr="00D57E43">
        <w:rPr>
          <w:rFonts w:ascii="Times New Roman" w:hAnsi="Times New Roman"/>
          <w:noProof/>
          <w:sz w:val="24"/>
          <w:szCs w:val="24"/>
        </w:rPr>
        <w:t>:</w:t>
      </w:r>
      <w:r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Pr="00D57E43">
        <w:rPr>
          <w:rFonts w:ascii="Times New Roman" w:hAnsi="Times New Roman"/>
          <w:i/>
          <w:noProof/>
          <w:sz w:val="24"/>
          <w:szCs w:val="24"/>
        </w:rPr>
        <w:t>Pseudomonas aeruginosa</w:t>
      </w:r>
      <w:r w:rsidR="003A2682" w:rsidRPr="00D57E43">
        <w:rPr>
          <w:rFonts w:ascii="Times New Roman" w:hAnsi="Times New Roman"/>
          <w:i/>
          <w:noProof/>
          <w:sz w:val="24"/>
          <w:szCs w:val="24"/>
        </w:rPr>
        <w:t>.</w:t>
      </w:r>
      <w:r w:rsidR="003A2682" w:rsidRPr="00D57E43">
        <w:rPr>
          <w:rFonts w:ascii="Times New Roman" w:hAnsi="Times New Roman"/>
          <w:noProof/>
          <w:sz w:val="24"/>
          <w:szCs w:val="24"/>
        </w:rPr>
        <w:t xml:space="preserve"> Resistant to </w:t>
      </w:r>
      <w:r w:rsidRPr="00D57E43">
        <w:rPr>
          <w:rFonts w:ascii="Times New Roman" w:hAnsi="Times New Roman"/>
          <w:noProof/>
          <w:sz w:val="24"/>
          <w:szCs w:val="24"/>
        </w:rPr>
        <w:t xml:space="preserve">cefepime, ceftazidime, </w:t>
      </w:r>
      <w:r w:rsidR="003A2682" w:rsidRPr="00D57E43">
        <w:rPr>
          <w:rFonts w:ascii="Times New Roman" w:hAnsi="Times New Roman"/>
          <w:noProof/>
          <w:sz w:val="24"/>
          <w:szCs w:val="24"/>
        </w:rPr>
        <w:t>piperacillin-tazobactam</w:t>
      </w:r>
      <w:r w:rsidR="003A2682" w:rsidRPr="00D57E43">
        <w:rPr>
          <w:rFonts w:ascii="Times New Roman" w:hAnsi="Times New Roman"/>
          <w:noProof/>
          <w:sz w:val="24"/>
          <w:szCs w:val="24"/>
        </w:rPr>
        <w:t>,</w:t>
      </w:r>
      <w:r w:rsidR="004F4BA7"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="004F4BA7" w:rsidRPr="00D57E43">
        <w:rPr>
          <w:rFonts w:ascii="Times New Roman" w:hAnsi="Times New Roman"/>
          <w:noProof/>
          <w:sz w:val="24"/>
          <w:szCs w:val="24"/>
        </w:rPr>
        <w:t>meropenem</w:t>
      </w:r>
      <w:r w:rsidR="004F4BA7" w:rsidRPr="00D57E43">
        <w:rPr>
          <w:rFonts w:ascii="Times New Roman" w:hAnsi="Times New Roman"/>
          <w:noProof/>
          <w:sz w:val="24"/>
          <w:szCs w:val="24"/>
        </w:rPr>
        <w:t>,</w:t>
      </w:r>
      <w:r w:rsidR="003A2682"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 xml:space="preserve">amikacin, gentamicin, </w:t>
      </w:r>
      <w:r w:rsidR="003A2682" w:rsidRPr="00D57E43">
        <w:rPr>
          <w:rFonts w:ascii="Times New Roman" w:hAnsi="Times New Roman"/>
          <w:noProof/>
          <w:sz w:val="24"/>
          <w:szCs w:val="24"/>
        </w:rPr>
        <w:t>tobramycin</w:t>
      </w:r>
      <w:r w:rsidR="003A2682" w:rsidRPr="00D57E43">
        <w:rPr>
          <w:rFonts w:ascii="Times New Roman" w:hAnsi="Times New Roman"/>
          <w:noProof/>
          <w:sz w:val="24"/>
          <w:szCs w:val="24"/>
        </w:rPr>
        <w:t xml:space="preserve">, </w:t>
      </w:r>
      <w:r w:rsidR="004F4BA7" w:rsidRPr="00D57E43">
        <w:rPr>
          <w:rFonts w:ascii="Times New Roman" w:hAnsi="Times New Roman"/>
          <w:noProof/>
          <w:sz w:val="24"/>
          <w:szCs w:val="24"/>
        </w:rPr>
        <w:t>levofloxacin</w:t>
      </w:r>
      <w:r w:rsidR="003A2682" w:rsidRPr="00D57E43">
        <w:rPr>
          <w:rFonts w:ascii="Times New Roman" w:hAnsi="Times New Roman"/>
          <w:noProof/>
          <w:sz w:val="24"/>
          <w:szCs w:val="24"/>
        </w:rPr>
        <w:t>.</w:t>
      </w:r>
    </w:p>
    <w:p w:rsidR="002E65CD" w:rsidRPr="00D57E43" w:rsidRDefault="002E65CD" w:rsidP="00E4751F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Isolate #</w:t>
      </w:r>
      <w:r w:rsidR="00CD6D07" w:rsidRPr="00D57E43">
        <w:rPr>
          <w:rFonts w:ascii="Times New Roman" w:hAnsi="Times New Roman"/>
          <w:noProof/>
          <w:sz w:val="24"/>
          <w:szCs w:val="24"/>
        </w:rPr>
        <w:t>2</w:t>
      </w:r>
      <w:r w:rsidRPr="00D57E43">
        <w:rPr>
          <w:rFonts w:ascii="Times New Roman" w:hAnsi="Times New Roman"/>
          <w:noProof/>
          <w:sz w:val="24"/>
          <w:szCs w:val="24"/>
        </w:rPr>
        <w:t xml:space="preserve"> (blood)</w:t>
      </w:r>
      <w:r w:rsidR="00CD6D07" w:rsidRPr="00D57E43">
        <w:rPr>
          <w:rFonts w:ascii="Times New Roman" w:hAnsi="Times New Roman"/>
          <w:noProof/>
          <w:sz w:val="24"/>
          <w:szCs w:val="24"/>
        </w:rPr>
        <w:t>:</w:t>
      </w:r>
      <w:r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="00CD6D07" w:rsidRPr="00D57E43">
        <w:rPr>
          <w:rFonts w:ascii="Times New Roman" w:hAnsi="Times New Roman"/>
          <w:i/>
          <w:noProof/>
          <w:sz w:val="24"/>
          <w:szCs w:val="24"/>
        </w:rPr>
        <w:t>Pseudomonas aeruginosa</w:t>
      </w:r>
      <w:r w:rsidR="00CD6D07" w:rsidRPr="00D57E43">
        <w:rPr>
          <w:rFonts w:ascii="Times New Roman" w:hAnsi="Times New Roman"/>
          <w:noProof/>
          <w:sz w:val="24"/>
          <w:szCs w:val="24"/>
        </w:rPr>
        <w:t>. Resistant to</w:t>
      </w:r>
      <w:r w:rsidRPr="00D57E43">
        <w:rPr>
          <w:rFonts w:ascii="Times New Roman" w:hAnsi="Times New Roman"/>
          <w:noProof/>
          <w:sz w:val="24"/>
          <w:szCs w:val="24"/>
        </w:rPr>
        <w:t xml:space="preserve"> amikacin, gentamicin, tobramycin</w:t>
      </w:r>
      <w:r w:rsidR="004F4BA7" w:rsidRPr="00D57E43">
        <w:rPr>
          <w:rFonts w:ascii="Times New Roman" w:hAnsi="Times New Roman"/>
          <w:noProof/>
          <w:sz w:val="24"/>
          <w:szCs w:val="24"/>
        </w:rPr>
        <w:t>, ciprofloxacin</w:t>
      </w:r>
      <w:r w:rsidR="00CD6D07" w:rsidRPr="00D57E43">
        <w:rPr>
          <w:rFonts w:ascii="Times New Roman" w:hAnsi="Times New Roman"/>
          <w:noProof/>
          <w:sz w:val="24"/>
          <w:szCs w:val="24"/>
        </w:rPr>
        <w:t xml:space="preserve">. Intermediate to </w:t>
      </w:r>
      <w:r w:rsidRPr="00D57E43">
        <w:rPr>
          <w:rFonts w:ascii="Times New Roman" w:hAnsi="Times New Roman"/>
          <w:noProof/>
          <w:sz w:val="24"/>
          <w:szCs w:val="24"/>
        </w:rPr>
        <w:t>cefepime, levofloxacin</w:t>
      </w:r>
      <w:r w:rsidR="00CD6D07" w:rsidRPr="00D57E43">
        <w:rPr>
          <w:rFonts w:ascii="Times New Roman" w:hAnsi="Times New Roman"/>
          <w:noProof/>
          <w:sz w:val="24"/>
          <w:szCs w:val="24"/>
        </w:rPr>
        <w:t>.</w:t>
      </w:r>
      <w:r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="00CD6D07" w:rsidRPr="00D57E43">
        <w:rPr>
          <w:rFonts w:ascii="Times New Roman" w:hAnsi="Times New Roman"/>
          <w:noProof/>
          <w:sz w:val="24"/>
          <w:szCs w:val="24"/>
        </w:rPr>
        <w:t>Susceptible to</w:t>
      </w:r>
      <w:r w:rsidRPr="00D57E43">
        <w:rPr>
          <w:rFonts w:ascii="Times New Roman" w:hAnsi="Times New Roman"/>
          <w:noProof/>
          <w:sz w:val="24"/>
          <w:szCs w:val="24"/>
        </w:rPr>
        <w:t xml:space="preserve"> ceftazidime, meropenem, </w:t>
      </w:r>
      <w:r w:rsidR="00CD6D07" w:rsidRPr="00D57E43">
        <w:rPr>
          <w:rFonts w:ascii="Times New Roman" w:hAnsi="Times New Roman"/>
          <w:noProof/>
          <w:sz w:val="24"/>
          <w:szCs w:val="24"/>
        </w:rPr>
        <w:t>piperacillin-tazobactam.</w:t>
      </w:r>
    </w:p>
    <w:p w:rsidR="001C2015" w:rsidRPr="00D57E43" w:rsidRDefault="002E65CD" w:rsidP="00E4751F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>Isolate #</w:t>
      </w:r>
      <w:r w:rsidR="00CD6D07" w:rsidRPr="00D57E43">
        <w:rPr>
          <w:rFonts w:ascii="Times New Roman" w:hAnsi="Times New Roman"/>
          <w:noProof/>
          <w:sz w:val="24"/>
          <w:szCs w:val="24"/>
        </w:rPr>
        <w:t>3</w:t>
      </w:r>
      <w:r w:rsidRPr="00D57E43">
        <w:rPr>
          <w:rFonts w:ascii="Times New Roman" w:hAnsi="Times New Roman"/>
          <w:noProof/>
          <w:sz w:val="24"/>
          <w:szCs w:val="24"/>
        </w:rPr>
        <w:t xml:space="preserve"> (respiratory</w:t>
      </w:r>
      <w:r w:rsidR="00585963" w:rsidRPr="00D57E43">
        <w:rPr>
          <w:rFonts w:ascii="Times New Roman" w:hAnsi="Times New Roman"/>
          <w:noProof/>
          <w:sz w:val="24"/>
          <w:szCs w:val="24"/>
        </w:rPr>
        <w:t xml:space="preserve">): </w:t>
      </w:r>
      <w:r w:rsidR="00585963" w:rsidRPr="00D57E43">
        <w:rPr>
          <w:rFonts w:ascii="Times New Roman" w:hAnsi="Times New Roman"/>
          <w:i/>
          <w:noProof/>
          <w:sz w:val="24"/>
          <w:szCs w:val="24"/>
        </w:rPr>
        <w:t>Pseudomonas aeruginosa</w:t>
      </w:r>
      <w:r w:rsidR="00585963" w:rsidRPr="00D57E43">
        <w:rPr>
          <w:rFonts w:ascii="Times New Roman" w:hAnsi="Times New Roman"/>
          <w:i/>
          <w:noProof/>
          <w:sz w:val="24"/>
          <w:szCs w:val="24"/>
        </w:rPr>
        <w:t>.</w:t>
      </w:r>
      <w:r w:rsidR="00585963" w:rsidRPr="00D57E43">
        <w:rPr>
          <w:rFonts w:ascii="Times New Roman" w:hAnsi="Times New Roman"/>
          <w:noProof/>
          <w:sz w:val="24"/>
          <w:szCs w:val="24"/>
        </w:rPr>
        <w:t xml:space="preserve"> Resistant to </w:t>
      </w:r>
      <w:r w:rsidR="00585963" w:rsidRPr="00D57E43">
        <w:rPr>
          <w:rFonts w:ascii="Times New Roman" w:hAnsi="Times New Roman"/>
          <w:noProof/>
          <w:sz w:val="24"/>
          <w:szCs w:val="24"/>
        </w:rPr>
        <w:t xml:space="preserve">aztreonam, cefepime, ceftazidime, </w:t>
      </w:r>
      <w:r w:rsidR="004F4BA7" w:rsidRPr="00D57E43">
        <w:rPr>
          <w:rFonts w:ascii="Times New Roman" w:hAnsi="Times New Roman"/>
          <w:noProof/>
          <w:sz w:val="24"/>
          <w:szCs w:val="24"/>
        </w:rPr>
        <w:t>piperacillin-tazobactam</w:t>
      </w:r>
      <w:r w:rsidR="004F4BA7" w:rsidRPr="00D57E43">
        <w:rPr>
          <w:rFonts w:ascii="Times New Roman" w:hAnsi="Times New Roman"/>
          <w:noProof/>
          <w:sz w:val="24"/>
          <w:szCs w:val="24"/>
        </w:rPr>
        <w:t>, meropenem</w:t>
      </w:r>
      <w:r w:rsidR="00585963" w:rsidRPr="00D57E43">
        <w:rPr>
          <w:rFonts w:ascii="Times New Roman" w:hAnsi="Times New Roman"/>
          <w:noProof/>
          <w:sz w:val="24"/>
          <w:szCs w:val="24"/>
        </w:rPr>
        <w:t xml:space="preserve">. Intermediate to </w:t>
      </w:r>
      <w:r w:rsidR="00585963" w:rsidRPr="00D57E43">
        <w:rPr>
          <w:rFonts w:ascii="Times New Roman" w:hAnsi="Times New Roman"/>
          <w:noProof/>
          <w:sz w:val="24"/>
          <w:szCs w:val="24"/>
        </w:rPr>
        <w:t>ciprofloxacin</w:t>
      </w:r>
      <w:r w:rsidR="00585963" w:rsidRPr="00D57E43">
        <w:rPr>
          <w:rFonts w:ascii="Times New Roman" w:hAnsi="Times New Roman"/>
          <w:noProof/>
          <w:sz w:val="24"/>
          <w:szCs w:val="24"/>
        </w:rPr>
        <w:t xml:space="preserve">. Susceptible to </w:t>
      </w:r>
      <w:r w:rsidRPr="00D57E43">
        <w:rPr>
          <w:rFonts w:ascii="Times New Roman" w:hAnsi="Times New Roman"/>
          <w:noProof/>
          <w:sz w:val="24"/>
          <w:szCs w:val="24"/>
        </w:rPr>
        <w:t>am</w:t>
      </w:r>
      <w:r w:rsidR="00585963" w:rsidRPr="00D57E43">
        <w:rPr>
          <w:rFonts w:ascii="Times New Roman" w:hAnsi="Times New Roman"/>
          <w:noProof/>
          <w:sz w:val="24"/>
          <w:szCs w:val="24"/>
        </w:rPr>
        <w:t>ikcain, gentamicin, tobramycin.</w:t>
      </w:r>
    </w:p>
    <w:p w:rsidR="00BD3DEB" w:rsidRPr="00D57E43" w:rsidRDefault="001C2015" w:rsidP="00E4751F">
      <w:pPr>
        <w:pStyle w:val="ListParagraph"/>
        <w:widowControl w:val="0"/>
        <w:numPr>
          <w:ilvl w:val="0"/>
          <w:numId w:val="1"/>
        </w:num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</w:rPr>
        <w:t xml:space="preserve">Isolate #4 (respiratory): </w:t>
      </w:r>
      <w:r w:rsidR="00F37765" w:rsidRPr="00D57E43">
        <w:rPr>
          <w:rFonts w:ascii="Times New Roman" w:hAnsi="Times New Roman"/>
          <w:i/>
          <w:noProof/>
          <w:sz w:val="24"/>
          <w:szCs w:val="24"/>
        </w:rPr>
        <w:t>Acinetobacter baumannii/calcoaceticus</w:t>
      </w:r>
      <w:r w:rsidR="00F37765" w:rsidRPr="00D57E43">
        <w:rPr>
          <w:rFonts w:ascii="Times New Roman" w:hAnsi="Times New Roman"/>
          <w:noProof/>
          <w:sz w:val="24"/>
          <w:szCs w:val="24"/>
        </w:rPr>
        <w:t xml:space="preserve"> complex. Resistant to </w:t>
      </w:r>
      <w:proofErr w:type="spellStart"/>
      <w:r w:rsidR="00F37765" w:rsidRPr="00D57E43">
        <w:rPr>
          <w:rFonts w:ascii="Times New Roman" w:hAnsi="Times New Roman"/>
          <w:sz w:val="24"/>
          <w:szCs w:val="24"/>
        </w:rPr>
        <w:t>aztreonam</w:t>
      </w:r>
      <w:proofErr w:type="spellEnd"/>
      <w:r w:rsidR="00F37765" w:rsidRPr="00D57E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7765" w:rsidRPr="00D57E43">
        <w:rPr>
          <w:rFonts w:ascii="Times New Roman" w:hAnsi="Times New Roman"/>
          <w:sz w:val="24"/>
          <w:szCs w:val="24"/>
        </w:rPr>
        <w:t>cefepime</w:t>
      </w:r>
      <w:proofErr w:type="spellEnd"/>
      <w:r w:rsidR="00F37765" w:rsidRPr="00D57E43">
        <w:rPr>
          <w:rFonts w:ascii="Times New Roman" w:hAnsi="Times New Roman"/>
          <w:sz w:val="24"/>
          <w:szCs w:val="24"/>
        </w:rPr>
        <w:t>, cefotaxime, ceftazidime, ceftriaxone, ciprofloxacin, levofloxacin, trimeth</w:t>
      </w:r>
      <w:r w:rsidR="00724915" w:rsidRPr="00D57E43">
        <w:rPr>
          <w:rFonts w:ascii="Times New Roman" w:hAnsi="Times New Roman"/>
          <w:sz w:val="24"/>
          <w:szCs w:val="24"/>
        </w:rPr>
        <w:t>oprim</w:t>
      </w:r>
      <w:r w:rsidR="00F37765" w:rsidRPr="00D57E43">
        <w:rPr>
          <w:rFonts w:ascii="Times New Roman" w:hAnsi="Times New Roman"/>
          <w:sz w:val="24"/>
          <w:szCs w:val="24"/>
        </w:rPr>
        <w:t>-sulfa</w:t>
      </w:r>
      <w:r w:rsidR="00724915" w:rsidRPr="00D57E43">
        <w:rPr>
          <w:rFonts w:ascii="Times New Roman" w:hAnsi="Times New Roman"/>
          <w:sz w:val="24"/>
          <w:szCs w:val="24"/>
        </w:rPr>
        <w:t>methoxazole, amikacin</w:t>
      </w:r>
      <w:r w:rsidR="00F37765" w:rsidRPr="00D57E43">
        <w:rPr>
          <w:rFonts w:ascii="Times New Roman" w:hAnsi="Times New Roman"/>
          <w:sz w:val="24"/>
          <w:szCs w:val="24"/>
        </w:rPr>
        <w:t xml:space="preserve">. Intermediate to piperacillin, gentamicin. </w:t>
      </w:r>
      <w:r w:rsidR="00724915" w:rsidRPr="00D57E43">
        <w:rPr>
          <w:rFonts w:ascii="Times New Roman" w:hAnsi="Times New Roman"/>
          <w:sz w:val="24"/>
          <w:szCs w:val="24"/>
        </w:rPr>
        <w:t>Susceptible</w:t>
      </w:r>
      <w:r w:rsidR="00F37765" w:rsidRPr="00D57E43">
        <w:rPr>
          <w:rFonts w:ascii="Times New Roman" w:hAnsi="Times New Roman"/>
          <w:sz w:val="24"/>
          <w:szCs w:val="24"/>
        </w:rPr>
        <w:t xml:space="preserve"> to imipenem, </w:t>
      </w:r>
      <w:proofErr w:type="spellStart"/>
      <w:r w:rsidR="00F37765" w:rsidRPr="00D57E43">
        <w:rPr>
          <w:rFonts w:ascii="Times New Roman" w:hAnsi="Times New Roman"/>
          <w:sz w:val="24"/>
          <w:szCs w:val="24"/>
        </w:rPr>
        <w:t>meropenem</w:t>
      </w:r>
      <w:proofErr w:type="spellEnd"/>
      <w:r w:rsidR="00F37765" w:rsidRPr="00D57E43">
        <w:rPr>
          <w:rFonts w:ascii="Times New Roman" w:hAnsi="Times New Roman"/>
          <w:sz w:val="24"/>
          <w:szCs w:val="24"/>
        </w:rPr>
        <w:t xml:space="preserve">, </w:t>
      </w:r>
      <w:r w:rsidR="00724915" w:rsidRPr="00D57E43">
        <w:rPr>
          <w:rFonts w:ascii="Times New Roman" w:hAnsi="Times New Roman"/>
          <w:sz w:val="24"/>
          <w:szCs w:val="24"/>
        </w:rPr>
        <w:t>piperacillin-</w:t>
      </w:r>
      <w:proofErr w:type="spellStart"/>
      <w:r w:rsidR="00724915" w:rsidRPr="00D57E43">
        <w:rPr>
          <w:rFonts w:ascii="Times New Roman" w:hAnsi="Times New Roman"/>
          <w:sz w:val="24"/>
          <w:szCs w:val="24"/>
        </w:rPr>
        <w:t>tazobactam</w:t>
      </w:r>
      <w:proofErr w:type="spellEnd"/>
      <w:r w:rsidR="00F37765" w:rsidRPr="00D57E43">
        <w:rPr>
          <w:rFonts w:ascii="Times New Roman" w:hAnsi="Times New Roman"/>
          <w:sz w:val="24"/>
          <w:szCs w:val="24"/>
        </w:rPr>
        <w:t>, tetracycline, tobramycin</w:t>
      </w:r>
      <w:r w:rsidR="00BD3DEB" w:rsidRPr="00D57E43">
        <w:rPr>
          <w:rFonts w:ascii="Times New Roman" w:hAnsi="Times New Roman"/>
          <w:sz w:val="24"/>
          <w:szCs w:val="24"/>
        </w:rPr>
        <w:t>.</w:t>
      </w:r>
    </w:p>
    <w:p w:rsidR="00BD3DEB" w:rsidRPr="00D57E43" w:rsidRDefault="00BD3DEB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396C89" w:rsidRPr="00D57E43" w:rsidRDefault="00FB63A9" w:rsidP="00396C89">
      <w:pPr>
        <w:pStyle w:val="ListParagraph"/>
        <w:widowControl w:val="0"/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D57E43">
        <w:rPr>
          <w:rFonts w:ascii="Times New Roman" w:hAnsi="Times New Roman"/>
          <w:b/>
          <w:noProof/>
          <w:sz w:val="24"/>
          <w:szCs w:val="24"/>
        </w:rPr>
        <w:t>Sensitivity analyses</w:t>
      </w:r>
    </w:p>
    <w:p w:rsidR="001D5F27" w:rsidRPr="00D57E43" w:rsidRDefault="00316CFB" w:rsidP="00316CFB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D57E43">
        <w:rPr>
          <w:rFonts w:ascii="Times New Roman" w:hAnsi="Times New Roman"/>
          <w:noProof/>
          <w:sz w:val="24"/>
          <w:szCs w:val="24"/>
          <w:u w:val="single"/>
        </w:rPr>
        <w:t xml:space="preserve">1. </w:t>
      </w:r>
      <w:r w:rsidR="00396C89" w:rsidRPr="00D57E43">
        <w:rPr>
          <w:rFonts w:ascii="Times New Roman" w:hAnsi="Times New Roman"/>
          <w:noProof/>
          <w:sz w:val="24"/>
          <w:szCs w:val="24"/>
          <w:u w:val="single"/>
        </w:rPr>
        <w:t>Duration of antibiotics</w:t>
      </w:r>
    </w:p>
    <w:p w:rsidR="00E4751F" w:rsidRPr="00D57E43" w:rsidRDefault="00193451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b/>
          <w:noProof/>
          <w:sz w:val="24"/>
          <w:szCs w:val="24"/>
        </w:rPr>
        <w:t>Supporting Information</w:t>
      </w:r>
      <w:r w:rsidR="001D5F27" w:rsidRPr="00D57E4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751F" w:rsidRPr="00D57E43">
        <w:rPr>
          <w:rFonts w:ascii="Times New Roman" w:hAnsi="Times New Roman"/>
          <w:b/>
          <w:noProof/>
          <w:sz w:val="24"/>
          <w:szCs w:val="24"/>
        </w:rPr>
        <w:t>T</w:t>
      </w:r>
      <w:r w:rsidR="001D5F27" w:rsidRPr="00D57E43">
        <w:rPr>
          <w:rFonts w:ascii="Times New Roman" w:hAnsi="Times New Roman"/>
          <w:b/>
          <w:noProof/>
          <w:sz w:val="24"/>
          <w:szCs w:val="24"/>
        </w:rPr>
        <w:t>able 1.</w:t>
      </w:r>
      <w:r w:rsidR="001D5F27"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="00E4751F" w:rsidRPr="00D57E43">
        <w:rPr>
          <w:rFonts w:ascii="Times New Roman" w:hAnsi="Times New Roman"/>
          <w:noProof/>
          <w:sz w:val="24"/>
          <w:szCs w:val="24"/>
        </w:rPr>
        <w:t xml:space="preserve">Multivariable </w:t>
      </w:r>
      <w:r w:rsidR="007B6668" w:rsidRPr="00D57E43">
        <w:rPr>
          <w:rFonts w:ascii="Times New Roman" w:hAnsi="Times New Roman"/>
          <w:noProof/>
          <w:sz w:val="24"/>
          <w:szCs w:val="24"/>
        </w:rPr>
        <w:t>Cox proportional hazard regression model</w:t>
      </w:r>
      <w:r w:rsidR="00E4751F" w:rsidRPr="00D57E43">
        <w:rPr>
          <w:rFonts w:ascii="Times New Roman" w:hAnsi="Times New Roman"/>
          <w:noProof/>
          <w:sz w:val="24"/>
          <w:szCs w:val="24"/>
        </w:rPr>
        <w:t xml:space="preserve"> of </w:t>
      </w:r>
      <w:r w:rsidR="007B6668" w:rsidRPr="00D57E43">
        <w:rPr>
          <w:rFonts w:ascii="Times New Roman" w:hAnsi="Times New Roman"/>
          <w:noProof/>
          <w:sz w:val="24"/>
          <w:szCs w:val="24"/>
        </w:rPr>
        <w:lastRenderedPageBreak/>
        <w:t>time to donor MDRO</w:t>
      </w:r>
      <w:r w:rsidR="00E4751F" w:rsidRPr="00D57E43">
        <w:rPr>
          <w:rFonts w:ascii="Times New Roman" w:hAnsi="Times New Roman"/>
          <w:noProof/>
          <w:sz w:val="24"/>
          <w:szCs w:val="24"/>
        </w:rPr>
        <w:t>, including duration of exposure to antibiotics with a narrow GN spectrum</w:t>
      </w:r>
    </w:p>
    <w:tbl>
      <w:tblPr>
        <w:tblW w:w="86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816"/>
        <w:gridCol w:w="1376"/>
        <w:gridCol w:w="1090"/>
      </w:tblGrid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1732B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Hepatitis C (HCV)</w:t>
            </w:r>
            <w:r w:rsidR="005D10C3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viremia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1.81-10.33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Dialysis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1.04-18.18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0.044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0B402D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Hematopoietic</w:t>
            </w:r>
            <w:r w:rsidR="005D10C3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cell transplant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0.96-52.12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0.054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1732B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D57E4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etrahydrocannabinol</w:t>
            </w:r>
            <w:r w:rsidRPr="00D57E4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(THC)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0.91-3.53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0.090</w:t>
            </w:r>
          </w:p>
        </w:tc>
      </w:tr>
      <w:tr w:rsidR="005D10C3" w:rsidRPr="00D57E43" w:rsidTr="00B63CFC">
        <w:trPr>
          <w:trHeight w:val="300"/>
        </w:trPr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Duration of n</w:t>
            </w:r>
            <w:r w:rsidR="001732B0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arrow Gram-negative (GN)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antibiotics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1.01-1.07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</w:tr>
    </w:tbl>
    <w:p w:rsidR="001D5F27" w:rsidRPr="00D57E43" w:rsidRDefault="001D5F27" w:rsidP="00E4751F">
      <w:pPr>
        <w:widowControl w:val="0"/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 w:rsidRPr="00D57E43">
        <w:rPr>
          <w:rFonts w:ascii="Times New Roman" w:hAnsi="Times New Roman"/>
          <w:noProof/>
          <w:sz w:val="24"/>
          <w:szCs w:val="24"/>
          <w:vertAlign w:val="superscript"/>
        </w:rPr>
        <w:t>a</w:t>
      </w:r>
      <w:r w:rsidR="00E4751F" w:rsidRPr="00D57E43">
        <w:rPr>
          <w:rFonts w:ascii="Times New Roman" w:hAnsi="Times New Roman"/>
          <w:noProof/>
          <w:sz w:val="24"/>
          <w:szCs w:val="24"/>
        </w:rPr>
        <w:t>Duration measured in</w:t>
      </w:r>
      <w:r w:rsidRPr="00D57E43">
        <w:rPr>
          <w:rFonts w:ascii="Times New Roman" w:hAnsi="Times New Roman"/>
          <w:noProof/>
          <w:sz w:val="24"/>
          <w:szCs w:val="24"/>
        </w:rPr>
        <w:t xml:space="preserve"> days</w:t>
      </w:r>
    </w:p>
    <w:p w:rsidR="008036C9" w:rsidRPr="00D57E43" w:rsidRDefault="008036C9" w:rsidP="00E4751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63A9" w:rsidRPr="00D57E43" w:rsidRDefault="00FB63A9" w:rsidP="00316CF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D57E43">
        <w:rPr>
          <w:rFonts w:ascii="Times New Roman" w:hAnsi="Times New Roman"/>
          <w:sz w:val="24"/>
          <w:szCs w:val="24"/>
          <w:u w:val="single"/>
        </w:rPr>
        <w:t xml:space="preserve">Redefining </w:t>
      </w:r>
      <w:r w:rsidR="00396C89" w:rsidRPr="00D57E43">
        <w:rPr>
          <w:rFonts w:ascii="Times New Roman" w:hAnsi="Times New Roman"/>
          <w:sz w:val="24"/>
          <w:szCs w:val="24"/>
          <w:u w:val="single"/>
        </w:rPr>
        <w:t>“</w:t>
      </w:r>
      <w:r w:rsidRPr="00D57E43">
        <w:rPr>
          <w:rFonts w:ascii="Times New Roman" w:hAnsi="Times New Roman"/>
          <w:sz w:val="24"/>
          <w:szCs w:val="24"/>
          <w:u w:val="single"/>
        </w:rPr>
        <w:t>narrow GN antibiotics</w:t>
      </w:r>
      <w:r w:rsidR="00396C89" w:rsidRPr="00D57E43">
        <w:rPr>
          <w:rFonts w:ascii="Times New Roman" w:hAnsi="Times New Roman"/>
          <w:sz w:val="24"/>
          <w:szCs w:val="24"/>
          <w:u w:val="single"/>
        </w:rPr>
        <w:t>”</w:t>
      </w:r>
    </w:p>
    <w:p w:rsidR="0041564D" w:rsidRPr="00D57E43" w:rsidRDefault="00316CFB" w:rsidP="00316CFB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We performed three sensitivity analyses in which revised versions of “narrow GN antibiotics” were used: (1) </w:t>
      </w:r>
      <w:r w:rsidR="0041564D" w:rsidRPr="00D57E43">
        <w:rPr>
          <w:rFonts w:ascii="Times New Roman" w:hAnsi="Times New Roman"/>
          <w:sz w:val="24"/>
          <w:szCs w:val="24"/>
        </w:rPr>
        <w:t xml:space="preserve">Cefazolin was added to the narrow GN category (thereby including, </w:t>
      </w:r>
      <w:r w:rsidR="004326EF" w:rsidRPr="00D57E43">
        <w:rPr>
          <w:rFonts w:ascii="Times New Roman" w:hAnsi="Times New Roman"/>
          <w:sz w:val="24"/>
          <w:szCs w:val="24"/>
        </w:rPr>
        <w:t>ceftriaxone, cefotaxime</w:t>
      </w:r>
      <w:r w:rsidR="0041564D" w:rsidRPr="00D57E43">
        <w:rPr>
          <w:rFonts w:ascii="Times New Roman" w:hAnsi="Times New Roman"/>
          <w:sz w:val="24"/>
          <w:szCs w:val="24"/>
        </w:rPr>
        <w:t xml:space="preserve">, ampicillin/sulbactam, amoxicillin/clavulanate, and cefazolin); (2) Only </w:t>
      </w:r>
      <w:r w:rsidR="004326EF" w:rsidRPr="00D57E43">
        <w:rPr>
          <w:rFonts w:ascii="Times New Roman" w:hAnsi="Times New Roman"/>
          <w:sz w:val="24"/>
          <w:szCs w:val="24"/>
        </w:rPr>
        <w:t>ceftriaxone, cefotaxime</w:t>
      </w:r>
      <w:r w:rsidR="004326EF" w:rsidRPr="00D57E43">
        <w:rPr>
          <w:rFonts w:ascii="Times New Roman" w:hAnsi="Times New Roman"/>
          <w:sz w:val="24"/>
          <w:szCs w:val="24"/>
        </w:rPr>
        <w:t>,</w:t>
      </w:r>
      <w:r w:rsidR="0041564D" w:rsidRPr="00D57E43">
        <w:rPr>
          <w:rFonts w:ascii="Times New Roman" w:hAnsi="Times New Roman"/>
          <w:sz w:val="24"/>
          <w:szCs w:val="24"/>
        </w:rPr>
        <w:t xml:space="preserve"> and fluoroquinolones were included in the narrow GN category; (3) Fluoroquinolones were added to the narrow GN category (thereby including, </w:t>
      </w:r>
      <w:r w:rsidR="004326EF" w:rsidRPr="00D57E43">
        <w:rPr>
          <w:rFonts w:ascii="Times New Roman" w:hAnsi="Times New Roman"/>
          <w:sz w:val="24"/>
          <w:szCs w:val="24"/>
        </w:rPr>
        <w:t>ceftriaxone, cefotaxime</w:t>
      </w:r>
      <w:r w:rsidR="0041564D" w:rsidRPr="00D57E43">
        <w:rPr>
          <w:rFonts w:ascii="Times New Roman" w:hAnsi="Times New Roman"/>
          <w:sz w:val="24"/>
          <w:szCs w:val="24"/>
        </w:rPr>
        <w:t>, ampicillin/sulbactam, amoxicillin/clavulanate, and fluoroquinolones).</w:t>
      </w:r>
    </w:p>
    <w:p w:rsidR="00484A0A" w:rsidRPr="00D57E43" w:rsidRDefault="00CB1B23" w:rsidP="00CB1B23">
      <w:pPr>
        <w:widowControl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When these revised versions of the antibiotic grouping were incorporated into the multivariable analyses, we found the following: </w:t>
      </w:r>
      <w:r w:rsidR="00484A0A" w:rsidRPr="00D57E43">
        <w:rPr>
          <w:rFonts w:ascii="Times New Roman" w:hAnsi="Times New Roman"/>
          <w:sz w:val="24"/>
          <w:szCs w:val="24"/>
        </w:rPr>
        <w:t xml:space="preserve">First, when narrow GN antibiotics were redefined to include cefazolin in addition to </w:t>
      </w:r>
      <w:r w:rsidR="00D811E1" w:rsidRPr="00D57E43">
        <w:rPr>
          <w:rFonts w:ascii="Times New Roman" w:hAnsi="Times New Roman"/>
          <w:sz w:val="24"/>
          <w:szCs w:val="24"/>
        </w:rPr>
        <w:t>ceftriaxone, cefotaxime</w:t>
      </w:r>
      <w:r w:rsidR="00484A0A" w:rsidRPr="00D57E43">
        <w:rPr>
          <w:rFonts w:ascii="Times New Roman" w:hAnsi="Times New Roman"/>
          <w:sz w:val="24"/>
          <w:szCs w:val="24"/>
        </w:rPr>
        <w:t>, ampicillin/sulbactam, and amoxicillin/clavulanate, there was no longer a significant association between narrow GN antibiotic exposure and donor MDROs (</w:t>
      </w:r>
      <w:proofErr w:type="spellStart"/>
      <w:r w:rsidR="00484A0A"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="00484A0A" w:rsidRPr="00D57E43">
        <w:rPr>
          <w:rFonts w:ascii="Times New Roman" w:hAnsi="Times New Roman"/>
          <w:sz w:val="24"/>
          <w:szCs w:val="24"/>
        </w:rPr>
        <w:t xml:space="preserve"> 1.00, 95% CI 0.90-1.10, </w:t>
      </w:r>
      <w:r w:rsidR="00484A0A"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="00484A0A" w:rsidRPr="00D57E43">
        <w:rPr>
          <w:rFonts w:ascii="Times New Roman" w:hAnsi="Times New Roman"/>
          <w:sz w:val="24"/>
          <w:szCs w:val="24"/>
        </w:rPr>
        <w:t xml:space="preserve">0.969) (Supporting Information Table 2). There was similarly not a significant association between narrow GN </w:t>
      </w:r>
      <w:r w:rsidR="00484A0A" w:rsidRPr="00D57E43">
        <w:rPr>
          <w:rFonts w:ascii="Times New Roman" w:hAnsi="Times New Roman"/>
          <w:sz w:val="24"/>
          <w:szCs w:val="24"/>
        </w:rPr>
        <w:lastRenderedPageBreak/>
        <w:t>antibiotic exposure and ESC-R EB with this definition (</w:t>
      </w:r>
      <w:proofErr w:type="spellStart"/>
      <w:r w:rsidR="00484A0A"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="00484A0A" w:rsidRPr="00D57E43">
        <w:rPr>
          <w:rFonts w:ascii="Times New Roman" w:hAnsi="Times New Roman"/>
          <w:sz w:val="24"/>
          <w:szCs w:val="24"/>
        </w:rPr>
        <w:t xml:space="preserve"> 1.04, 95% CI 0.90-1.20, </w:t>
      </w:r>
      <w:r w:rsidR="00484A0A"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="00484A0A" w:rsidRPr="00D57E43">
        <w:rPr>
          <w:rFonts w:ascii="Times New Roman" w:hAnsi="Times New Roman"/>
          <w:sz w:val="24"/>
          <w:szCs w:val="24"/>
        </w:rPr>
        <w:t>0.570) (Supporting Information Table 3).</w:t>
      </w:r>
    </w:p>
    <w:p w:rsidR="00484A0A" w:rsidRPr="00D57E43" w:rsidRDefault="00484A0A" w:rsidP="00484A0A">
      <w:pPr>
        <w:widowControl w:val="0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ab/>
        <w:t xml:space="preserve">Second, when narrow GN antibiotics were redefined to include only </w:t>
      </w:r>
      <w:r w:rsidR="00D811E1" w:rsidRPr="00D57E43">
        <w:rPr>
          <w:rFonts w:ascii="Times New Roman" w:hAnsi="Times New Roman"/>
          <w:sz w:val="24"/>
          <w:szCs w:val="24"/>
        </w:rPr>
        <w:t>ceftriaxone, cefotaxime</w:t>
      </w:r>
      <w:r w:rsidR="00D811E1" w:rsidRPr="00D57E43">
        <w:rPr>
          <w:rFonts w:ascii="Times New Roman" w:hAnsi="Times New Roman"/>
          <w:sz w:val="24"/>
          <w:szCs w:val="24"/>
        </w:rPr>
        <w:t>,</w:t>
      </w:r>
      <w:r w:rsidRPr="00D57E43">
        <w:rPr>
          <w:rFonts w:ascii="Times New Roman" w:hAnsi="Times New Roman"/>
          <w:sz w:val="24"/>
          <w:szCs w:val="24"/>
        </w:rPr>
        <w:t xml:space="preserve"> and fluoroquinolones, there was again no longer a significant association between narrow GN antibiotic exposure and donor MDROs (</w:t>
      </w:r>
      <w:proofErr w:type="spellStart"/>
      <w:r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1.06, 95% CI 0.93-1.21, </w:t>
      </w:r>
      <w:r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Pr="00D57E43">
        <w:rPr>
          <w:rFonts w:ascii="Times New Roman" w:hAnsi="Times New Roman"/>
          <w:sz w:val="24"/>
          <w:szCs w:val="24"/>
        </w:rPr>
        <w:t>0.385) (Supporting Information Table 4). There was similarly not a significant association between narrow GN antibiotic exposure and ESC-R EB with this definition (</w:t>
      </w:r>
      <w:proofErr w:type="spellStart"/>
      <w:r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0.98, 95% CI 0.77-1.24, </w:t>
      </w:r>
      <w:r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Pr="00D57E43">
        <w:rPr>
          <w:rFonts w:ascii="Times New Roman" w:hAnsi="Times New Roman"/>
          <w:sz w:val="24"/>
          <w:szCs w:val="24"/>
        </w:rPr>
        <w:t>0.843) (Supporting Information Table 5).</w:t>
      </w:r>
    </w:p>
    <w:p w:rsidR="00484A0A" w:rsidRPr="00D57E43" w:rsidRDefault="00484A0A" w:rsidP="00ED5074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D57E43">
        <w:rPr>
          <w:rFonts w:ascii="Times New Roman" w:hAnsi="Times New Roman"/>
          <w:sz w:val="24"/>
          <w:szCs w:val="24"/>
        </w:rPr>
        <w:t xml:space="preserve">Finally, when narrow GN antibiotics were redefined to include fluoroquinolones in addition to </w:t>
      </w:r>
      <w:r w:rsidR="00D811E1" w:rsidRPr="00D57E43">
        <w:rPr>
          <w:rFonts w:ascii="Times New Roman" w:hAnsi="Times New Roman"/>
          <w:sz w:val="24"/>
          <w:szCs w:val="24"/>
        </w:rPr>
        <w:t>ceftriaxone, cefotaxime</w:t>
      </w:r>
      <w:r w:rsidRPr="00D57E43">
        <w:rPr>
          <w:rFonts w:ascii="Times New Roman" w:hAnsi="Times New Roman"/>
          <w:sz w:val="24"/>
          <w:szCs w:val="24"/>
        </w:rPr>
        <w:t>, ampicillin/sulbactam, and amoxicillin/clavulanate, there was a borderline significant association between narrow GN antibiotic exposure and donor MDROs (</w:t>
      </w:r>
      <w:proofErr w:type="spellStart"/>
      <w:r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1.10, 95% CI 1.00-1.22, </w:t>
      </w:r>
      <w:r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Pr="00D57E43">
        <w:rPr>
          <w:rFonts w:ascii="Times New Roman" w:hAnsi="Times New Roman"/>
          <w:sz w:val="24"/>
          <w:szCs w:val="24"/>
        </w:rPr>
        <w:t>0.056) (Supporting Information Table 6). There was no significant association between narrow GN antibiotic exposure and ESC-R EB with this definition (</w:t>
      </w:r>
      <w:proofErr w:type="spellStart"/>
      <w:r w:rsidRPr="00D57E43">
        <w:rPr>
          <w:rFonts w:ascii="Times New Roman" w:hAnsi="Times New Roman"/>
          <w:sz w:val="24"/>
          <w:szCs w:val="24"/>
        </w:rPr>
        <w:t>aHR</w:t>
      </w:r>
      <w:proofErr w:type="spellEnd"/>
      <w:r w:rsidRPr="00D57E43">
        <w:rPr>
          <w:rFonts w:ascii="Times New Roman" w:hAnsi="Times New Roman"/>
          <w:sz w:val="24"/>
          <w:szCs w:val="24"/>
        </w:rPr>
        <w:t xml:space="preserve"> 1.11, 95% CI 0.97-1.26, </w:t>
      </w:r>
      <w:r w:rsidRPr="00D57E43">
        <w:rPr>
          <w:rFonts w:ascii="Times New Roman" w:hAnsi="Times New Roman"/>
          <w:i/>
          <w:sz w:val="24"/>
          <w:szCs w:val="24"/>
        </w:rPr>
        <w:t>P</w:t>
      </w:r>
      <w:r w:rsidR="00D811E1" w:rsidRPr="00D57E43">
        <w:rPr>
          <w:rFonts w:ascii="Times New Roman" w:hAnsi="Times New Roman"/>
          <w:sz w:val="24"/>
          <w:szCs w:val="24"/>
        </w:rPr>
        <w:t>=</w:t>
      </w:r>
      <w:r w:rsidRPr="00D57E43">
        <w:rPr>
          <w:rFonts w:ascii="Times New Roman" w:hAnsi="Times New Roman"/>
          <w:sz w:val="24"/>
          <w:szCs w:val="24"/>
        </w:rPr>
        <w:t xml:space="preserve"> 0.117) (Supporting Information Table 7).</w:t>
      </w:r>
    </w:p>
    <w:p w:rsidR="00484A0A" w:rsidRPr="00D57E43" w:rsidRDefault="00484A0A" w:rsidP="00484A0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D10C3" w:rsidRPr="00D57E43" w:rsidRDefault="00EE1FA8" w:rsidP="00E4751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t>Supporting Information</w:t>
      </w:r>
      <w:r w:rsidR="00FB63A9" w:rsidRPr="00D57E43">
        <w:rPr>
          <w:rFonts w:ascii="Times New Roman" w:hAnsi="Times New Roman"/>
          <w:b/>
          <w:sz w:val="24"/>
          <w:szCs w:val="24"/>
        </w:rPr>
        <w:t xml:space="preserve"> Table 2.</w:t>
      </w:r>
      <w:proofErr w:type="gramEnd"/>
      <w:r w:rsidR="00FB63A9" w:rsidRPr="00D57E43">
        <w:rPr>
          <w:rFonts w:ascii="Times New Roman" w:hAnsi="Times New Roman"/>
          <w:sz w:val="24"/>
          <w:szCs w:val="24"/>
        </w:rPr>
        <w:t xml:space="preserve"> </w:t>
      </w:r>
      <w:r w:rsidR="00FB63A9" w:rsidRPr="00D57E43">
        <w:rPr>
          <w:rFonts w:ascii="Times New Roman" w:hAnsi="Times New Roman"/>
          <w:noProof/>
          <w:sz w:val="24"/>
          <w:szCs w:val="24"/>
        </w:rPr>
        <w:t xml:space="preserve">Multivariable </w:t>
      </w:r>
      <w:r w:rsidRPr="00D57E43">
        <w:rPr>
          <w:rFonts w:ascii="Times New Roman" w:hAnsi="Times New Roman"/>
          <w:noProof/>
          <w:sz w:val="24"/>
          <w:szCs w:val="24"/>
        </w:rPr>
        <w:t>Cox proportional hazard regression model for time to</w:t>
      </w:r>
      <w:r w:rsidR="00FB63A9" w:rsidRPr="00D57E43">
        <w:rPr>
          <w:rFonts w:ascii="Times New Roman" w:hAnsi="Times New Roman"/>
          <w:noProof/>
          <w:sz w:val="24"/>
          <w:szCs w:val="24"/>
        </w:rPr>
        <w:t xml:space="preserve"> donor MDRO, </w:t>
      </w:r>
      <w:r w:rsidR="00FB63A9" w:rsidRPr="00D57E43">
        <w:rPr>
          <w:rFonts w:ascii="Times New Roman" w:hAnsi="Times New Roman"/>
          <w:noProof/>
          <w:sz w:val="24"/>
          <w:szCs w:val="24"/>
        </w:rPr>
        <w:t xml:space="preserve">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ceftriazone, cefotaxime</w:t>
      </w:r>
      <w:r w:rsidR="00FB63A9" w:rsidRPr="00D57E43">
        <w:rPr>
          <w:rFonts w:ascii="Times New Roman" w:hAnsi="Times New Roman"/>
          <w:noProof/>
          <w:sz w:val="24"/>
          <w:szCs w:val="24"/>
        </w:rPr>
        <w:t>, ampicillin/sulbactam, amoxicillin/clavulonate, and cefazolin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HCV viremia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-10.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Dialysis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1.004-17.67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B63CFC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Hematopoietic </w:t>
            </w:r>
            <w:r w:rsidR="005D10C3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cell transplant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0.96-52.08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0.067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THC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0.96-3.66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0.067</w:t>
            </w:r>
          </w:p>
        </w:tc>
      </w:tr>
      <w:tr w:rsidR="005D10C3" w:rsidRPr="00D57E43" w:rsidTr="002A3235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 2)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0.90-1.10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D10C3" w:rsidRPr="00D57E43" w:rsidRDefault="005D10C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0.969</w:t>
            </w:r>
          </w:p>
        </w:tc>
      </w:tr>
    </w:tbl>
    <w:p w:rsidR="00D27F9F" w:rsidRPr="00D57E43" w:rsidRDefault="00D27F9F" w:rsidP="00E475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A0CCD" w:rsidRPr="00D57E43" w:rsidRDefault="00EE1FA8" w:rsidP="00E4751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t>Supporting Information Table</w:t>
      </w:r>
      <w:r w:rsidRPr="00D57E43">
        <w:rPr>
          <w:rFonts w:ascii="Times New Roman" w:hAnsi="Times New Roman"/>
          <w:b/>
          <w:sz w:val="24"/>
          <w:szCs w:val="24"/>
        </w:rPr>
        <w:t xml:space="preserve"> 3</w:t>
      </w:r>
      <w:r w:rsidRPr="00D57E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 xml:space="preserve">Multivariable Cox proportional hazard regression model for time to donor </w:t>
      </w:r>
      <w:r w:rsidR="00D27F9F" w:rsidRPr="00D57E43">
        <w:rPr>
          <w:rFonts w:ascii="Times New Roman" w:hAnsi="Times New Roman"/>
          <w:noProof/>
          <w:sz w:val="24"/>
          <w:szCs w:val="24"/>
        </w:rPr>
        <w:t>ESC-R</w:t>
      </w:r>
      <w:r w:rsidR="003420AD" w:rsidRPr="00D57E43">
        <w:rPr>
          <w:rFonts w:ascii="Times New Roman" w:hAnsi="Times New Roman"/>
          <w:noProof/>
          <w:sz w:val="24"/>
          <w:szCs w:val="24"/>
        </w:rPr>
        <w:t xml:space="preserve"> EB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, 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ceftriaxone, cefotaxime</w:t>
      </w:r>
      <w:r w:rsidR="00D27F9F" w:rsidRPr="00D57E43">
        <w:rPr>
          <w:rFonts w:ascii="Times New Roman" w:hAnsi="Times New Roman"/>
          <w:noProof/>
          <w:sz w:val="24"/>
          <w:szCs w:val="24"/>
        </w:rPr>
        <w:t>, ampicillin/sulbactam, amoxicillin/clavulonate, and cefazolin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F51C7F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F51C7F" w:rsidRPr="00D57E43" w:rsidRDefault="00F51C7F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F51C7F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F51C7F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Death due to asphyxiation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1.79-17.70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F51C7F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 2)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0.90-1.20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F51C7F" w:rsidRPr="00D57E43" w:rsidRDefault="00F51C7F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0.570</w:t>
            </w:r>
          </w:p>
        </w:tc>
      </w:tr>
    </w:tbl>
    <w:p w:rsidR="00FA0CCD" w:rsidRPr="00D57E43" w:rsidRDefault="00FA0CCD" w:rsidP="00E4751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D10C3" w:rsidRPr="00D57E43" w:rsidRDefault="00EE1FA8" w:rsidP="00D27F9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t>Supporting Information</w:t>
      </w:r>
      <w:r w:rsidRPr="00D57E43">
        <w:rPr>
          <w:rFonts w:ascii="Times New Roman" w:hAnsi="Times New Roman"/>
          <w:b/>
          <w:sz w:val="24"/>
          <w:szCs w:val="24"/>
        </w:rPr>
        <w:t xml:space="preserve"> Table 4</w:t>
      </w:r>
      <w:r w:rsidRPr="00D57E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>Multivariable Cox proportional hazard regression model for time to donor MDRO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, 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ceftriaxone, cefotaxime,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 and fluoroquinolones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HCV viremia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1.80-10.2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Dialysis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1.03-18.07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0.045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B63CFC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Hematopoietic </w:t>
            </w:r>
            <w:r w:rsidR="00355E17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cell transplant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0.89-48.88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0.065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THC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0.95-3.64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</w:tr>
      <w:tr w:rsidR="00355E17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 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0.93-1.21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55E17" w:rsidRPr="00D57E43" w:rsidRDefault="00355E17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</w:tr>
    </w:tbl>
    <w:p w:rsidR="003420AD" w:rsidRPr="00D57E43" w:rsidRDefault="003420AD" w:rsidP="00D27F9F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5D10C3" w:rsidRPr="00D57E43" w:rsidRDefault="00EE1FA8" w:rsidP="00D27F9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lastRenderedPageBreak/>
        <w:t xml:space="preserve">Supporting Information Table </w:t>
      </w:r>
      <w:r w:rsidRPr="00D57E43">
        <w:rPr>
          <w:rFonts w:ascii="Times New Roman" w:hAnsi="Times New Roman"/>
          <w:b/>
          <w:sz w:val="24"/>
          <w:szCs w:val="24"/>
        </w:rPr>
        <w:t>5</w:t>
      </w:r>
      <w:r w:rsidRPr="00D57E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 xml:space="preserve">Multivariable Cox proportional hazard regression model for time to donor </w:t>
      </w:r>
      <w:r w:rsidR="00D27F9F" w:rsidRPr="00D57E43">
        <w:rPr>
          <w:rFonts w:ascii="Times New Roman" w:hAnsi="Times New Roman"/>
          <w:noProof/>
          <w:sz w:val="24"/>
          <w:szCs w:val="24"/>
        </w:rPr>
        <w:t>ESC-R</w:t>
      </w:r>
      <w:r w:rsidR="003420AD" w:rsidRPr="00D57E43">
        <w:rPr>
          <w:rFonts w:ascii="Times New Roman" w:hAnsi="Times New Roman"/>
          <w:noProof/>
          <w:sz w:val="24"/>
          <w:szCs w:val="24"/>
        </w:rPr>
        <w:t xml:space="preserve"> EB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, 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ceftriaxone, cefotaxime,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 and fluoroquinolones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A95303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A95303" w:rsidRPr="00D57E43" w:rsidRDefault="00A9530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A95303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A95303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Death due to asphyxiation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-17.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A95303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 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0.77-1.24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95303" w:rsidRPr="00D57E43" w:rsidRDefault="00A95303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0.843</w:t>
            </w:r>
          </w:p>
        </w:tc>
      </w:tr>
    </w:tbl>
    <w:p w:rsidR="00355E17" w:rsidRPr="00D57E43" w:rsidRDefault="00355E17" w:rsidP="00E4751F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5D10C3" w:rsidRPr="00D57E43" w:rsidRDefault="00EE1FA8" w:rsidP="00E4751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t xml:space="preserve">Supporting Information Table </w:t>
      </w:r>
      <w:r w:rsidRPr="00D57E43">
        <w:rPr>
          <w:rFonts w:ascii="Times New Roman" w:hAnsi="Times New Roman"/>
          <w:b/>
          <w:sz w:val="24"/>
          <w:szCs w:val="24"/>
        </w:rPr>
        <w:t>6</w:t>
      </w:r>
      <w:r w:rsidRPr="00D57E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>Multivariable Cox proportional hazard regression model for time to donor MDRO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, 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ceftriaxone, cefotaxime</w:t>
      </w:r>
      <w:r w:rsidR="00D27F9F" w:rsidRPr="00D57E43">
        <w:rPr>
          <w:rFonts w:ascii="Times New Roman" w:hAnsi="Times New Roman"/>
          <w:noProof/>
          <w:sz w:val="24"/>
          <w:szCs w:val="24"/>
        </w:rPr>
        <w:t>, ampicillin/sulbactam, amoxicillin/clavulonate,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 and fluoroquinolones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HCV viremia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1.81-10.30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Dialysis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1.06-18.59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0.041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B63CFC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Hematopoietic </w:t>
            </w:r>
            <w:r w:rsidR="00D33ED0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cell transplant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0.86-46.67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THC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0.96-3.68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0.065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0.998-1.22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0.056</w:t>
            </w:r>
          </w:p>
        </w:tc>
      </w:tr>
    </w:tbl>
    <w:p w:rsidR="003420AD" w:rsidRPr="00D57E43" w:rsidRDefault="003420AD" w:rsidP="00D27F9F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D27F9F" w:rsidRPr="00D57E43" w:rsidRDefault="00EE1FA8" w:rsidP="00D27F9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57E43">
        <w:rPr>
          <w:rFonts w:ascii="Times New Roman" w:hAnsi="Times New Roman"/>
          <w:b/>
          <w:sz w:val="24"/>
          <w:szCs w:val="24"/>
        </w:rPr>
        <w:t>Supporting Information Table</w:t>
      </w:r>
      <w:r w:rsidRPr="00D57E43">
        <w:rPr>
          <w:rFonts w:ascii="Times New Roman" w:hAnsi="Times New Roman"/>
          <w:b/>
          <w:sz w:val="24"/>
          <w:szCs w:val="24"/>
        </w:rPr>
        <w:t xml:space="preserve"> 7</w:t>
      </w:r>
      <w:r w:rsidRPr="00D57E4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57E43">
        <w:rPr>
          <w:rFonts w:ascii="Times New Roman" w:hAnsi="Times New Roman"/>
          <w:sz w:val="24"/>
          <w:szCs w:val="24"/>
        </w:rPr>
        <w:t xml:space="preserve"> </w:t>
      </w:r>
      <w:r w:rsidRPr="00D57E43">
        <w:rPr>
          <w:rFonts w:ascii="Times New Roman" w:hAnsi="Times New Roman"/>
          <w:noProof/>
          <w:sz w:val="24"/>
          <w:szCs w:val="24"/>
        </w:rPr>
        <w:t xml:space="preserve">Multivariable Cox proportional hazard regression model for time to donor </w:t>
      </w:r>
      <w:r w:rsidRPr="00D57E43">
        <w:rPr>
          <w:rFonts w:ascii="Times New Roman" w:hAnsi="Times New Roman"/>
          <w:noProof/>
          <w:sz w:val="24"/>
          <w:szCs w:val="24"/>
        </w:rPr>
        <w:t xml:space="preserve"> </w:t>
      </w:r>
      <w:r w:rsidR="00D27F9F" w:rsidRPr="00D57E43">
        <w:rPr>
          <w:rFonts w:ascii="Times New Roman" w:hAnsi="Times New Roman"/>
          <w:noProof/>
          <w:sz w:val="24"/>
          <w:szCs w:val="24"/>
        </w:rPr>
        <w:t>ESC-R</w:t>
      </w:r>
      <w:r w:rsidR="000F50E8" w:rsidRPr="00D57E43">
        <w:rPr>
          <w:rFonts w:ascii="Times New Roman" w:hAnsi="Times New Roman"/>
          <w:noProof/>
          <w:sz w:val="24"/>
          <w:szCs w:val="24"/>
        </w:rPr>
        <w:t xml:space="preserve"> EB</w:t>
      </w:r>
      <w:r w:rsidR="00D27F9F" w:rsidRPr="00D57E43">
        <w:rPr>
          <w:rFonts w:ascii="Times New Roman" w:hAnsi="Times New Roman"/>
          <w:noProof/>
          <w:sz w:val="24"/>
          <w:szCs w:val="24"/>
        </w:rPr>
        <w:t xml:space="preserve">, where narrow GN antibiotics include </w:t>
      </w:r>
      <w:r w:rsidRPr="00D57E43">
        <w:rPr>
          <w:rFonts w:ascii="Times New Roman" w:hAnsi="Times New Roman"/>
          <w:noProof/>
          <w:sz w:val="24"/>
          <w:szCs w:val="24"/>
        </w:rPr>
        <w:t>ceftriaxone, cefotaxime</w:t>
      </w:r>
      <w:r w:rsidR="00D27F9F" w:rsidRPr="00D57E43">
        <w:rPr>
          <w:rFonts w:ascii="Times New Roman" w:hAnsi="Times New Roman"/>
          <w:noProof/>
          <w:sz w:val="24"/>
          <w:szCs w:val="24"/>
        </w:rPr>
        <w:t>, ampicillin/sulbactam, amoxicillin/clavulonate, and fluoroquinolones</w:t>
      </w:r>
    </w:p>
    <w:tbl>
      <w:tblPr>
        <w:tblW w:w="6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16"/>
        <w:gridCol w:w="1376"/>
        <w:gridCol w:w="1090"/>
      </w:tblGrid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characteristic</w:t>
            </w:r>
          </w:p>
        </w:tc>
        <w:tc>
          <w:tcPr>
            <w:tcW w:w="3282" w:type="dxa"/>
            <w:gridSpan w:val="3"/>
            <w:shd w:val="clear" w:color="auto" w:fill="auto"/>
            <w:noWrap/>
            <w:vAlign w:val="bottom"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Multivariable analysis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D57E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D33ED0" w:rsidRPr="00D57E43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Death due to asphyxiation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1.85-18.28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D33ED0" w:rsidRPr="00E4751F" w:rsidTr="00D27F9F">
        <w:trPr>
          <w:trHeight w:val="300"/>
        </w:trPr>
        <w:tc>
          <w:tcPr>
            <w:tcW w:w="3229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Narrow GN </w:t>
            </w:r>
            <w:proofErr w:type="spellStart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abx</w:t>
            </w:r>
            <w:proofErr w:type="spellEnd"/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(version </w:t>
            </w:r>
            <w:r w:rsidR="00C61ABC"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D33ED0" w:rsidRPr="00D57E43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0.97-1.26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D33ED0" w:rsidRPr="000F50E8" w:rsidRDefault="00D33ED0" w:rsidP="00E4751F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43">
              <w:rPr>
                <w:rFonts w:ascii="Times New Roman" w:hAnsi="Times New Roman"/>
                <w:color w:val="000000"/>
                <w:sz w:val="24"/>
                <w:szCs w:val="24"/>
              </w:rPr>
              <w:t>0.117</w:t>
            </w:r>
            <w:bookmarkStart w:id="0" w:name="_GoBack"/>
            <w:bookmarkEnd w:id="0"/>
          </w:p>
        </w:tc>
      </w:tr>
    </w:tbl>
    <w:p w:rsidR="005D10C3" w:rsidRPr="00EE1FA8" w:rsidRDefault="005D10C3" w:rsidP="00EE1FA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5D10C3" w:rsidRPr="00EE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0F"/>
    <w:multiLevelType w:val="hybridMultilevel"/>
    <w:tmpl w:val="2B9E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A7A2F"/>
    <w:multiLevelType w:val="hybridMultilevel"/>
    <w:tmpl w:val="ECC61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F43A4"/>
    <w:multiLevelType w:val="hybridMultilevel"/>
    <w:tmpl w:val="A50C40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F245A"/>
    <w:multiLevelType w:val="hybridMultilevel"/>
    <w:tmpl w:val="69A452C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01BED"/>
    <w:multiLevelType w:val="hybridMultilevel"/>
    <w:tmpl w:val="232A6C4C"/>
    <w:lvl w:ilvl="0" w:tplc="A238AB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6A03"/>
    <w:multiLevelType w:val="hybridMultilevel"/>
    <w:tmpl w:val="A5FE7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A6B31"/>
    <w:multiLevelType w:val="hybridMultilevel"/>
    <w:tmpl w:val="BE9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B"/>
    <w:rsid w:val="00004551"/>
    <w:rsid w:val="00014AFA"/>
    <w:rsid w:val="000475E2"/>
    <w:rsid w:val="00055C53"/>
    <w:rsid w:val="000B402D"/>
    <w:rsid w:val="000C329B"/>
    <w:rsid w:val="000F50E8"/>
    <w:rsid w:val="00103F49"/>
    <w:rsid w:val="00135F6A"/>
    <w:rsid w:val="00137539"/>
    <w:rsid w:val="00157431"/>
    <w:rsid w:val="00173014"/>
    <w:rsid w:val="001732B0"/>
    <w:rsid w:val="00173CA3"/>
    <w:rsid w:val="00183E85"/>
    <w:rsid w:val="00193451"/>
    <w:rsid w:val="001A4BA9"/>
    <w:rsid w:val="001A6234"/>
    <w:rsid w:val="001B4602"/>
    <w:rsid w:val="001C2015"/>
    <w:rsid w:val="001C4FCE"/>
    <w:rsid w:val="001C7181"/>
    <w:rsid w:val="001D5F27"/>
    <w:rsid w:val="001E1CC5"/>
    <w:rsid w:val="001E75E1"/>
    <w:rsid w:val="00230138"/>
    <w:rsid w:val="00252530"/>
    <w:rsid w:val="00254859"/>
    <w:rsid w:val="002575F3"/>
    <w:rsid w:val="00260014"/>
    <w:rsid w:val="00264457"/>
    <w:rsid w:val="0026511A"/>
    <w:rsid w:val="002711E0"/>
    <w:rsid w:val="002A3235"/>
    <w:rsid w:val="002A744D"/>
    <w:rsid w:val="002C7559"/>
    <w:rsid w:val="002E65CD"/>
    <w:rsid w:val="00310714"/>
    <w:rsid w:val="00313178"/>
    <w:rsid w:val="00316CFB"/>
    <w:rsid w:val="00330265"/>
    <w:rsid w:val="003420AD"/>
    <w:rsid w:val="00353E84"/>
    <w:rsid w:val="00355E17"/>
    <w:rsid w:val="00361680"/>
    <w:rsid w:val="00366799"/>
    <w:rsid w:val="0038569F"/>
    <w:rsid w:val="00396C89"/>
    <w:rsid w:val="003A1A41"/>
    <w:rsid w:val="003A2682"/>
    <w:rsid w:val="003B581E"/>
    <w:rsid w:val="003C56F2"/>
    <w:rsid w:val="003F7B69"/>
    <w:rsid w:val="00400B80"/>
    <w:rsid w:val="0041564D"/>
    <w:rsid w:val="004252E8"/>
    <w:rsid w:val="004326EF"/>
    <w:rsid w:val="00435CCB"/>
    <w:rsid w:val="00447CE6"/>
    <w:rsid w:val="00484A0A"/>
    <w:rsid w:val="004B0B14"/>
    <w:rsid w:val="004C63A2"/>
    <w:rsid w:val="004C75B4"/>
    <w:rsid w:val="004F4BA7"/>
    <w:rsid w:val="00510D8E"/>
    <w:rsid w:val="005227C0"/>
    <w:rsid w:val="005503AF"/>
    <w:rsid w:val="00585963"/>
    <w:rsid w:val="005B7E15"/>
    <w:rsid w:val="005C4824"/>
    <w:rsid w:val="005D10C3"/>
    <w:rsid w:val="005D1AEC"/>
    <w:rsid w:val="005D3B3E"/>
    <w:rsid w:val="005E5F15"/>
    <w:rsid w:val="005F348E"/>
    <w:rsid w:val="0060466D"/>
    <w:rsid w:val="00607C0E"/>
    <w:rsid w:val="00644631"/>
    <w:rsid w:val="006A189D"/>
    <w:rsid w:val="006A5CDA"/>
    <w:rsid w:val="006B2BC6"/>
    <w:rsid w:val="006B4778"/>
    <w:rsid w:val="006C7FA0"/>
    <w:rsid w:val="006D22BB"/>
    <w:rsid w:val="006E14D1"/>
    <w:rsid w:val="006E489C"/>
    <w:rsid w:val="006F064F"/>
    <w:rsid w:val="00724915"/>
    <w:rsid w:val="0073237D"/>
    <w:rsid w:val="00763CA0"/>
    <w:rsid w:val="00782CBC"/>
    <w:rsid w:val="007A4927"/>
    <w:rsid w:val="007B6668"/>
    <w:rsid w:val="007C6C03"/>
    <w:rsid w:val="007C7A35"/>
    <w:rsid w:val="007D2455"/>
    <w:rsid w:val="007F6BCD"/>
    <w:rsid w:val="008036C9"/>
    <w:rsid w:val="00807A6F"/>
    <w:rsid w:val="00857A9F"/>
    <w:rsid w:val="008E72A8"/>
    <w:rsid w:val="009551C9"/>
    <w:rsid w:val="0099335F"/>
    <w:rsid w:val="009A6B5C"/>
    <w:rsid w:val="009C2CA1"/>
    <w:rsid w:val="009F55D7"/>
    <w:rsid w:val="00A02C8B"/>
    <w:rsid w:val="00A14CAE"/>
    <w:rsid w:val="00A15B13"/>
    <w:rsid w:val="00A16254"/>
    <w:rsid w:val="00A21C07"/>
    <w:rsid w:val="00A32477"/>
    <w:rsid w:val="00A51BCD"/>
    <w:rsid w:val="00A85A8A"/>
    <w:rsid w:val="00A95303"/>
    <w:rsid w:val="00AC1F7D"/>
    <w:rsid w:val="00AD094A"/>
    <w:rsid w:val="00B12AFD"/>
    <w:rsid w:val="00B43D31"/>
    <w:rsid w:val="00B46080"/>
    <w:rsid w:val="00B545D0"/>
    <w:rsid w:val="00B63CFC"/>
    <w:rsid w:val="00B80C33"/>
    <w:rsid w:val="00B87331"/>
    <w:rsid w:val="00BB797A"/>
    <w:rsid w:val="00BC360E"/>
    <w:rsid w:val="00BD3DEB"/>
    <w:rsid w:val="00BD41CD"/>
    <w:rsid w:val="00BF21DA"/>
    <w:rsid w:val="00BF6DDE"/>
    <w:rsid w:val="00C1539F"/>
    <w:rsid w:val="00C16842"/>
    <w:rsid w:val="00C24F6B"/>
    <w:rsid w:val="00C2632D"/>
    <w:rsid w:val="00C61ABC"/>
    <w:rsid w:val="00C76046"/>
    <w:rsid w:val="00C774E0"/>
    <w:rsid w:val="00C820C3"/>
    <w:rsid w:val="00CB1B23"/>
    <w:rsid w:val="00CB5AE6"/>
    <w:rsid w:val="00CC0C1C"/>
    <w:rsid w:val="00CD6D07"/>
    <w:rsid w:val="00CE0F06"/>
    <w:rsid w:val="00D0281F"/>
    <w:rsid w:val="00D11847"/>
    <w:rsid w:val="00D1270F"/>
    <w:rsid w:val="00D27F9F"/>
    <w:rsid w:val="00D33ED0"/>
    <w:rsid w:val="00D43CB0"/>
    <w:rsid w:val="00D55D0B"/>
    <w:rsid w:val="00D57E43"/>
    <w:rsid w:val="00D61F7D"/>
    <w:rsid w:val="00D811E1"/>
    <w:rsid w:val="00DB16F6"/>
    <w:rsid w:val="00DD070A"/>
    <w:rsid w:val="00DD50DE"/>
    <w:rsid w:val="00DD5224"/>
    <w:rsid w:val="00DD7F41"/>
    <w:rsid w:val="00DE0BFE"/>
    <w:rsid w:val="00DF0850"/>
    <w:rsid w:val="00DF6931"/>
    <w:rsid w:val="00E21DAD"/>
    <w:rsid w:val="00E22DBE"/>
    <w:rsid w:val="00E25431"/>
    <w:rsid w:val="00E34A75"/>
    <w:rsid w:val="00E424A8"/>
    <w:rsid w:val="00E4751F"/>
    <w:rsid w:val="00E61CA2"/>
    <w:rsid w:val="00E6356E"/>
    <w:rsid w:val="00E81D2F"/>
    <w:rsid w:val="00E96D11"/>
    <w:rsid w:val="00E97D04"/>
    <w:rsid w:val="00EC6712"/>
    <w:rsid w:val="00EC71AA"/>
    <w:rsid w:val="00ED5074"/>
    <w:rsid w:val="00EE1FA8"/>
    <w:rsid w:val="00EE6B2C"/>
    <w:rsid w:val="00EE7F12"/>
    <w:rsid w:val="00EF40BB"/>
    <w:rsid w:val="00EF65FA"/>
    <w:rsid w:val="00F00534"/>
    <w:rsid w:val="00F213A2"/>
    <w:rsid w:val="00F23833"/>
    <w:rsid w:val="00F32829"/>
    <w:rsid w:val="00F37765"/>
    <w:rsid w:val="00F421DF"/>
    <w:rsid w:val="00F51C7F"/>
    <w:rsid w:val="00F52092"/>
    <w:rsid w:val="00F5738B"/>
    <w:rsid w:val="00F576DF"/>
    <w:rsid w:val="00F670B5"/>
    <w:rsid w:val="00F83FD9"/>
    <w:rsid w:val="00FA0CCD"/>
    <w:rsid w:val="00FB63A9"/>
    <w:rsid w:val="00FE23CD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6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66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8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6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66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2019-04-25T18:38:00Z</dcterms:created>
  <dcterms:modified xsi:type="dcterms:W3CDTF">2019-04-25T18:38:00Z</dcterms:modified>
</cp:coreProperties>
</file>