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48" w:rsidRDefault="003732B4" w:rsidP="00711D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</w:t>
      </w:r>
      <w:r w:rsidRPr="00C55F42">
        <w:rPr>
          <w:rFonts w:asciiTheme="majorHAnsi" w:hAnsiTheme="majorHAnsi"/>
          <w:b/>
          <w:sz w:val="28"/>
          <w:szCs w:val="28"/>
        </w:rPr>
        <w:t>NLINE SUPPLEMENT</w:t>
      </w:r>
      <w:r w:rsidR="00711D48">
        <w:rPr>
          <w:rFonts w:asciiTheme="majorHAnsi" w:hAnsiTheme="majorHAnsi"/>
          <w:b/>
          <w:sz w:val="28"/>
          <w:szCs w:val="28"/>
        </w:rPr>
        <w:t>:</w:t>
      </w:r>
    </w:p>
    <w:p w:rsidR="00711D48" w:rsidRPr="00694F05" w:rsidRDefault="00711D48" w:rsidP="00711D4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94F05">
        <w:rPr>
          <w:rFonts w:asciiTheme="majorHAnsi" w:hAnsiTheme="majorHAnsi"/>
          <w:b/>
          <w:sz w:val="28"/>
          <w:szCs w:val="28"/>
        </w:rPr>
        <w:t>Epidemiology of Hospital-Onset versus Community-Onset Sepsis in U.S. Hospitals and Association with Mortality: A Retrospective Analysis Using Electronic Clinical Data</w:t>
      </w: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Supplemental Methods: Multiple Imputation Methods for Missing Data in Severity-of-Illness Covariates</w:t>
      </w:r>
    </w:p>
    <w:p w:rsid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55BB7" w:rsidRPr="00E55BB7" w:rsidRDefault="00832A18" w:rsidP="00E55B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For missing</w:t>
      </w:r>
      <w:r w:rsidR="00E55BB7">
        <w:rPr>
          <w:rFonts w:asciiTheme="majorHAnsi" w:eastAsia="Times New Roman" w:hAnsiTheme="majorHAnsi" w:cs="Times New Roman"/>
          <w:sz w:val="24"/>
          <w:szCs w:val="24"/>
        </w:rPr>
        <w:t xml:space="preserve"> covariates included in the logistic regression model comparing hospital-onset vs community-onset sepsis, t</w:t>
      </w:r>
      <w:r w:rsidR="00E55BB7" w:rsidRPr="00E55BB7">
        <w:rPr>
          <w:rFonts w:asciiTheme="majorHAnsi" w:eastAsia="Times New Roman" w:hAnsiTheme="majorHAnsi" w:cs="Times New Roman"/>
          <w:sz w:val="24"/>
          <w:szCs w:val="24"/>
        </w:rPr>
        <w:t>he predicted mean matching method was used. This method imputes an observed value which is closest to the predicted value from the simulated regression model</w:t>
      </w:r>
      <w:r w:rsidR="003A552E">
        <w:rPr>
          <w:rFonts w:asciiTheme="majorHAnsi" w:eastAsia="Times New Roman" w:hAnsiTheme="majorHAnsi" w:cs="Times New Roman"/>
          <w:sz w:val="24"/>
          <w:szCs w:val="24"/>
        </w:rPr>
        <w:t xml:space="preserve"> for each missing value. For th</w:t>
      </w:r>
      <w:r>
        <w:rPr>
          <w:rFonts w:asciiTheme="majorHAnsi" w:eastAsia="Times New Roman" w:hAnsiTheme="majorHAnsi" w:cs="Times New Roman"/>
          <w:sz w:val="24"/>
          <w:szCs w:val="24"/>
        </w:rPr>
        <w:t>e</w:t>
      </w:r>
      <w:r w:rsidR="00E55BB7" w:rsidRPr="00E55BB7">
        <w:rPr>
          <w:rFonts w:asciiTheme="majorHAnsi" w:eastAsia="Times New Roman" w:hAnsiTheme="majorHAnsi" w:cs="Times New Roman"/>
          <w:sz w:val="24"/>
          <w:szCs w:val="24"/>
        </w:rPr>
        <w:t xml:space="preserve"> covariates included in the Cox regres</w:t>
      </w:r>
      <w:r>
        <w:rPr>
          <w:rFonts w:asciiTheme="majorHAnsi" w:eastAsia="Times New Roman" w:hAnsiTheme="majorHAnsi" w:cs="Times New Roman"/>
          <w:sz w:val="24"/>
          <w:szCs w:val="24"/>
        </w:rPr>
        <w:t>sion model evaluating the effect</w:t>
      </w:r>
      <w:r w:rsidR="00E55BB7" w:rsidRPr="00E55BB7">
        <w:rPr>
          <w:rFonts w:asciiTheme="majorHAnsi" w:eastAsia="Times New Roman" w:hAnsiTheme="majorHAnsi" w:cs="Times New Roman"/>
          <w:sz w:val="24"/>
          <w:szCs w:val="24"/>
        </w:rPr>
        <w:t xml:space="preserve"> of developing sepsis on mortality risk, a Markov Chain Monte Carlo method (</w:t>
      </w:r>
      <w:r>
        <w:rPr>
          <w:rFonts w:asciiTheme="majorHAnsi" w:eastAsia="Times New Roman" w:hAnsiTheme="majorHAnsi" w:cs="Times New Roman"/>
          <w:sz w:val="24"/>
          <w:szCs w:val="24"/>
        </w:rPr>
        <w:t>Schafer, J.L. 1997</w:t>
      </w:r>
      <w:r w:rsidRPr="00E55BB7">
        <w:rPr>
          <w:rFonts w:asciiTheme="majorHAnsi" w:eastAsia="Times New Roman" w:hAnsiTheme="majorHAnsi" w:cs="Times New Roman"/>
          <w:sz w:val="24"/>
          <w:szCs w:val="24"/>
        </w:rPr>
        <w:t>, Analysis of Incomplete Multivariate Da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ta, New York: Chapman and Hall.) </w:t>
      </w:r>
      <w:r w:rsidR="00E55BB7" w:rsidRPr="00E55BB7">
        <w:rPr>
          <w:rFonts w:asciiTheme="majorHAnsi" w:eastAsia="Times New Roman" w:hAnsiTheme="majorHAnsi" w:cs="Times New Roman"/>
          <w:sz w:val="24"/>
          <w:szCs w:val="24"/>
        </w:rPr>
        <w:t>that assumes multivariate normality was used for imputation; predicted values that were out of boundary were assigned the boundary values. The predicted mean matching method was not employed due to its associated computational burd</w:t>
      </w:r>
      <w:r>
        <w:rPr>
          <w:rFonts w:asciiTheme="majorHAnsi" w:eastAsia="Times New Roman" w:hAnsiTheme="majorHAnsi" w:cs="Times New Roman"/>
          <w:sz w:val="24"/>
          <w:szCs w:val="24"/>
        </w:rPr>
        <w:t>en in this setting with a very large</w:t>
      </w:r>
      <w:r w:rsidR="00E55BB7" w:rsidRPr="00E55BB7">
        <w:rPr>
          <w:rFonts w:asciiTheme="majorHAnsi" w:eastAsia="Times New Roman" w:hAnsiTheme="majorHAnsi" w:cs="Times New Roman"/>
          <w:sz w:val="24"/>
          <w:szCs w:val="24"/>
        </w:rPr>
        <w:t xml:space="preserve"> sample size. </w:t>
      </w:r>
    </w:p>
    <w:p w:rsidR="00E55BB7" w:rsidRPr="00E55BB7" w:rsidRDefault="00E55BB7" w:rsidP="00E55BB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E55BB7" w:rsidRP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55BB7" w:rsidRDefault="00E55BB7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2B4" w:rsidRPr="00807EE5" w:rsidRDefault="003732B4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07EE5">
        <w:rPr>
          <w:rFonts w:asciiTheme="majorHAnsi" w:hAnsiTheme="majorHAnsi"/>
          <w:b/>
          <w:sz w:val="24"/>
          <w:szCs w:val="24"/>
        </w:rPr>
        <w:lastRenderedPageBreak/>
        <w:t xml:space="preserve">Supplemental Table 1. </w:t>
      </w:r>
      <w:r w:rsidRPr="00807EE5">
        <w:rPr>
          <w:rFonts w:asciiTheme="majorHAnsi" w:hAnsiTheme="majorHAnsi" w:cs="Arial"/>
          <w:b/>
          <w:i/>
          <w:color w:val="222222"/>
          <w:sz w:val="24"/>
          <w:szCs w:val="24"/>
          <w:shd w:val="clear" w:color="auto" w:fill="FFFFFF"/>
        </w:rPr>
        <w:t xml:space="preserve">International Classification of Diseases, Ninth Revision, Clinical Modification </w:t>
      </w:r>
      <w:r w:rsidRPr="00807EE5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(ICD-9-CM)</w:t>
      </w:r>
      <w:r w:rsidRPr="00807EE5">
        <w:rPr>
          <w:rFonts w:asciiTheme="majorHAnsi" w:hAnsiTheme="majorHAnsi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807EE5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Codes Used to Identify Presumptive Infectious Source of Sepsis Cases</w:t>
      </w: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732B4" w:rsidTr="00E0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E04A3F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E04A3F">
              <w:rPr>
                <w:rFonts w:asciiTheme="majorHAnsi" w:hAnsiTheme="majorHAnsi"/>
                <w:sz w:val="20"/>
                <w:szCs w:val="20"/>
              </w:rPr>
              <w:t>Infectious Source</w:t>
            </w:r>
          </w:p>
        </w:tc>
        <w:tc>
          <w:tcPr>
            <w:tcW w:w="6948" w:type="dxa"/>
          </w:tcPr>
          <w:p w:rsidR="003732B4" w:rsidRPr="00E04A3F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04A3F">
              <w:rPr>
                <w:rFonts w:asciiTheme="majorHAnsi" w:hAnsiTheme="majorHAnsi"/>
                <w:sz w:val="20"/>
                <w:szCs w:val="20"/>
              </w:rPr>
              <w:t>ICD-9-CM Codes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Pneumonia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F79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480.0-480.9, 481, 482.0-482.9, 483.0-483.8, 484.1-484.8, 485, 486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Urinary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F79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590.00, 590.01, 590.10, 590.11, 590.2, 590.3, 590.80, 590.81, 590.9, 595.0, 595.2, 595.3, 595.4, 595.89, 595.9, 597.0, 597.80, 597.89, 598.00, 598.01, 599.0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Intra-abdominal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767F79">
              <w:rPr>
                <w:rFonts w:asciiTheme="majorHAnsi" w:hAnsiTheme="majorHAnsi" w:cs="OTNEJMScalaSansLF"/>
                <w:sz w:val="20"/>
                <w:szCs w:val="20"/>
              </w:rPr>
              <w:t>008.45, 009.0–009.3, 540.0–540.9, 541, 542, 543.9, 562.01, 562.03, 562.11, 562.13, 567.0–567.9, 569.5, 569.61, 569.71, 569.83, 572.0–572.8, 574.00–574.91,575.0–575.9, 576.0–576.9, 614.0–614.9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Skin/Soft Tissue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OTNEJMScalaSansLF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sz w:val="20"/>
                <w:szCs w:val="20"/>
              </w:rPr>
              <w:t>680-686, 035, 376.01, 728.86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Septicemia/Bacteremia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sz w:val="20"/>
                <w:szCs w:val="20"/>
              </w:rPr>
              <w:t>038.0-038.9, 790.7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Central Nervous System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sz w:val="20"/>
                <w:szCs w:val="20"/>
              </w:rPr>
              <w:t>027.0, 036, 320.0-321.1, 321.8, , 324.0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3732B4" w:rsidRPr="00767F79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b w:val="0"/>
                <w:sz w:val="20"/>
                <w:szCs w:val="20"/>
              </w:rPr>
              <w:t>Obstetric/Gynecologic</w:t>
            </w:r>
          </w:p>
        </w:tc>
        <w:tc>
          <w:tcPr>
            <w:tcW w:w="6948" w:type="dxa"/>
          </w:tcPr>
          <w:p w:rsidR="003732B4" w:rsidRPr="00767F79" w:rsidRDefault="003732B4" w:rsidP="00967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67F79">
              <w:rPr>
                <w:rFonts w:asciiTheme="majorHAnsi" w:hAnsiTheme="majorHAnsi"/>
                <w:sz w:val="20"/>
                <w:szCs w:val="20"/>
              </w:rPr>
              <w:t>614.0-614.5, 616.0-616.1, 616.3-616.4, 634.0, 635.0, 636.0, 637.0, 638.0, 639.0, 646.5, 646.6,  647.9, , 658.4, 659.3, 670, 675</w:t>
            </w:r>
          </w:p>
        </w:tc>
      </w:tr>
    </w:tbl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E7029" w:rsidRDefault="003E7029" w:rsidP="003732B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732B4" w:rsidRPr="00D76A6A" w:rsidRDefault="003732B4" w:rsidP="003732B4">
      <w:pPr>
        <w:spacing w:after="0" w:line="240" w:lineRule="auto"/>
        <w:rPr>
          <w:rFonts w:asciiTheme="majorHAnsi" w:hAnsiTheme="majorHAnsi"/>
          <w:b/>
          <w:sz w:val="24"/>
        </w:rPr>
      </w:pPr>
      <w:r w:rsidRPr="00D76A6A">
        <w:rPr>
          <w:rFonts w:asciiTheme="majorHAnsi" w:hAnsiTheme="majorHAnsi"/>
          <w:b/>
          <w:sz w:val="24"/>
        </w:rPr>
        <w:lastRenderedPageBreak/>
        <w:t xml:space="preserve">Supplemental Table 2.  </w:t>
      </w:r>
      <w:r w:rsidR="00FC0899">
        <w:rPr>
          <w:rFonts w:asciiTheme="majorHAnsi" w:hAnsiTheme="majorHAnsi"/>
          <w:b/>
          <w:sz w:val="24"/>
        </w:rPr>
        <w:t xml:space="preserve">Cerner HealthFacts </w:t>
      </w:r>
      <w:r w:rsidRPr="00D76A6A">
        <w:rPr>
          <w:rFonts w:asciiTheme="majorHAnsi" w:hAnsiTheme="majorHAnsi"/>
          <w:b/>
          <w:sz w:val="24"/>
        </w:rPr>
        <w:t>Study Hospital Characteristics</w:t>
      </w:r>
      <w:r w:rsidR="00FC0899">
        <w:rPr>
          <w:rFonts w:asciiTheme="majorHAnsi" w:hAnsiTheme="majorHAnsi"/>
          <w:b/>
          <w:sz w:val="24"/>
        </w:rPr>
        <w:t xml:space="preserve"> </w:t>
      </w: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804"/>
        <w:gridCol w:w="4044"/>
      </w:tblGrid>
      <w:tr w:rsidR="003732B4" w:rsidTr="00E04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Hospital Characteristic</w:t>
            </w:r>
          </w:p>
        </w:tc>
        <w:tc>
          <w:tcPr>
            <w:tcW w:w="4044" w:type="dxa"/>
          </w:tcPr>
          <w:p w:rsidR="003732B4" w:rsidRPr="00D269B4" w:rsidRDefault="00FC0899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Hospitals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Total </w:t>
            </w:r>
            <w:r w:rsidR="003732B4" w:rsidRPr="00D269B4">
              <w:rPr>
                <w:rFonts w:asciiTheme="majorHAnsi" w:hAnsiTheme="majorHAnsi"/>
                <w:sz w:val="20"/>
                <w:szCs w:val="20"/>
              </w:rPr>
              <w:t>N=</w:t>
            </w:r>
            <w:r w:rsidR="003732B4">
              <w:rPr>
                <w:rFonts w:asciiTheme="majorHAnsi" w:hAnsiTheme="majorHAnsi"/>
                <w:sz w:val="20"/>
                <w:szCs w:val="20"/>
              </w:rPr>
              <w:t>136</w:t>
            </w:r>
            <w:r w:rsidR="003732B4" w:rsidRPr="00D269B4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Region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>Northeast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30 (22.1%)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>Midwest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26 (19.1%)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>West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32 (23.5%)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South 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48 (35.3%)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Bed Size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   &lt;200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88 (64.7%)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   200-499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 (28.7%)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   &gt;500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 (6.6%)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Teaching Status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   Teaching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49 (36.0%)</w:t>
            </w:r>
          </w:p>
        </w:tc>
      </w:tr>
      <w:tr w:rsidR="003732B4" w:rsidTr="00E04A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D269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 xml:space="preserve">   Nonteac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h</w:t>
            </w:r>
            <w:r w:rsidRPr="00D269B4">
              <w:rPr>
                <w:rFonts w:asciiTheme="majorHAnsi" w:hAnsiTheme="majorHAnsi"/>
                <w:b w:val="0"/>
                <w:sz w:val="20"/>
                <w:szCs w:val="20"/>
              </w:rPr>
              <w:t>ing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269B4">
              <w:rPr>
                <w:rFonts w:asciiTheme="majorHAnsi" w:hAnsiTheme="majorHAnsi"/>
                <w:sz w:val="20"/>
                <w:szCs w:val="20"/>
              </w:rPr>
              <w:t>81 (59.6%)</w:t>
            </w:r>
          </w:p>
        </w:tc>
      </w:tr>
      <w:tr w:rsidR="003732B4" w:rsidTr="00E04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4" w:type="dxa"/>
          </w:tcPr>
          <w:p w:rsidR="003732B4" w:rsidRPr="00657068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57068">
              <w:rPr>
                <w:rFonts w:asciiTheme="majorHAnsi" w:hAnsiTheme="majorHAnsi"/>
                <w:b w:val="0"/>
                <w:sz w:val="20"/>
                <w:szCs w:val="20"/>
              </w:rPr>
              <w:t xml:space="preserve"> Unknown</w:t>
            </w:r>
          </w:p>
        </w:tc>
        <w:tc>
          <w:tcPr>
            <w:tcW w:w="4044" w:type="dxa"/>
          </w:tcPr>
          <w:p w:rsidR="003732B4" w:rsidRPr="00D269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(4.4%)</w:t>
            </w:r>
          </w:p>
        </w:tc>
      </w:tr>
    </w:tbl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b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p w:rsidR="00B1683B" w:rsidRDefault="00B1683B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2B4" w:rsidRDefault="00452050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Supplemental Table 3</w:t>
      </w:r>
      <w:r w:rsidR="003732B4" w:rsidRPr="00814B40">
        <w:rPr>
          <w:rFonts w:asciiTheme="majorHAnsi" w:hAnsiTheme="majorHAnsi"/>
          <w:b/>
          <w:sz w:val="24"/>
          <w:szCs w:val="24"/>
        </w:rPr>
        <w:t xml:space="preserve">. </w:t>
      </w:r>
      <w:r w:rsidR="003732B4">
        <w:rPr>
          <w:rFonts w:asciiTheme="majorHAnsi" w:hAnsiTheme="majorHAnsi"/>
          <w:b/>
          <w:sz w:val="24"/>
          <w:szCs w:val="24"/>
        </w:rPr>
        <w:t>Logistic and Cox Regression Models to Estimate Risk of Death from Hospital-Onset Sepsis versus Community-Onset Sepsis and No Sepsis</w:t>
      </w:r>
    </w:p>
    <w:p w:rsidR="003732B4" w:rsidRDefault="003732B4" w:rsidP="003732B4">
      <w:pPr>
        <w:spacing w:after="0" w:line="240" w:lineRule="auto"/>
        <w:rPr>
          <w:rFonts w:asciiTheme="majorHAnsi" w:hAnsiTheme="majorHAnsi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990"/>
        <w:gridCol w:w="1800"/>
        <w:gridCol w:w="918"/>
      </w:tblGrid>
      <w:tr w:rsidR="003732B4" w:rsidRPr="002E6BFB" w:rsidTr="0096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00" w:type="dxa"/>
            <w:noWrap/>
            <w:hideMark/>
          </w:tcPr>
          <w:p w:rsidR="003732B4" w:rsidRPr="002E6BFB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Odds</w:t>
            </w: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Ratio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for</w:t>
            </w:r>
            <w:r w:rsidR="000065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Mortality (H</w:t>
            </w:r>
            <w:r w:rsidR="00694F0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 vs CO-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Sepsis</w:t>
            </w:r>
            <w:r w:rsidR="000065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  <w:p w:rsidR="003732B4" w:rsidRPr="002E6BFB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</w:t>
            </w: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95% CI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  <w:hideMark/>
          </w:tcPr>
          <w:p w:rsidR="003732B4" w:rsidRPr="002E6BFB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1800" w:type="dxa"/>
          </w:tcPr>
          <w:p w:rsidR="003732B4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Hazard Ratio for </w:t>
            </w:r>
            <w:r w:rsidR="000065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Mortality (</w:t>
            </w:r>
            <w:r w:rsidR="00694F0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HO-S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epsis vs No Sepsis</w:t>
            </w:r>
            <w:r w:rsidR="000065E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  <w:p w:rsidR="003732B4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18" w:type="dxa"/>
          </w:tcPr>
          <w:p w:rsidR="003732B4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 (1.02-1.02)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 (1.04-1.04)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0.97 (0.93-1.01)</w:t>
            </w:r>
          </w:p>
        </w:tc>
        <w:tc>
          <w:tcPr>
            <w:tcW w:w="990" w:type="dxa"/>
            <w:noWrap/>
          </w:tcPr>
          <w:p w:rsidR="003732B4" w:rsidRPr="002E6BFB" w:rsidRDefault="00B9663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 (1.06-1.10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White 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Black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 (1.07-1.19)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0.92 (0.89-0.94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A6154A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Other</w:t>
            </w:r>
          </w:p>
        </w:tc>
        <w:tc>
          <w:tcPr>
            <w:tcW w:w="1800" w:type="dxa"/>
            <w:noWrap/>
          </w:tcPr>
          <w:p w:rsidR="003732B4" w:rsidRPr="002E6BFB" w:rsidRDefault="00486B47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 (1.00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-1.15)</w:t>
            </w:r>
          </w:p>
        </w:tc>
        <w:tc>
          <w:tcPr>
            <w:tcW w:w="990" w:type="dxa"/>
            <w:noWrap/>
          </w:tcPr>
          <w:p w:rsidR="003732B4" w:rsidRPr="002E6BFB" w:rsidRDefault="00486B47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0.97 (0.93-1.01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0"/>
                <w:szCs w:val="20"/>
              </w:rPr>
              <w:t>0.153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3D2746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Comorbidities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</w:t>
            </w:r>
            <w:r w:rsidRPr="00A6154A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Acquired Immunodeficiency Syndrome</w:t>
            </w:r>
          </w:p>
        </w:tc>
        <w:tc>
          <w:tcPr>
            <w:tcW w:w="1800" w:type="dxa"/>
            <w:noWrap/>
          </w:tcPr>
          <w:p w:rsidR="003732B4" w:rsidRPr="002E6BFB" w:rsidRDefault="00D3539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1.43 (1.12-1.82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D3539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1.37 (1.15-1.62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0260E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Alcohol Abuse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0.82 (0.75-0.90)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0260E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0.82 (0.78-0.87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Anemia</w:t>
            </w:r>
          </w:p>
        </w:tc>
        <w:tc>
          <w:tcPr>
            <w:tcW w:w="1800" w:type="dxa"/>
            <w:noWrap/>
          </w:tcPr>
          <w:p w:rsidR="003732B4" w:rsidRPr="002E6BFB" w:rsidRDefault="00D3539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(0.71-0.78)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0.80 (0.78-0.82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Arthritis</w:t>
            </w:r>
          </w:p>
        </w:tc>
        <w:tc>
          <w:tcPr>
            <w:tcW w:w="1800" w:type="dxa"/>
            <w:noWrap/>
          </w:tcPr>
          <w:p w:rsidR="003732B4" w:rsidRPr="002E6BFB" w:rsidRDefault="00D3539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(0.90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-1.13)</w:t>
            </w:r>
          </w:p>
        </w:tc>
        <w:tc>
          <w:tcPr>
            <w:tcW w:w="990" w:type="dxa"/>
            <w:noWrap/>
          </w:tcPr>
          <w:p w:rsidR="003732B4" w:rsidRPr="002E6BFB" w:rsidRDefault="00D3539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0.96 (0.90-1.03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0.280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Blood Loss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0.68 (0.57-0.80)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0.66 (0.60-0.73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Cardiac Arrhythmia</w:t>
            </w:r>
          </w:p>
        </w:tc>
        <w:tc>
          <w:tcPr>
            <w:tcW w:w="1800" w:type="dxa"/>
            <w:noWrap/>
          </w:tcPr>
          <w:p w:rsidR="003732B4" w:rsidRPr="002E6BFB" w:rsidRDefault="00D3539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1.18 (1.13-1.23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0260E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(1.05-1.10)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Congestive Heart Failure</w:t>
            </w:r>
          </w:p>
        </w:tc>
        <w:tc>
          <w:tcPr>
            <w:tcW w:w="1800" w:type="dxa"/>
            <w:noWrap/>
          </w:tcPr>
          <w:p w:rsidR="003732B4" w:rsidRPr="002E6BFB" w:rsidRDefault="003732B4" w:rsidP="00D35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 (1.00-1.10</w:t>
            </w:r>
            <w:r w:rsidR="00D3539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noWrap/>
          </w:tcPr>
          <w:p w:rsidR="003732B4" w:rsidRPr="002E6BFB" w:rsidRDefault="00D3539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1.19 (1.16-1.23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Chronic Lung Disease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0.97 (0.92-1.01)</w:t>
            </w:r>
          </w:p>
        </w:tc>
        <w:tc>
          <w:tcPr>
            <w:tcW w:w="990" w:type="dxa"/>
            <w:noWrap/>
          </w:tcPr>
          <w:p w:rsidR="003732B4" w:rsidRPr="002E6BFB" w:rsidRDefault="00D3539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(0.98-1.04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0.574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Coagulopathy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 (0.98-1.11)</w:t>
            </w:r>
          </w:p>
        </w:tc>
        <w:tc>
          <w:tcPr>
            <w:tcW w:w="990" w:type="dxa"/>
            <w:noWrap/>
          </w:tcPr>
          <w:p w:rsidR="003732B4" w:rsidRPr="002E6BFB" w:rsidRDefault="00D3539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0.88 (0.85-0.91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Depression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0.84 (0.78-0.90)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 (0.75-0.81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Diabetes without Complications</w:t>
            </w:r>
          </w:p>
        </w:tc>
        <w:tc>
          <w:tcPr>
            <w:tcW w:w="1800" w:type="dxa"/>
            <w:noWrap/>
          </w:tcPr>
          <w:p w:rsidR="003732B4" w:rsidRPr="002E6BFB" w:rsidRDefault="00D62C36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0.85 (0.81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-0.89)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0.93 (0.90-0.95)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Diabetes with Complications</w:t>
            </w:r>
          </w:p>
        </w:tc>
        <w:tc>
          <w:tcPr>
            <w:tcW w:w="1800" w:type="dxa"/>
            <w:noWrap/>
          </w:tcPr>
          <w:p w:rsidR="003732B4" w:rsidRPr="002E6BFB" w:rsidRDefault="00D62C36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(0.84-0.99)</w:t>
            </w:r>
          </w:p>
        </w:tc>
        <w:tc>
          <w:tcPr>
            <w:tcW w:w="990" w:type="dxa"/>
            <w:noWrap/>
          </w:tcPr>
          <w:p w:rsidR="003732B4" w:rsidRPr="002E6BFB" w:rsidRDefault="00D62C36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800" w:type="dxa"/>
          </w:tcPr>
          <w:p w:rsidR="003732B4" w:rsidRPr="002E6BFB" w:rsidRDefault="00BB4139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0.74 (0.71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-0.78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Drug Use</w:t>
            </w:r>
          </w:p>
        </w:tc>
        <w:tc>
          <w:tcPr>
            <w:tcW w:w="1800" w:type="dxa"/>
            <w:noWrap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0.72 (0.64-0.82)</w:t>
            </w:r>
          </w:p>
        </w:tc>
        <w:tc>
          <w:tcPr>
            <w:tcW w:w="990" w:type="dxa"/>
            <w:noWrap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0.86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(0.79-0.93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Hypertension with Complications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0.79 (0.76-0.83)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0.70 (0.68-0.72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Hypothyroidism</w:t>
            </w:r>
          </w:p>
        </w:tc>
        <w:tc>
          <w:tcPr>
            <w:tcW w:w="1800" w:type="dxa"/>
            <w:noWrap/>
          </w:tcPr>
          <w:p w:rsidR="003732B4" w:rsidRPr="002E6BFB" w:rsidRDefault="00D62C36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0.90 (0.85-0.96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D62C36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0.88 (0.85-0.91)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Liver Disease</w:t>
            </w:r>
          </w:p>
        </w:tc>
        <w:tc>
          <w:tcPr>
            <w:tcW w:w="1800" w:type="dxa"/>
            <w:noWrap/>
          </w:tcPr>
          <w:p w:rsidR="003732B4" w:rsidRPr="002E6BFB" w:rsidRDefault="00D62C36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 (1.34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-1.58)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6A36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1.48 (1.40-1.55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Lymphoma</w:t>
            </w:r>
          </w:p>
        </w:tc>
        <w:tc>
          <w:tcPr>
            <w:tcW w:w="1800" w:type="dxa"/>
            <w:noWrap/>
          </w:tcPr>
          <w:p w:rsidR="003732B4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 (1.29-1.65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1.24 (1.15-1.34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780A2C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Fluid and Electrolyte Disorders</w:t>
            </w:r>
          </w:p>
        </w:tc>
        <w:tc>
          <w:tcPr>
            <w:tcW w:w="1800" w:type="dxa"/>
            <w:noWrap/>
          </w:tcPr>
          <w:p w:rsidR="003732B4" w:rsidRPr="00780A2C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0.95 (0.92-0.99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780A2C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800" w:type="dxa"/>
          </w:tcPr>
          <w:p w:rsidR="003732B4" w:rsidRPr="00780A2C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 (1.05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780A2C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Metastatic Disease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2.30 (2.13-2.48)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 (2.50-2.68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Neurologic Disease</w:t>
            </w:r>
          </w:p>
        </w:tc>
        <w:tc>
          <w:tcPr>
            <w:tcW w:w="1800" w:type="dxa"/>
            <w:noWrap/>
          </w:tcPr>
          <w:p w:rsidR="003732B4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 (0.98-1.09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800" w:type="dxa"/>
          </w:tcPr>
          <w:p w:rsidR="003732B4" w:rsidRPr="002E6BFB" w:rsidRDefault="000260E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1.14 </w:t>
            </w:r>
            <w:r w:rsidR="006A362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(1.10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-1.17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Obesity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 (0.73-0.84)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0260E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 (0.75-0.82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Paralysis</w:t>
            </w:r>
          </w:p>
        </w:tc>
        <w:tc>
          <w:tcPr>
            <w:tcW w:w="1800" w:type="dxa"/>
            <w:noWrap/>
          </w:tcPr>
          <w:p w:rsidR="003732B4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0.85 (0.78-0.92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0.90 (0.86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-0.94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Peripheral Vascular Disease</w:t>
            </w:r>
          </w:p>
        </w:tc>
        <w:tc>
          <w:tcPr>
            <w:tcW w:w="1800" w:type="dxa"/>
            <w:noWrap/>
          </w:tcPr>
          <w:p w:rsidR="003732B4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 (1.12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-1.28)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0.98 (0.94-1.01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0.221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Psychiatric Disease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0.76 (0.69-0.84)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0.65 (0.61-0.69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Pulmonary Circulatory Disease</w:t>
            </w:r>
          </w:p>
        </w:tc>
        <w:tc>
          <w:tcPr>
            <w:tcW w:w="1800" w:type="dxa"/>
            <w:noWrap/>
          </w:tcPr>
          <w:p w:rsidR="003732B4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1.31 (1.22-1.41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 (1.13-1.22)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Renal Failure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 (1.14-1.27)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1.14 (1.11-1.18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Solid Tumor</w:t>
            </w:r>
          </w:p>
        </w:tc>
        <w:tc>
          <w:tcPr>
            <w:tcW w:w="180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1.33 (1.21-1.47)</w:t>
            </w:r>
          </w:p>
        </w:tc>
        <w:tc>
          <w:tcPr>
            <w:tcW w:w="990" w:type="dxa"/>
            <w:noWrap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3732B4" w:rsidRPr="002E6BFB" w:rsidRDefault="000260E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1.41 (1.34-1.48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Peptic Ulcer Disease</w:t>
            </w:r>
          </w:p>
        </w:tc>
        <w:tc>
          <w:tcPr>
            <w:tcW w:w="1800" w:type="dxa"/>
            <w:noWrap/>
          </w:tcPr>
          <w:p w:rsidR="003732B4" w:rsidRPr="002E6BFB" w:rsidRDefault="003732B4" w:rsidP="005C78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0.68 (0.26-1.7</w:t>
            </w:r>
            <w:r w:rsidR="005C78A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0.55 (0.32-0.94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0.029</w:t>
            </w:r>
          </w:p>
        </w:tc>
      </w:tr>
      <w:tr w:rsidR="003732B4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Valvular Disease</w:t>
            </w:r>
          </w:p>
        </w:tc>
        <w:tc>
          <w:tcPr>
            <w:tcW w:w="1800" w:type="dxa"/>
            <w:noWrap/>
          </w:tcPr>
          <w:p w:rsidR="003732B4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(0.94-1.08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0.81 (0.76-0.81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3732B4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3732B4" w:rsidRPr="002E6BFB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Weight Loss</w:t>
            </w:r>
          </w:p>
        </w:tc>
        <w:tc>
          <w:tcPr>
            <w:tcW w:w="1800" w:type="dxa"/>
            <w:noWrap/>
          </w:tcPr>
          <w:p w:rsidR="003732B4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 (0.96-1.08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3732B4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800" w:type="dxa"/>
          </w:tcPr>
          <w:p w:rsidR="003732B4" w:rsidRPr="002E6BFB" w:rsidRDefault="006A3623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0.79 (0.76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-0.81</w:t>
            </w:r>
            <w:r w:rsidR="003732B4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732B4" w:rsidRPr="002E6BFB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4" w:space="0" w:color="auto"/>
            </w:tcBorders>
            <w:noWrap/>
          </w:tcPr>
          <w:p w:rsidR="005461A2" w:rsidRPr="00CF43DE" w:rsidRDefault="005461A2" w:rsidP="00967FA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CF43D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Parameter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</w:tcPr>
          <w:p w:rsidR="005461A2" w:rsidRPr="003732B4" w:rsidRDefault="004561E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Odds Ratio for HO vs CO-</w:t>
            </w:r>
            <w:r w:rsidR="005461A2"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Sepsis</w:t>
            </w:r>
          </w:p>
          <w:p w:rsidR="005461A2" w:rsidRPr="003732B4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5461A2" w:rsidRPr="003732B4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461A2" w:rsidRPr="003732B4" w:rsidRDefault="004561E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Hazard Ratio for HO-S</w:t>
            </w:r>
            <w:r w:rsidR="005461A2"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epsis vs No Sepsis</w:t>
            </w:r>
          </w:p>
          <w:p w:rsidR="005461A2" w:rsidRPr="003732B4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461A2" w:rsidRPr="003732B4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3732B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bottom w:val="single" w:sz="4" w:space="0" w:color="auto"/>
            </w:tcBorders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Leukemia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1.76 (1.52-2.02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1.86 (1.71-2.02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single" w:sz="4" w:space="0" w:color="auto"/>
              <w:bottom w:val="nil"/>
            </w:tcBorders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Solid Organ Transplant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0.90 (0.76-1.06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0.86 (0.78-0.96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0.005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  <w:bottom w:val="nil"/>
            </w:tcBorders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Stem Cell Transplant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1.40 (0.99-1.99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0.83 (0.66-1.05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nil"/>
              <w:bottom w:val="nil"/>
            </w:tcBorders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0.114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</w:tcBorders>
            <w:noWrap/>
          </w:tcPr>
          <w:p w:rsidR="005461A2" w:rsidRPr="004060B0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4060B0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Admission from Healthcare Facility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1.17 (1.10-1.23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</w:tcBorders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  <w:tcBorders>
              <w:top w:val="nil"/>
            </w:tcBorders>
          </w:tcPr>
          <w:p w:rsidR="005461A2" w:rsidRPr="002E6BFB" w:rsidRDefault="000260E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1.16 (1.13-1.20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nil"/>
            </w:tcBorders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tcBorders>
              <w:top w:val="nil"/>
            </w:tcBorders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Infectious Diagnosis</w:t>
            </w: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tcBorders>
              <w:top w:val="nil"/>
            </w:tcBorders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Central Nervous System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1.28 (0.92-1.76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Intra-abdominal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(0.90-1.12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Obstetric-Gynecologic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  <w:r w:rsidR="005C78A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.76 (0.51-1.14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Pneumonia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1.44 (1.29-1.60)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Septicemia/Bacteremia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1.96 (1.77-2.22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Skin/Soft Tissue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0.85 (0.76-0.96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None of the above / Unknown</w:t>
            </w:r>
          </w:p>
        </w:tc>
        <w:tc>
          <w:tcPr>
            <w:tcW w:w="1800" w:type="dxa"/>
            <w:noWrap/>
          </w:tcPr>
          <w:p w:rsidR="005461A2" w:rsidRPr="003D2746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1.45 (1.30-1.63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3D2746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966C60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3D2746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2 or more infections</w:t>
            </w:r>
          </w:p>
        </w:tc>
        <w:tc>
          <w:tcPr>
            <w:tcW w:w="1800" w:type="dxa"/>
            <w:noWrap/>
          </w:tcPr>
          <w:p w:rsidR="005461A2" w:rsidRPr="003D2746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0.91 (0.80-1.03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3D2746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800" w:type="dxa"/>
          </w:tcPr>
          <w:p w:rsidR="005461A2" w:rsidRPr="00966C60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18" w:type="dxa"/>
          </w:tcPr>
          <w:p w:rsidR="005461A2" w:rsidRPr="003D2746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Positive Blood Cultures</w:t>
            </w:r>
          </w:p>
        </w:tc>
        <w:tc>
          <w:tcPr>
            <w:tcW w:w="1800" w:type="dxa"/>
            <w:noWrap/>
          </w:tcPr>
          <w:p w:rsidR="005461A2" w:rsidRPr="002E6BFB" w:rsidRDefault="005461A2" w:rsidP="005C78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</w:t>
            </w:r>
            <w:r w:rsidR="005C78A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 (0.98-1.09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Suspected Infection on Admission</w:t>
            </w: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0" w:type="dxa"/>
            <w:noWrap/>
          </w:tcPr>
          <w:p w:rsidR="005461A2" w:rsidRPr="00E82E49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noWrap/>
          </w:tcPr>
          <w:p w:rsidR="005461A2" w:rsidRPr="00E82E49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461A2" w:rsidRPr="00E82E49" w:rsidRDefault="000260E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0.99 (0.97-1.02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E82E49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0.664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3D2746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Severity of Illness</w:t>
            </w:r>
            <w:r w:rsidRPr="003D2746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Temperature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0.93 (0.92-0.95)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0.89 (0.89</w:t>
            </w:r>
            <w:r w:rsidR="000260E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-0.90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Systolic Blood Pressure (Minimum)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0.99 (0.99-1.00)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Respiratory Rate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(1.00-1.01)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(1.01-1.01)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Glasgow Coma Scale (Minimum)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0.95 (0.94-0.96)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356C0F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0.89 (0.89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-0.89)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Mechanical Ventilation (yes/no)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2.32 (2.21-2.44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1.84 (1.77-1.91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ICU Admission (yes/no)</w:t>
            </w:r>
          </w:p>
        </w:tc>
        <w:tc>
          <w:tcPr>
            <w:tcW w:w="1800" w:type="dxa"/>
            <w:noWrap/>
          </w:tcPr>
          <w:p w:rsidR="005461A2" w:rsidRPr="002E6BFB" w:rsidRDefault="005C78A0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1.09 (1.05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-1.14)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 (1.10-1.17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Number of Vasopressors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1.49 (1.45-1.53)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1.13 (1.12-1.15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Albumin (Minimum)         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</w:t>
            </w:r>
            <w:r w:rsidR="005C78A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 (0.65-0.70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0.66 (0.64-0.67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Hematocrit (Minimum)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90" w:type="dxa"/>
            <w:noWrap/>
          </w:tcPr>
          <w:p w:rsidR="005461A2" w:rsidRPr="002E6BFB" w:rsidRDefault="005C78A0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 (1.02-1.02)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Platelets (Minimum)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18" w:type="dxa"/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0.416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Sodium (Minimum)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(1.00-1.01)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(1.01-1.01)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Anion Gap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 (1.03-1.04)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 (1.06-1.06</w:t>
            </w:r>
            <w:r w:rsidR="005461A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Aspartate Aminotransferase</w:t>
            </w: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90" w:type="dxa"/>
            <w:noWrap/>
          </w:tcPr>
          <w:p w:rsidR="005461A2" w:rsidRPr="002E6BFB" w:rsidRDefault="0017577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800" w:type="dxa"/>
          </w:tcPr>
          <w:p w:rsidR="005461A2" w:rsidRPr="001B1BD5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(1.00-1.00)</w:t>
            </w:r>
          </w:p>
        </w:tc>
        <w:tc>
          <w:tcPr>
            <w:tcW w:w="918" w:type="dxa"/>
          </w:tcPr>
          <w:p w:rsidR="005461A2" w:rsidRPr="001B1BD5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Total Bilirubin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1.06 (1.05-1.06)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1B1BD5" w:rsidRDefault="00356C0F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</w:t>
            </w:r>
            <w:r w:rsidR="005461A2"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(1.04-1.05)</w:t>
            </w:r>
          </w:p>
        </w:tc>
        <w:tc>
          <w:tcPr>
            <w:tcW w:w="918" w:type="dxa"/>
          </w:tcPr>
          <w:p w:rsidR="005461A2" w:rsidRPr="001B1BD5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Creatinine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1.01 (1.00-1.02)</w:t>
            </w:r>
          </w:p>
        </w:tc>
        <w:tc>
          <w:tcPr>
            <w:tcW w:w="990" w:type="dxa"/>
            <w:noWrap/>
          </w:tcPr>
          <w:p w:rsidR="005461A2" w:rsidRPr="002E6BFB" w:rsidRDefault="0017577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800" w:type="dxa"/>
          </w:tcPr>
          <w:p w:rsidR="005461A2" w:rsidRPr="001B1BD5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 (1.03</w:t>
            </w:r>
            <w:r w:rsidR="005461A2"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-1.04)</w:t>
            </w:r>
          </w:p>
        </w:tc>
        <w:tc>
          <w:tcPr>
            <w:tcW w:w="918" w:type="dxa"/>
          </w:tcPr>
          <w:p w:rsidR="005461A2" w:rsidRPr="001B1BD5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International Normalized Ratio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 (1.01-1.04)</w:t>
            </w:r>
          </w:p>
        </w:tc>
        <w:tc>
          <w:tcPr>
            <w:tcW w:w="990" w:type="dxa"/>
            <w:noWrap/>
          </w:tcPr>
          <w:p w:rsidR="005461A2" w:rsidRPr="002E6BFB" w:rsidRDefault="00067A7D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800" w:type="dxa"/>
          </w:tcPr>
          <w:p w:rsidR="005461A2" w:rsidRPr="001B1BD5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 (1.04-1.05</w:t>
            </w:r>
            <w:r w:rsidR="005461A2"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1B1BD5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03B95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03B95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Lactate (Maximum)</w:t>
            </w:r>
          </w:p>
        </w:tc>
        <w:tc>
          <w:tcPr>
            <w:tcW w:w="1800" w:type="dxa"/>
            <w:noWrap/>
          </w:tcPr>
          <w:p w:rsidR="005461A2" w:rsidRPr="00203B95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1.10 (1.09-1.11)</w:t>
            </w:r>
          </w:p>
        </w:tc>
        <w:tc>
          <w:tcPr>
            <w:tcW w:w="990" w:type="dxa"/>
            <w:noWrap/>
          </w:tcPr>
          <w:p w:rsidR="005461A2" w:rsidRPr="00203B95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1B1BD5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1.05 (1.04</w:t>
            </w:r>
            <w:r w:rsidR="005461A2"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-1.04)</w:t>
            </w:r>
          </w:p>
        </w:tc>
        <w:tc>
          <w:tcPr>
            <w:tcW w:w="918" w:type="dxa"/>
          </w:tcPr>
          <w:p w:rsidR="005461A2" w:rsidRPr="001B1BD5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White Blood Cell Count</w:t>
            </w: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(Maximum)</w:t>
            </w:r>
          </w:p>
        </w:tc>
        <w:tc>
          <w:tcPr>
            <w:tcW w:w="180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 (1.00-1.01)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1B1BD5" w:rsidRDefault="00E2272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</w:t>
            </w:r>
            <w:r w:rsidR="005461A2"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(1.00-1.01)</w:t>
            </w:r>
          </w:p>
        </w:tc>
        <w:tc>
          <w:tcPr>
            <w:tcW w:w="918" w:type="dxa"/>
          </w:tcPr>
          <w:p w:rsidR="005461A2" w:rsidRPr="001B1BD5" w:rsidRDefault="005461A2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1B1BD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5461A2" w:rsidRPr="002E6BFB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:rsidR="005461A2" w:rsidRPr="002E6BFB" w:rsidRDefault="005461A2" w:rsidP="00967FA6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E6BF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Hospital-Onset Sepsis</w:t>
            </w:r>
          </w:p>
        </w:tc>
        <w:tc>
          <w:tcPr>
            <w:tcW w:w="1800" w:type="dxa"/>
            <w:noWrap/>
          </w:tcPr>
          <w:p w:rsidR="005461A2" w:rsidRPr="002E6BFB" w:rsidRDefault="00067A7D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2.09 (1.98-2.21</w:t>
            </w:r>
            <w:r w:rsidR="005461A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noWrap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800" w:type="dxa"/>
          </w:tcPr>
          <w:p w:rsidR="005461A2" w:rsidRPr="002E6BFB" w:rsidRDefault="00E2272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3.04 (2.92-3.17</w:t>
            </w:r>
            <w:r w:rsidR="005461A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461A2" w:rsidRPr="002E6BFB" w:rsidRDefault="005461A2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</w:tr>
    </w:tbl>
    <w:p w:rsidR="00CE3FF6" w:rsidRDefault="00CE3FF6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664DC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2746">
        <w:rPr>
          <w:rFonts w:asciiTheme="majorHAnsi" w:hAnsiTheme="majorHAnsi"/>
          <w:sz w:val="20"/>
          <w:szCs w:val="20"/>
        </w:rPr>
        <w:t>Note</w:t>
      </w:r>
      <w:r w:rsidR="001664DC">
        <w:rPr>
          <w:rFonts w:asciiTheme="majorHAnsi" w:hAnsiTheme="majorHAnsi"/>
          <w:sz w:val="20"/>
          <w:szCs w:val="20"/>
        </w:rPr>
        <w:t>s</w:t>
      </w:r>
      <w:r w:rsidRPr="003D2746">
        <w:rPr>
          <w:rFonts w:asciiTheme="majorHAnsi" w:hAnsiTheme="majorHAnsi"/>
          <w:sz w:val="20"/>
          <w:szCs w:val="20"/>
        </w:rPr>
        <w:t xml:space="preserve">: </w:t>
      </w:r>
    </w:p>
    <w:p w:rsidR="001664DC" w:rsidRDefault="001664DC" w:rsidP="003732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1664DC">
        <w:rPr>
          <w:rFonts w:asciiTheme="majorHAnsi" w:hAnsiTheme="majorHAnsi"/>
          <w:sz w:val="20"/>
          <w:szCs w:val="20"/>
        </w:rPr>
        <w:t xml:space="preserve">The two sets of columns show the results of the two different models: 1) logistic regression model estimating the adjusted odds of mortality in hospital-onset vs community-onset sepsis, and 2) Cox regression model estimating the adjusted hazard of mortality for patients initially admitted without sepsis who subsequently develop hospital-onset sepsis.  For each covariate, the adjusted odds ratio or hazard ratio for mortality (specific to each model) is presented. </w:t>
      </w:r>
    </w:p>
    <w:p w:rsidR="003732B4" w:rsidRDefault="001664DC" w:rsidP="003732B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Ad</w:t>
      </w:r>
      <w:r w:rsidR="003732B4" w:rsidRPr="001664DC">
        <w:rPr>
          <w:rFonts w:asciiTheme="majorHAnsi" w:hAnsiTheme="majorHAnsi"/>
          <w:sz w:val="20"/>
          <w:szCs w:val="20"/>
        </w:rPr>
        <w:t>mission year and hospital characteristics (region, bed size, and teaching status) were included in the model but are not shown above.</w:t>
      </w:r>
    </w:p>
    <w:p w:rsidR="001E605E" w:rsidRPr="001664DC" w:rsidRDefault="001E605E" w:rsidP="001E605E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2746">
        <w:rPr>
          <w:rFonts w:asciiTheme="majorHAnsi" w:hAnsiTheme="majorHAnsi"/>
          <w:sz w:val="20"/>
          <w:szCs w:val="20"/>
          <w:vertAlign w:val="superscript"/>
        </w:rPr>
        <w:t>a</w:t>
      </w:r>
      <w:r w:rsidRPr="003D2746">
        <w:rPr>
          <w:rFonts w:asciiTheme="majorHAnsi" w:hAnsiTheme="majorHAnsi"/>
          <w:sz w:val="20"/>
          <w:szCs w:val="20"/>
        </w:rPr>
        <w:t xml:space="preserve"> Infectious diagnoses were only included in the logistic regression model comparing hospital-onset vs community-onset sepsis. </w:t>
      </w:r>
      <w:r>
        <w:rPr>
          <w:rFonts w:asciiTheme="majorHAnsi" w:hAnsiTheme="majorHAnsi"/>
          <w:sz w:val="20"/>
          <w:szCs w:val="20"/>
        </w:rPr>
        <w:t xml:space="preserve"> </w:t>
      </w:r>
      <w:r w:rsidRPr="003D2746">
        <w:rPr>
          <w:rFonts w:asciiTheme="majorHAnsi" w:hAnsiTheme="majorHAnsi"/>
          <w:sz w:val="20"/>
          <w:szCs w:val="20"/>
        </w:rPr>
        <w:t>Suspected infection on admission (clin</w:t>
      </w:r>
      <w:r>
        <w:rPr>
          <w:rFonts w:asciiTheme="majorHAnsi" w:hAnsiTheme="majorHAnsi"/>
          <w:sz w:val="20"/>
          <w:szCs w:val="20"/>
        </w:rPr>
        <w:t>ical cultures + antibiotics) was</w:t>
      </w:r>
      <w:r w:rsidRPr="003D2746">
        <w:rPr>
          <w:rFonts w:asciiTheme="majorHAnsi" w:hAnsiTheme="majorHAnsi"/>
          <w:sz w:val="20"/>
          <w:szCs w:val="20"/>
        </w:rPr>
        <w:t xml:space="preserve"> only included in the Cox regression model examining the risk of death associated with developing hospital-onset sepsis in patients admitted without sepsis. </w:t>
      </w:r>
    </w:p>
    <w:p w:rsidR="00587813" w:rsidRPr="003D2746" w:rsidRDefault="00587813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32B4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D2746">
        <w:rPr>
          <w:rFonts w:asciiTheme="majorHAnsi" w:eastAsia="Times New Roman" w:hAnsiTheme="majorHAnsi" w:cs="Times New Roman"/>
          <w:color w:val="000000"/>
          <w:sz w:val="20"/>
          <w:szCs w:val="20"/>
          <w:vertAlign w:val="superscript"/>
        </w:rPr>
        <w:t>b</w:t>
      </w:r>
      <w:r w:rsidRPr="003D2746">
        <w:rPr>
          <w:rFonts w:asciiTheme="majorHAnsi" w:hAnsiTheme="majorHAnsi"/>
          <w:sz w:val="20"/>
          <w:szCs w:val="20"/>
        </w:rPr>
        <w:t xml:space="preserve"> Severity of illness parameters were taken as the worst values within +/-1 day of sepsis onset for the comparison of hospital-onset vs community-onset sepsis, and within +/- 1 day of admission for the comparison of hosp</w:t>
      </w:r>
      <w:r>
        <w:rPr>
          <w:rFonts w:asciiTheme="majorHAnsi" w:hAnsiTheme="majorHAnsi"/>
          <w:sz w:val="20"/>
          <w:szCs w:val="20"/>
        </w:rPr>
        <w:t xml:space="preserve">ital-onset sepsis vs no sepsis.  </w:t>
      </w: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664DC" w:rsidRDefault="001664DC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732B4" w:rsidRPr="00235EF9" w:rsidRDefault="00452050" w:rsidP="003732B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Supplemental Table 4</w:t>
      </w:r>
      <w:r w:rsidR="003732B4" w:rsidRPr="00235EF9">
        <w:rPr>
          <w:rFonts w:asciiTheme="majorHAnsi" w:hAnsiTheme="majorHAnsi"/>
          <w:b/>
          <w:sz w:val="24"/>
          <w:szCs w:val="24"/>
        </w:rPr>
        <w:t xml:space="preserve">. </w:t>
      </w:r>
      <w:r w:rsidR="003732B4">
        <w:rPr>
          <w:rFonts w:asciiTheme="majorHAnsi" w:hAnsiTheme="majorHAnsi"/>
          <w:b/>
          <w:sz w:val="24"/>
          <w:szCs w:val="24"/>
        </w:rPr>
        <w:t>Quantity of Missing D</w:t>
      </w:r>
      <w:r w:rsidR="003732B4" w:rsidRPr="00235EF9">
        <w:rPr>
          <w:rFonts w:asciiTheme="majorHAnsi" w:hAnsiTheme="majorHAnsi"/>
          <w:b/>
          <w:sz w:val="24"/>
          <w:szCs w:val="24"/>
        </w:rPr>
        <w:t>ata</w:t>
      </w:r>
      <w:r w:rsidR="003732B4">
        <w:rPr>
          <w:rFonts w:asciiTheme="majorHAnsi" w:hAnsiTheme="majorHAnsi"/>
          <w:b/>
          <w:sz w:val="24"/>
          <w:szCs w:val="24"/>
        </w:rPr>
        <w:t xml:space="preserve"> for Physiologic Parameters for Logistic Regression and Cox Regression Models</w:t>
      </w:r>
    </w:p>
    <w:p w:rsidR="003732B4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LightShading"/>
        <w:tblW w:w="8748" w:type="dxa"/>
        <w:tblLook w:val="04A0" w:firstRow="1" w:lastRow="0" w:firstColumn="1" w:lastColumn="0" w:noHBand="0" w:noVBand="1"/>
      </w:tblPr>
      <w:tblGrid>
        <w:gridCol w:w="2178"/>
        <w:gridCol w:w="1710"/>
        <w:gridCol w:w="1620"/>
        <w:gridCol w:w="1620"/>
        <w:gridCol w:w="1620"/>
      </w:tblGrid>
      <w:tr w:rsidR="003732B4" w:rsidRPr="00185910" w:rsidTr="00967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185910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Parameter</w:t>
            </w:r>
            <w:r w:rsidRPr="00CA58BF">
              <w:rPr>
                <w:rFonts w:asciiTheme="majorHAnsi" w:hAnsi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30" w:type="dxa"/>
            <w:gridSpan w:val="2"/>
          </w:tcPr>
          <w:p w:rsidR="003732B4" w:rsidRPr="00185910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85910">
              <w:rPr>
                <w:rFonts w:asciiTheme="majorHAnsi" w:hAnsiTheme="majorHAnsi"/>
                <w:sz w:val="20"/>
                <w:szCs w:val="20"/>
              </w:rPr>
              <w:t>Admit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ted without Sepsis (Cox Regression Model) </w:t>
            </w:r>
          </w:p>
        </w:tc>
        <w:tc>
          <w:tcPr>
            <w:tcW w:w="3240" w:type="dxa"/>
            <w:gridSpan w:val="2"/>
          </w:tcPr>
          <w:p w:rsidR="003732B4" w:rsidRPr="00185910" w:rsidRDefault="003732B4" w:rsidP="00967F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Community or Hospital-Onset </w:t>
            </w:r>
            <w:r w:rsidRPr="00185910">
              <w:rPr>
                <w:rFonts w:asciiTheme="majorHAnsi" w:hAnsiTheme="majorHAnsi"/>
                <w:sz w:val="20"/>
                <w:szCs w:val="20"/>
              </w:rPr>
              <w:t>Sepsis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(Logistic Regression Model)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185910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3732B4" w:rsidRPr="000D6541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D6541">
              <w:rPr>
                <w:rFonts w:asciiTheme="majorHAnsi" w:hAnsiTheme="majorHAnsi"/>
                <w:b/>
                <w:sz w:val="20"/>
                <w:szCs w:val="20"/>
              </w:rPr>
              <w:t>2009-2015</w:t>
            </w:r>
          </w:p>
          <w:p w:rsidR="003732B4" w:rsidRPr="000D6541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(n=2,132,</w:t>
            </w:r>
            <w:r w:rsidR="003732B4" w:rsidRPr="000D6541">
              <w:rPr>
                <w:rFonts w:asciiTheme="majorHAnsi" w:hAnsiTheme="majorHAnsi"/>
                <w:b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3732B4" w:rsidRPr="000D654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732B4" w:rsidRPr="000D6541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2013-2015 (n=892,449</w:t>
            </w:r>
            <w:r w:rsidR="003732B4" w:rsidRPr="000D654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732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0D6541">
              <w:rPr>
                <w:rFonts w:asciiTheme="majorHAnsi" w:hAnsiTheme="majorHAnsi"/>
                <w:b/>
                <w:sz w:val="20"/>
                <w:szCs w:val="20"/>
              </w:rPr>
              <w:t>2009-2015</w:t>
            </w:r>
          </w:p>
          <w:p w:rsidR="003732B4" w:rsidRPr="000D6541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(n=95,154</w:t>
            </w:r>
            <w:r w:rsidR="003732B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732B4" w:rsidRPr="000D6541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2013-2015 (n=35,568</w:t>
            </w:r>
            <w:r w:rsidR="003732B4" w:rsidRPr="000D6541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CA58BF">
              <w:rPr>
                <w:rFonts w:asciiTheme="majorHAnsi" w:hAnsiTheme="majorHAnsi"/>
                <w:sz w:val="20"/>
                <w:szCs w:val="20"/>
              </w:rPr>
              <w:t>Laboratory Data</w:t>
            </w:r>
          </w:p>
        </w:tc>
        <w:tc>
          <w:tcPr>
            <w:tcW w:w="1710" w:type="dxa"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Creatinine</w:t>
            </w:r>
          </w:p>
        </w:tc>
        <w:tc>
          <w:tcPr>
            <w:tcW w:w="1710" w:type="dxa"/>
          </w:tcPr>
          <w:p w:rsidR="003732B4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371565</w:t>
            </w:r>
          </w:p>
          <w:p w:rsidR="003732B4" w:rsidRDefault="003732B4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(17.4%)</w:t>
            </w:r>
          </w:p>
        </w:tc>
        <w:tc>
          <w:tcPr>
            <w:tcW w:w="1620" w:type="dxa"/>
          </w:tcPr>
          <w:p w:rsidR="003732B4" w:rsidRPr="00185910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154,616 (17.3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1,180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Default="003732B4" w:rsidP="0051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</w:t>
            </w:r>
            <w:r w:rsidR="00517F5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388</w:t>
            </w:r>
          </w:p>
          <w:p w:rsidR="003732B4" w:rsidRPr="00185910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Platelets</w:t>
            </w:r>
          </w:p>
        </w:tc>
        <w:tc>
          <w:tcPr>
            <w:tcW w:w="1710" w:type="dxa"/>
          </w:tcPr>
          <w:p w:rsidR="003732B4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209,244</w:t>
            </w:r>
          </w:p>
          <w:p w:rsidR="003732B4" w:rsidRPr="00185910" w:rsidRDefault="00055EBE" w:rsidP="00055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(9.8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055EBE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80,942</w:t>
            </w:r>
          </w:p>
          <w:p w:rsidR="003732B4" w:rsidRPr="00185910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(9.1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2,263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(2.4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376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Total Bilirubin</w:t>
            </w:r>
          </w:p>
        </w:tc>
        <w:tc>
          <w:tcPr>
            <w:tcW w:w="1710" w:type="dxa"/>
          </w:tcPr>
          <w:p w:rsidR="003732B4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943,918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(44.3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398,355 (44.6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14,470</w:t>
            </w:r>
          </w:p>
          <w:p w:rsidR="003732B4" w:rsidRPr="00185910" w:rsidRDefault="003732B4" w:rsidP="00517F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(15.</w:t>
            </w:r>
            <w:r w:rsidR="00517F5B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4,777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(14.0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 xml:space="preserve">White Blood Cell </w:t>
            </w:r>
          </w:p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Count</w:t>
            </w:r>
          </w:p>
        </w:tc>
        <w:tc>
          <w:tcPr>
            <w:tcW w:w="1710" w:type="dxa"/>
          </w:tcPr>
          <w:p w:rsidR="003732B4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206,224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(9.7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055EBE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90,943</w:t>
            </w:r>
          </w:p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85910">
              <w:rPr>
                <w:rFonts w:asciiTheme="majorHAnsi" w:hAnsiTheme="majorHAnsi"/>
                <w:sz w:val="20"/>
                <w:szCs w:val="20"/>
              </w:rPr>
              <w:t>(10.9%)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7,582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(8.0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85910">
              <w:rPr>
                <w:rFonts w:asciiTheme="majorHAnsi" w:hAnsiTheme="majorHAnsi"/>
                <w:sz w:val="20"/>
                <w:szCs w:val="20"/>
              </w:rPr>
              <w:t>2,</w:t>
            </w:r>
            <w:r w:rsidR="00517F5B">
              <w:rPr>
                <w:rFonts w:asciiTheme="majorHAnsi" w:hAnsiTheme="majorHAnsi"/>
                <w:sz w:val="20"/>
                <w:szCs w:val="20"/>
              </w:rPr>
              <w:t>397</w:t>
            </w:r>
            <w:r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(6.7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Lactate</w:t>
            </w:r>
          </w:p>
        </w:tc>
        <w:tc>
          <w:tcPr>
            <w:tcW w:w="1710" w:type="dxa"/>
          </w:tcPr>
          <w:p w:rsidR="003732B4" w:rsidRDefault="00055EBE" w:rsidP="00055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1,945,895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(91.3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055EB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785,641 (88.0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44,027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(46.3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12,849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(36.1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Aspartate </w:t>
            </w: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</w:t>
            </w:r>
          </w:p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  <w:t>Aminotransferase</w:t>
            </w:r>
          </w:p>
        </w:tc>
        <w:tc>
          <w:tcPr>
            <w:tcW w:w="1710" w:type="dxa"/>
          </w:tcPr>
          <w:p w:rsidR="00055EBE" w:rsidRDefault="00055EBE" w:rsidP="00055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954,282</w:t>
            </w:r>
          </w:p>
          <w:p w:rsidR="003732B4" w:rsidRPr="00185910" w:rsidRDefault="00055EBE" w:rsidP="00055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(44.8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055EBE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383,024</w:t>
            </w:r>
          </w:p>
          <w:p w:rsidR="003732B4" w:rsidRPr="00185910" w:rsidRDefault="00055EB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(42.9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31,195</w:t>
            </w:r>
          </w:p>
          <w:p w:rsidR="003732B4" w:rsidRPr="00185910" w:rsidRDefault="003732B4" w:rsidP="00517F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(32.</w:t>
            </w:r>
            <w:r w:rsidR="00517F5B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9,636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(27.1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Hematocrit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172,540</w:t>
            </w:r>
          </w:p>
          <w:p w:rsidR="003732B4" w:rsidRPr="00185910" w:rsidRDefault="003732B4" w:rsidP="0026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(8.</w:t>
            </w:r>
            <w:r w:rsidR="002621C1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80,942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(9.1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7,114</w:t>
            </w:r>
          </w:p>
          <w:p w:rsidR="003732B4" w:rsidRPr="00185910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(7.5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2,257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(6.3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Sodium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388,932</w:t>
            </w:r>
          </w:p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(18.2%)</w:t>
            </w:r>
          </w:p>
        </w:tc>
        <w:tc>
          <w:tcPr>
            <w:tcW w:w="1620" w:type="dxa"/>
          </w:tcPr>
          <w:p w:rsidR="003732B4" w:rsidRPr="00185910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167,576 (18.8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6,422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(6.7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2,232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17F5B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(6.3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Anion Gap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390,474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3732B4" w:rsidP="0026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(18.</w:t>
            </w:r>
            <w:r w:rsidR="002621C1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2621C1" w:rsidP="0026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166,644 (18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6,777</w:t>
            </w:r>
          </w:p>
          <w:p w:rsidR="003732B4" w:rsidRPr="00185910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(7.1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2,360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(6.6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Albumin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933,395</w:t>
            </w:r>
          </w:p>
          <w:p w:rsidR="003732B4" w:rsidRPr="00185910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(43.8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397,820 (44.6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28,772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66F65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(30.2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9,765</w:t>
            </w:r>
          </w:p>
          <w:p w:rsidR="003732B4" w:rsidRPr="00185910" w:rsidRDefault="00566F65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(27.5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 xml:space="preserve">International </w:t>
            </w:r>
          </w:p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Normalized Ratio</w:t>
            </w:r>
          </w:p>
        </w:tc>
        <w:tc>
          <w:tcPr>
            <w:tcW w:w="1710" w:type="dxa"/>
          </w:tcPr>
          <w:p w:rsidR="003732B4" w:rsidRPr="00185910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1,163,756 (54.6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494,159 (55.4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44,784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66F65" w:rsidP="00566F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(45.0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14,772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566F65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(41.5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sz w:val="20"/>
                <w:szCs w:val="20"/>
              </w:rPr>
            </w:pPr>
            <w:r w:rsidRPr="00CA58BF">
              <w:rPr>
                <w:rFonts w:asciiTheme="majorHAnsi" w:hAnsiTheme="majorHAnsi"/>
                <w:sz w:val="20"/>
                <w:szCs w:val="20"/>
              </w:rPr>
              <w:t>Vital Signs / Mental Status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10" w:type="dxa"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3732B4" w:rsidRPr="00185910" w:rsidRDefault="003732B4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 xml:space="preserve">Systolic Blood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Pressure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779,128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(36.5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79,600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3732B4" w:rsidP="0026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85910">
              <w:rPr>
                <w:rFonts w:asciiTheme="majorHAnsi" w:hAnsiTheme="majorHAnsi"/>
                <w:sz w:val="20"/>
                <w:szCs w:val="20"/>
              </w:rPr>
              <w:t>(8.</w:t>
            </w:r>
            <w:r w:rsidR="002621C1">
              <w:rPr>
                <w:rFonts w:asciiTheme="majorHAnsi" w:hAnsiTheme="majorHAnsi"/>
                <w:sz w:val="20"/>
                <w:szCs w:val="20"/>
              </w:rPr>
              <w:t>9</w:t>
            </w:r>
            <w:r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40,362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115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(42.4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2,156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Respiratory Rate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805,131</w:t>
            </w:r>
          </w:p>
          <w:p w:rsidR="003732B4" w:rsidRPr="00185910" w:rsidRDefault="003732B4" w:rsidP="0026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(37.</w:t>
            </w:r>
            <w:r w:rsidR="002621C1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2621C1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100,110 (11.2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40,663</w:t>
            </w:r>
            <w:r w:rsidR="003732B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(42.7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2,379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(6.7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Temperature</w:t>
            </w:r>
          </w:p>
        </w:tc>
        <w:tc>
          <w:tcPr>
            <w:tcW w:w="1710" w:type="dxa"/>
          </w:tcPr>
          <w:p w:rsidR="003732B4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870,991</w:t>
            </w:r>
          </w:p>
          <w:p w:rsidR="003732B4" w:rsidRDefault="003732B4" w:rsidP="002621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(40.</w:t>
            </w:r>
            <w:r w:rsidR="002621C1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2621C1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138,766 (15.5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44,473</w:t>
            </w:r>
          </w:p>
          <w:p w:rsidR="003732B4" w:rsidRDefault="003732B4" w:rsidP="00115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(46.</w:t>
            </w:r>
            <w:r w:rsidR="0011574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4,748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967F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(13.3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  <w:tr w:rsidR="003732B4" w:rsidRPr="00185910" w:rsidTr="00967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3732B4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 xml:space="preserve">Glasgow Coma </w:t>
            </w:r>
          </w:p>
          <w:p w:rsidR="003732B4" w:rsidRPr="00CA58BF" w:rsidRDefault="003732B4" w:rsidP="00967FA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   </w:t>
            </w:r>
            <w:r w:rsidRPr="00CA58BF">
              <w:rPr>
                <w:rFonts w:asciiTheme="majorHAnsi" w:hAnsiTheme="majorHAnsi"/>
                <w:b w:val="0"/>
                <w:sz w:val="20"/>
                <w:szCs w:val="20"/>
              </w:rPr>
              <w:t>Scale</w:t>
            </w:r>
          </w:p>
        </w:tc>
        <w:tc>
          <w:tcPr>
            <w:tcW w:w="1710" w:type="dxa"/>
          </w:tcPr>
          <w:p w:rsidR="003732B4" w:rsidRPr="00185910" w:rsidRDefault="003732B4" w:rsidP="0026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</w:t>
            </w:r>
            <w:r w:rsidR="002621C1">
              <w:rPr>
                <w:rFonts w:asciiTheme="majorHAnsi" w:hAnsiTheme="majorHAnsi"/>
                <w:sz w:val="20"/>
                <w:szCs w:val="20"/>
              </w:rPr>
              <w:t>208,820 (56.7</w:t>
            </w:r>
            <w:r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Pr="00185910" w:rsidRDefault="003732B4" w:rsidP="00262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85910">
              <w:rPr>
                <w:rFonts w:asciiTheme="majorHAnsi" w:hAnsiTheme="majorHAnsi"/>
                <w:sz w:val="20"/>
                <w:szCs w:val="20"/>
              </w:rPr>
              <w:t>3</w:t>
            </w:r>
            <w:r w:rsidR="002621C1">
              <w:rPr>
                <w:rFonts w:asciiTheme="majorHAnsi" w:hAnsiTheme="majorHAnsi"/>
                <w:sz w:val="20"/>
                <w:szCs w:val="20"/>
              </w:rPr>
              <w:t>48,313 (39.0</w:t>
            </w:r>
            <w:r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52,440</w:t>
            </w:r>
          </w:p>
          <w:p w:rsidR="003732B4" w:rsidRPr="00185910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(55.1</w:t>
            </w:r>
            <w:r w:rsidR="003732B4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  <w:tc>
          <w:tcPr>
            <w:tcW w:w="1620" w:type="dxa"/>
          </w:tcPr>
          <w:p w:rsidR="003732B4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9,421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732B4" w:rsidRPr="00185910" w:rsidRDefault="0011574E" w:rsidP="00967F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(26.5</w:t>
            </w:r>
            <w:r w:rsidR="003732B4" w:rsidRPr="00185910">
              <w:rPr>
                <w:rFonts w:asciiTheme="majorHAnsi" w:hAnsiTheme="majorHAnsi"/>
                <w:sz w:val="20"/>
                <w:szCs w:val="20"/>
              </w:rPr>
              <w:t>%)</w:t>
            </w:r>
          </w:p>
        </w:tc>
      </w:tr>
    </w:tbl>
    <w:p w:rsidR="004561E4" w:rsidRDefault="004561E4" w:rsidP="003732B4">
      <w:pPr>
        <w:spacing w:after="0" w:line="240" w:lineRule="auto"/>
        <w:rPr>
          <w:rFonts w:asciiTheme="majorHAnsi" w:hAnsiTheme="majorHAnsi"/>
          <w:sz w:val="20"/>
          <w:szCs w:val="20"/>
          <w:vertAlign w:val="superscript"/>
        </w:rPr>
      </w:pPr>
    </w:p>
    <w:p w:rsidR="003732B4" w:rsidRPr="00F937CD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937CD">
        <w:rPr>
          <w:rFonts w:asciiTheme="majorHAnsi" w:hAnsiTheme="majorHAnsi"/>
          <w:sz w:val="20"/>
          <w:szCs w:val="20"/>
          <w:vertAlign w:val="superscript"/>
        </w:rPr>
        <w:t>a</w:t>
      </w:r>
      <w:r w:rsidRPr="00F937CD">
        <w:rPr>
          <w:rFonts w:asciiTheme="majorHAnsi" w:hAnsiTheme="majorHAnsi"/>
          <w:sz w:val="20"/>
          <w:szCs w:val="20"/>
        </w:rPr>
        <w:t xml:space="preserve"> Parameters were measured within +/-1 day of admission for the Cox regression model (which included all patients admitted without community-onset sepsis, and evaluated the hazard ratio associated with developing hospital-onset sepsis) and within +/-1 day of sepsis onset for the logistic regression model (which compared the odds of death associated with hospital-onset versus community-onset sepsis). </w:t>
      </w:r>
    </w:p>
    <w:p w:rsidR="003732B4" w:rsidRPr="00F937CD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732B4" w:rsidRPr="00F937CD" w:rsidRDefault="003732B4" w:rsidP="003732B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937CD">
        <w:rPr>
          <w:rFonts w:asciiTheme="majorHAnsi" w:hAnsiTheme="majorHAnsi"/>
          <w:sz w:val="20"/>
          <w:szCs w:val="20"/>
          <w:vertAlign w:val="superscript"/>
        </w:rPr>
        <w:t>b</w:t>
      </w:r>
      <w:r w:rsidRPr="00F937CD">
        <w:rPr>
          <w:rFonts w:asciiTheme="majorHAnsi" w:hAnsiTheme="majorHAnsi"/>
          <w:sz w:val="20"/>
          <w:szCs w:val="20"/>
        </w:rPr>
        <w:t xml:space="preserve"> There were substantially fewer missing data for vital signs and Glasgow Coma Scale measurements in the cohort in years 2013-2015; thus, a sensitivity analysis was done for the Cox and logistic regression models limiting to patients in those years. </w:t>
      </w:r>
    </w:p>
    <w:p w:rsidR="00967FA6" w:rsidRDefault="00967FA6"/>
    <w:p w:rsidR="004957D1" w:rsidRDefault="004957D1"/>
    <w:p w:rsidR="00FB544D" w:rsidRPr="00017200" w:rsidRDefault="004957D1">
      <w:pPr>
        <w:rPr>
          <w:rFonts w:asciiTheme="majorHAnsi" w:hAnsiTheme="majorHAnsi"/>
          <w:b/>
          <w:sz w:val="24"/>
          <w:szCs w:val="24"/>
        </w:rPr>
      </w:pPr>
      <w:r w:rsidRPr="00017200">
        <w:rPr>
          <w:rFonts w:asciiTheme="majorHAnsi" w:hAnsiTheme="majorHAnsi"/>
          <w:b/>
          <w:sz w:val="24"/>
          <w:szCs w:val="24"/>
        </w:rPr>
        <w:lastRenderedPageBreak/>
        <w:t xml:space="preserve">Supplemental Table </w:t>
      </w:r>
      <w:r w:rsidR="00452050">
        <w:rPr>
          <w:rFonts w:asciiTheme="majorHAnsi" w:hAnsiTheme="majorHAnsi"/>
          <w:b/>
          <w:sz w:val="24"/>
          <w:szCs w:val="24"/>
        </w:rPr>
        <w:t>5</w:t>
      </w:r>
      <w:r w:rsidRPr="00017200">
        <w:rPr>
          <w:rFonts w:asciiTheme="majorHAnsi" w:hAnsiTheme="majorHAnsi"/>
          <w:b/>
          <w:sz w:val="24"/>
          <w:szCs w:val="24"/>
        </w:rPr>
        <w:t>.</w:t>
      </w:r>
      <w:r w:rsidR="00FB544D" w:rsidRPr="00017200">
        <w:rPr>
          <w:rFonts w:asciiTheme="majorHAnsi" w:hAnsiTheme="majorHAnsi"/>
          <w:b/>
          <w:sz w:val="24"/>
          <w:szCs w:val="24"/>
        </w:rPr>
        <w:t xml:space="preserve"> </w:t>
      </w:r>
      <w:r w:rsidR="00017200" w:rsidRPr="00017200">
        <w:rPr>
          <w:rFonts w:asciiTheme="majorHAnsi" w:hAnsiTheme="majorHAnsi"/>
          <w:b/>
          <w:sz w:val="24"/>
          <w:szCs w:val="24"/>
        </w:rPr>
        <w:t>Risk of Death with Hospital-Onset Sepsis in</w:t>
      </w:r>
      <w:r w:rsidR="00FB544D" w:rsidRPr="00017200">
        <w:rPr>
          <w:rFonts w:asciiTheme="majorHAnsi" w:hAnsiTheme="majorHAnsi"/>
          <w:b/>
          <w:sz w:val="24"/>
          <w:szCs w:val="24"/>
        </w:rPr>
        <w:t xml:space="preserve"> Primary Models and Sensitivity Analyses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2628"/>
      </w:tblGrid>
      <w:tr w:rsidR="00017200" w:rsidRPr="008522C9" w:rsidTr="0085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17200" w:rsidRPr="008522C9" w:rsidRDefault="0001720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017200" w:rsidRPr="008522C9" w:rsidRDefault="00017200" w:rsidP="0085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522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Odds Ratio for Mortality (HO vs CO-Onset Sepsis)</w:t>
            </w:r>
          </w:p>
          <w:p w:rsidR="00017200" w:rsidRPr="008522C9" w:rsidRDefault="00017200" w:rsidP="0085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522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2628" w:type="dxa"/>
          </w:tcPr>
          <w:p w:rsidR="00017200" w:rsidRPr="008522C9" w:rsidRDefault="00017200" w:rsidP="0085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color w:val="000000"/>
                <w:sz w:val="20"/>
                <w:szCs w:val="20"/>
              </w:rPr>
            </w:pPr>
            <w:r w:rsidRPr="008522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Hazard Ratio for HO-sepsis vs No Sepsis</w:t>
            </w:r>
          </w:p>
          <w:p w:rsidR="00017200" w:rsidRPr="008522C9" w:rsidRDefault="00017200" w:rsidP="0085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522C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(95% CI)</w:t>
            </w:r>
          </w:p>
        </w:tc>
      </w:tr>
      <w:tr w:rsidR="00017200" w:rsidRPr="008522C9" w:rsidTr="0085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17200" w:rsidRPr="00C25AA3" w:rsidRDefault="00017200" w:rsidP="00C25AA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25AA3">
              <w:rPr>
                <w:rFonts w:asciiTheme="majorHAnsi" w:hAnsiTheme="majorHAnsi"/>
                <w:b w:val="0"/>
                <w:sz w:val="20"/>
                <w:szCs w:val="20"/>
              </w:rPr>
              <w:t>Full 2009-2015 Cohort with Multiple Imputation</w:t>
            </w:r>
            <w:r w:rsidR="007559E9">
              <w:rPr>
                <w:rFonts w:asciiTheme="majorHAnsi" w:hAnsiTheme="majorHAnsi"/>
                <w:b w:val="0"/>
                <w:sz w:val="20"/>
                <w:szCs w:val="20"/>
              </w:rPr>
              <w:t xml:space="preserve"> (Primary Analysis)</w:t>
            </w:r>
            <w:r w:rsidR="00BC483E">
              <w:rPr>
                <w:rFonts w:asciiTheme="majorHAnsi" w:hAnsiTheme="majorHAnsi"/>
                <w:b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060" w:type="dxa"/>
          </w:tcPr>
          <w:p w:rsidR="00017200" w:rsidRPr="008522C9" w:rsidRDefault="008B22F5" w:rsidP="00852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 (1.98-2.20)</w:t>
            </w:r>
          </w:p>
        </w:tc>
        <w:tc>
          <w:tcPr>
            <w:tcW w:w="2628" w:type="dxa"/>
          </w:tcPr>
          <w:p w:rsidR="00017200" w:rsidRPr="005C323B" w:rsidRDefault="005C323B" w:rsidP="00852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C323B">
              <w:rPr>
                <w:rFonts w:asciiTheme="majorHAnsi" w:hAnsiTheme="majorHAnsi"/>
                <w:sz w:val="20"/>
                <w:szCs w:val="20"/>
              </w:rPr>
              <w:t>3.04 (2.92-3.17</w:t>
            </w:r>
            <w:r w:rsidR="001B1BD5" w:rsidRPr="005C323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17200" w:rsidRPr="008522C9" w:rsidTr="0085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17200" w:rsidRPr="00C25AA3" w:rsidRDefault="00017200" w:rsidP="00C25AA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25AA3">
              <w:rPr>
                <w:rFonts w:asciiTheme="majorHAnsi" w:hAnsiTheme="majorHAnsi"/>
                <w:b w:val="0"/>
                <w:sz w:val="20"/>
                <w:szCs w:val="20"/>
              </w:rPr>
              <w:t>2013-2015 Cohort with Multiple Imputation</w:t>
            </w:r>
            <w:r w:rsidR="00BC483E">
              <w:rPr>
                <w:rFonts w:asciiTheme="majorHAnsi" w:hAnsiTheme="majorHAnsi"/>
                <w:b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060" w:type="dxa"/>
          </w:tcPr>
          <w:p w:rsidR="00017200" w:rsidRPr="008522C9" w:rsidRDefault="0074682F" w:rsidP="00852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2.09 (1.92-2.29)</w:t>
            </w:r>
          </w:p>
        </w:tc>
        <w:tc>
          <w:tcPr>
            <w:tcW w:w="2628" w:type="dxa"/>
          </w:tcPr>
          <w:p w:rsidR="00017200" w:rsidRPr="005C323B" w:rsidRDefault="001B1BD5" w:rsidP="00852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C323B">
              <w:rPr>
                <w:rFonts w:asciiTheme="majorHAnsi" w:hAnsiTheme="majorHAnsi"/>
                <w:sz w:val="20"/>
                <w:szCs w:val="20"/>
              </w:rPr>
              <w:t>3.27 (3.07-3.48)</w:t>
            </w:r>
          </w:p>
        </w:tc>
      </w:tr>
      <w:tr w:rsidR="00017200" w:rsidRPr="008522C9" w:rsidTr="0085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17200" w:rsidRPr="00C25AA3" w:rsidRDefault="00017200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25AA3">
              <w:rPr>
                <w:rFonts w:asciiTheme="majorHAnsi" w:hAnsiTheme="majorHAnsi"/>
                <w:b w:val="0"/>
                <w:sz w:val="20"/>
                <w:szCs w:val="20"/>
              </w:rPr>
              <w:t>2013-2015 Cohort with SOFA Score</w:t>
            </w:r>
            <w:r w:rsidR="00BC483E">
              <w:rPr>
                <w:rFonts w:asciiTheme="majorHAnsi" w:hAnsiTheme="majorHAnsi"/>
                <w:b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060" w:type="dxa"/>
          </w:tcPr>
          <w:p w:rsidR="00017200" w:rsidRPr="008522C9" w:rsidRDefault="00A20E31" w:rsidP="00852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2.11 (2.01-2.21)</w:t>
            </w:r>
          </w:p>
        </w:tc>
        <w:tc>
          <w:tcPr>
            <w:tcW w:w="2628" w:type="dxa"/>
          </w:tcPr>
          <w:p w:rsidR="00017200" w:rsidRPr="008522C9" w:rsidRDefault="008F4E9A" w:rsidP="00852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3.16 (2.97-3.37)</w:t>
            </w:r>
          </w:p>
        </w:tc>
      </w:tr>
      <w:tr w:rsidR="00017200" w:rsidRPr="008522C9" w:rsidTr="0085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017200" w:rsidRPr="00C25AA3" w:rsidRDefault="00017200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C25AA3">
              <w:rPr>
                <w:rFonts w:asciiTheme="majorHAnsi" w:hAnsiTheme="majorHAnsi"/>
                <w:b w:val="0"/>
                <w:sz w:val="20"/>
                <w:szCs w:val="20"/>
              </w:rPr>
              <w:t>2009-2015 Cohort with Non-Missing Covariates</w:t>
            </w:r>
            <w:r w:rsidR="00BC483E">
              <w:rPr>
                <w:rFonts w:asciiTheme="majorHAnsi" w:hAnsiTheme="majorHAnsi"/>
                <w:b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060" w:type="dxa"/>
          </w:tcPr>
          <w:p w:rsidR="00017200" w:rsidRPr="008522C9" w:rsidRDefault="00FC71E4" w:rsidP="00852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2.63 (2.22-3.13)</w:t>
            </w:r>
          </w:p>
        </w:tc>
        <w:tc>
          <w:tcPr>
            <w:tcW w:w="2628" w:type="dxa"/>
          </w:tcPr>
          <w:p w:rsidR="00017200" w:rsidRPr="008522C9" w:rsidRDefault="00D832D5" w:rsidP="00852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2.55 (2.28-2.84)</w:t>
            </w:r>
          </w:p>
        </w:tc>
      </w:tr>
    </w:tbl>
    <w:p w:rsidR="00F01A67" w:rsidRDefault="00F01A67" w:rsidP="0058781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5EF7" w:rsidRPr="00587813" w:rsidRDefault="00D45EF7" w:rsidP="0058781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87813">
        <w:rPr>
          <w:rFonts w:asciiTheme="majorHAnsi" w:hAnsiTheme="majorHAnsi"/>
          <w:sz w:val="20"/>
          <w:szCs w:val="20"/>
        </w:rPr>
        <w:t xml:space="preserve">The two sets of columns show the results of the two different models: 1) logistic regression model estimating the adjusted odds of mortality in hospital-onset vs community-onset sepsis, and 2) Cox regression model estimating the adjusted hazard of mortality for patients initially admitted without sepsis who subsequently develop hospital-onset sepsis.  </w:t>
      </w:r>
    </w:p>
    <w:p w:rsid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559E9" w:rsidRP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1A67">
        <w:rPr>
          <w:rFonts w:asciiTheme="majorHAnsi" w:hAnsiTheme="majorHAnsi"/>
          <w:sz w:val="20"/>
          <w:szCs w:val="20"/>
          <w:vertAlign w:val="superscript"/>
        </w:rPr>
        <w:t>a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D45EF7" w:rsidRPr="00F01A67">
        <w:rPr>
          <w:rFonts w:asciiTheme="majorHAnsi" w:hAnsiTheme="majorHAnsi"/>
          <w:sz w:val="20"/>
          <w:szCs w:val="20"/>
        </w:rPr>
        <w:t xml:space="preserve">The primary model included all patients in the study cohort from January 2009-Sept 2015.  Multiple imputation was used to account for missing data for covariates. </w:t>
      </w:r>
    </w:p>
    <w:p w:rsid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45EF7" w:rsidRP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1A67">
        <w:rPr>
          <w:rFonts w:asciiTheme="majorHAnsi" w:hAnsiTheme="majorHAnsi"/>
          <w:sz w:val="20"/>
          <w:szCs w:val="20"/>
          <w:vertAlign w:val="superscript"/>
        </w:rPr>
        <w:t>b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D45EF7" w:rsidRPr="00F01A67">
        <w:rPr>
          <w:rFonts w:asciiTheme="majorHAnsi" w:hAnsiTheme="majorHAnsi"/>
          <w:sz w:val="20"/>
          <w:szCs w:val="20"/>
        </w:rPr>
        <w:t>A sensitivity analysis was conducted limiting the cohort to patients admitted from January 2013-Sept 2015 since the availability of vital signs and Glasgow Coma Scale was substantially higher in later years.  Multiple imputation was used to account for missing data for covariates.</w:t>
      </w:r>
    </w:p>
    <w:p w:rsid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4B28" w:rsidRP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1A67">
        <w:rPr>
          <w:rFonts w:asciiTheme="majorHAnsi" w:hAnsiTheme="majorHAnsi"/>
          <w:sz w:val="20"/>
          <w:szCs w:val="20"/>
          <w:vertAlign w:val="superscript"/>
        </w:rPr>
        <w:t>c</w:t>
      </w:r>
      <w:r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D45EF7" w:rsidRPr="00F01A67">
        <w:rPr>
          <w:rFonts w:asciiTheme="majorHAnsi" w:hAnsiTheme="majorHAnsi"/>
          <w:sz w:val="20"/>
          <w:szCs w:val="20"/>
        </w:rPr>
        <w:t xml:space="preserve">A sensitivity analysis was conducted amongst the Jan 2013-Sept 2015 cohort using the Sequential Organ Failure Assessment </w:t>
      </w:r>
      <w:r w:rsidR="00894B28" w:rsidRPr="00F01A67">
        <w:rPr>
          <w:rFonts w:asciiTheme="majorHAnsi" w:hAnsiTheme="majorHAnsi"/>
          <w:sz w:val="20"/>
          <w:szCs w:val="20"/>
        </w:rPr>
        <w:t xml:space="preserve">(SOFA) </w:t>
      </w:r>
      <w:r w:rsidR="00D45EF7" w:rsidRPr="00F01A67">
        <w:rPr>
          <w:rFonts w:asciiTheme="majorHAnsi" w:hAnsiTheme="majorHAnsi"/>
          <w:sz w:val="20"/>
          <w:szCs w:val="20"/>
        </w:rPr>
        <w:t>score to adjust for severity of illness instead of each individual covariate (i.e., vital signs, laboratory data, Glasgow Coma Scale, mechanic</w:t>
      </w:r>
      <w:r w:rsidR="006829F0">
        <w:rPr>
          <w:rFonts w:asciiTheme="majorHAnsi" w:hAnsiTheme="majorHAnsi"/>
          <w:sz w:val="20"/>
          <w:szCs w:val="20"/>
        </w:rPr>
        <w:t xml:space="preserve">al ventilation, vasopressors).  The SOFA score was calculated on the day of sepsis onset for the hospital-onset vs community-onset logistic regression model, and on the day of admission for the hospital-onset sepsis vs no sepsis Cox regression model.  </w:t>
      </w:r>
      <w:r w:rsidR="00D45EF7" w:rsidRPr="00F01A67">
        <w:rPr>
          <w:rFonts w:asciiTheme="majorHAnsi" w:hAnsiTheme="majorHAnsi"/>
          <w:sz w:val="20"/>
          <w:szCs w:val="20"/>
        </w:rPr>
        <w:t xml:space="preserve">Other baseline characteristics (demographics, comorbidities) and hospital characteristics were </w:t>
      </w:r>
      <w:r w:rsidR="004561E4">
        <w:rPr>
          <w:rFonts w:asciiTheme="majorHAnsi" w:hAnsiTheme="majorHAnsi"/>
          <w:sz w:val="20"/>
          <w:szCs w:val="20"/>
        </w:rPr>
        <w:t>included in the models</w:t>
      </w:r>
      <w:r w:rsidR="00D45EF7" w:rsidRPr="00F01A67">
        <w:rPr>
          <w:rFonts w:asciiTheme="majorHAnsi" w:hAnsiTheme="majorHAnsi"/>
          <w:sz w:val="20"/>
          <w:szCs w:val="20"/>
        </w:rPr>
        <w:t xml:space="preserve">. </w:t>
      </w:r>
    </w:p>
    <w:p w:rsid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B544D" w:rsidRPr="00F01A67" w:rsidRDefault="00F01A67" w:rsidP="00F01A6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018E9">
        <w:rPr>
          <w:rFonts w:asciiTheme="majorHAnsi" w:hAnsiTheme="majorHAnsi"/>
          <w:sz w:val="20"/>
          <w:szCs w:val="20"/>
          <w:vertAlign w:val="superscript"/>
        </w:rPr>
        <w:t xml:space="preserve">d </w:t>
      </w:r>
      <w:r w:rsidR="00894B28" w:rsidRPr="00F018E9">
        <w:rPr>
          <w:rFonts w:asciiTheme="majorHAnsi" w:hAnsiTheme="majorHAnsi"/>
          <w:sz w:val="20"/>
          <w:szCs w:val="20"/>
        </w:rPr>
        <w:t>A sensitivity analysis was conducted amongst the entire Jan 2009-Sept 2015 cohort limited to patien</w:t>
      </w:r>
      <w:r w:rsidR="00590DC9" w:rsidRPr="00F018E9">
        <w:rPr>
          <w:rFonts w:asciiTheme="majorHAnsi" w:hAnsiTheme="majorHAnsi"/>
          <w:sz w:val="20"/>
          <w:szCs w:val="20"/>
        </w:rPr>
        <w:t>ts with no missing covariates (</w:t>
      </w:r>
      <w:r w:rsidR="00FC71E4" w:rsidRPr="00F018E9">
        <w:rPr>
          <w:rFonts w:asciiTheme="majorHAnsi" w:hAnsiTheme="majorHAnsi"/>
          <w:sz w:val="20"/>
          <w:szCs w:val="20"/>
        </w:rPr>
        <w:t>N=13</w:t>
      </w:r>
      <w:r w:rsidR="00590DC9" w:rsidRPr="00F018E9">
        <w:rPr>
          <w:rFonts w:asciiTheme="majorHAnsi" w:hAnsiTheme="majorHAnsi"/>
          <w:sz w:val="20"/>
          <w:szCs w:val="20"/>
        </w:rPr>
        <w:t>,</w:t>
      </w:r>
      <w:r w:rsidR="00FC71E4" w:rsidRPr="00F018E9">
        <w:rPr>
          <w:rFonts w:asciiTheme="majorHAnsi" w:hAnsiTheme="majorHAnsi"/>
          <w:sz w:val="20"/>
          <w:szCs w:val="20"/>
        </w:rPr>
        <w:t xml:space="preserve">615 for </w:t>
      </w:r>
      <w:r w:rsidR="006829F0">
        <w:rPr>
          <w:rFonts w:asciiTheme="majorHAnsi" w:hAnsiTheme="majorHAnsi"/>
          <w:sz w:val="20"/>
          <w:szCs w:val="20"/>
        </w:rPr>
        <w:t>the logistic regression hospital-onset vs community-onset</w:t>
      </w:r>
      <w:bookmarkStart w:id="0" w:name="_GoBack"/>
      <w:bookmarkEnd w:id="0"/>
      <w:r w:rsidR="00590DC9" w:rsidRPr="00F018E9">
        <w:rPr>
          <w:rFonts w:asciiTheme="majorHAnsi" w:hAnsiTheme="majorHAnsi"/>
          <w:sz w:val="20"/>
          <w:szCs w:val="20"/>
        </w:rPr>
        <w:t xml:space="preserve"> sepsis model, and </w:t>
      </w:r>
      <w:r w:rsidR="00CD58E1" w:rsidRPr="00F018E9">
        <w:rPr>
          <w:rFonts w:asciiTheme="majorHAnsi" w:hAnsiTheme="majorHAnsi"/>
          <w:sz w:val="20"/>
          <w:szCs w:val="20"/>
        </w:rPr>
        <w:t>N=65,327</w:t>
      </w:r>
      <w:r w:rsidR="00590DC9" w:rsidRPr="00F018E9">
        <w:rPr>
          <w:rFonts w:asciiTheme="majorHAnsi" w:hAnsiTheme="majorHAnsi"/>
          <w:sz w:val="20"/>
          <w:szCs w:val="20"/>
        </w:rPr>
        <w:t xml:space="preserve"> for the Cox regression model).</w:t>
      </w:r>
    </w:p>
    <w:p w:rsidR="004957D1" w:rsidRDefault="004957D1">
      <w:r>
        <w:t xml:space="preserve"> </w:t>
      </w:r>
    </w:p>
    <w:p w:rsidR="004957D1" w:rsidRDefault="004957D1"/>
    <w:sectPr w:rsidR="004957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B3" w:rsidRDefault="00D678B3">
      <w:pPr>
        <w:spacing w:after="0" w:line="240" w:lineRule="auto"/>
      </w:pPr>
      <w:r>
        <w:separator/>
      </w:r>
    </w:p>
  </w:endnote>
  <w:endnote w:type="continuationSeparator" w:id="0">
    <w:p w:rsidR="00D678B3" w:rsidRDefault="00D6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NEJMScalaSans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0498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5C323B" w:rsidRPr="00E22002" w:rsidRDefault="005C323B">
        <w:pPr>
          <w:pStyle w:val="Footer"/>
          <w:jc w:val="right"/>
          <w:rPr>
            <w:rFonts w:asciiTheme="majorHAnsi" w:hAnsiTheme="majorHAnsi"/>
          </w:rPr>
        </w:pPr>
        <w:r w:rsidRPr="00E22002">
          <w:rPr>
            <w:rFonts w:asciiTheme="majorHAnsi" w:hAnsiTheme="majorHAnsi"/>
          </w:rPr>
          <w:fldChar w:fldCharType="begin"/>
        </w:r>
        <w:r w:rsidRPr="00E22002">
          <w:rPr>
            <w:rFonts w:asciiTheme="majorHAnsi" w:hAnsiTheme="majorHAnsi"/>
          </w:rPr>
          <w:instrText xml:space="preserve"> PAGE   \* MERGEFORMAT </w:instrText>
        </w:r>
        <w:r w:rsidRPr="00E22002">
          <w:rPr>
            <w:rFonts w:asciiTheme="majorHAnsi" w:hAnsiTheme="majorHAnsi"/>
          </w:rPr>
          <w:fldChar w:fldCharType="separate"/>
        </w:r>
        <w:r w:rsidR="006829F0">
          <w:rPr>
            <w:rFonts w:asciiTheme="majorHAnsi" w:hAnsiTheme="majorHAnsi"/>
            <w:noProof/>
          </w:rPr>
          <w:t>8</w:t>
        </w:r>
        <w:r w:rsidRPr="00E22002">
          <w:rPr>
            <w:rFonts w:asciiTheme="majorHAnsi" w:hAnsiTheme="majorHAnsi"/>
            <w:noProof/>
          </w:rPr>
          <w:fldChar w:fldCharType="end"/>
        </w:r>
      </w:p>
    </w:sdtContent>
  </w:sdt>
  <w:p w:rsidR="005C323B" w:rsidRDefault="005C3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B3" w:rsidRDefault="00D678B3">
      <w:pPr>
        <w:spacing w:after="0" w:line="240" w:lineRule="auto"/>
      </w:pPr>
      <w:r>
        <w:separator/>
      </w:r>
    </w:p>
  </w:footnote>
  <w:footnote w:type="continuationSeparator" w:id="0">
    <w:p w:rsidR="00D678B3" w:rsidRDefault="00D67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C15"/>
    <w:multiLevelType w:val="hybridMultilevel"/>
    <w:tmpl w:val="C46AA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47E7"/>
    <w:multiLevelType w:val="hybridMultilevel"/>
    <w:tmpl w:val="C638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3178"/>
    <w:multiLevelType w:val="hybridMultilevel"/>
    <w:tmpl w:val="0B10CC36"/>
    <w:lvl w:ilvl="0" w:tplc="3F949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338A"/>
    <w:multiLevelType w:val="hybridMultilevel"/>
    <w:tmpl w:val="1424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0065E9"/>
    <w:rsid w:val="00017200"/>
    <w:rsid w:val="000260EE"/>
    <w:rsid w:val="00030272"/>
    <w:rsid w:val="00034B45"/>
    <w:rsid w:val="00055EBE"/>
    <w:rsid w:val="00067A7D"/>
    <w:rsid w:val="0011353C"/>
    <w:rsid w:val="0011574E"/>
    <w:rsid w:val="00133134"/>
    <w:rsid w:val="00135613"/>
    <w:rsid w:val="001664DC"/>
    <w:rsid w:val="00175772"/>
    <w:rsid w:val="001B1BD5"/>
    <w:rsid w:val="001C6796"/>
    <w:rsid w:val="001E605E"/>
    <w:rsid w:val="002621C1"/>
    <w:rsid w:val="0028526D"/>
    <w:rsid w:val="002E551D"/>
    <w:rsid w:val="002F651D"/>
    <w:rsid w:val="00356C0F"/>
    <w:rsid w:val="003732B4"/>
    <w:rsid w:val="003A552E"/>
    <w:rsid w:val="003E7029"/>
    <w:rsid w:val="00401CF2"/>
    <w:rsid w:val="00452050"/>
    <w:rsid w:val="004561E4"/>
    <w:rsid w:val="00486B47"/>
    <w:rsid w:val="004957D1"/>
    <w:rsid w:val="004B6E4B"/>
    <w:rsid w:val="004E29F4"/>
    <w:rsid w:val="00517F5B"/>
    <w:rsid w:val="00521FE6"/>
    <w:rsid w:val="00545185"/>
    <w:rsid w:val="005461A2"/>
    <w:rsid w:val="00556B54"/>
    <w:rsid w:val="00566F65"/>
    <w:rsid w:val="005849D1"/>
    <w:rsid w:val="00587813"/>
    <w:rsid w:val="00590DC9"/>
    <w:rsid w:val="005C323B"/>
    <w:rsid w:val="005C78A0"/>
    <w:rsid w:val="006445F2"/>
    <w:rsid w:val="006616D1"/>
    <w:rsid w:val="006829F0"/>
    <w:rsid w:val="00683A9B"/>
    <w:rsid w:val="00694F05"/>
    <w:rsid w:val="00696724"/>
    <w:rsid w:val="006A3623"/>
    <w:rsid w:val="007010A4"/>
    <w:rsid w:val="00701FC4"/>
    <w:rsid w:val="00711D48"/>
    <w:rsid w:val="0074682F"/>
    <w:rsid w:val="007559E9"/>
    <w:rsid w:val="007A4493"/>
    <w:rsid w:val="007E5580"/>
    <w:rsid w:val="007F7F04"/>
    <w:rsid w:val="00832A18"/>
    <w:rsid w:val="008349E3"/>
    <w:rsid w:val="008447CE"/>
    <w:rsid w:val="008522C9"/>
    <w:rsid w:val="00894B28"/>
    <w:rsid w:val="008B22F5"/>
    <w:rsid w:val="008C126F"/>
    <w:rsid w:val="008F4E9A"/>
    <w:rsid w:val="00913B23"/>
    <w:rsid w:val="00915AC3"/>
    <w:rsid w:val="00931F3A"/>
    <w:rsid w:val="00967FA6"/>
    <w:rsid w:val="00990543"/>
    <w:rsid w:val="00A20E31"/>
    <w:rsid w:val="00A6154A"/>
    <w:rsid w:val="00AB1ECB"/>
    <w:rsid w:val="00B1683B"/>
    <w:rsid w:val="00B330C0"/>
    <w:rsid w:val="00B63047"/>
    <w:rsid w:val="00B8685C"/>
    <w:rsid w:val="00B96630"/>
    <w:rsid w:val="00BB4139"/>
    <w:rsid w:val="00BC483E"/>
    <w:rsid w:val="00BD492D"/>
    <w:rsid w:val="00C25AA3"/>
    <w:rsid w:val="00C646BB"/>
    <w:rsid w:val="00CA6768"/>
    <w:rsid w:val="00CC48D1"/>
    <w:rsid w:val="00CD58E1"/>
    <w:rsid w:val="00CE3FF6"/>
    <w:rsid w:val="00CF3CFD"/>
    <w:rsid w:val="00D35391"/>
    <w:rsid w:val="00D45EF7"/>
    <w:rsid w:val="00D62C36"/>
    <w:rsid w:val="00D678B3"/>
    <w:rsid w:val="00D75629"/>
    <w:rsid w:val="00D832D5"/>
    <w:rsid w:val="00E04A3F"/>
    <w:rsid w:val="00E22724"/>
    <w:rsid w:val="00E55BB7"/>
    <w:rsid w:val="00EE5174"/>
    <w:rsid w:val="00F018E9"/>
    <w:rsid w:val="00F01A67"/>
    <w:rsid w:val="00F0582B"/>
    <w:rsid w:val="00F667E9"/>
    <w:rsid w:val="00F71A40"/>
    <w:rsid w:val="00FB544D"/>
    <w:rsid w:val="00FB7493"/>
    <w:rsid w:val="00FC0899"/>
    <w:rsid w:val="00FC71E4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3732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7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B4"/>
  </w:style>
  <w:style w:type="table" w:styleId="LightShading">
    <w:name w:val="Light Shading"/>
    <w:basedOn w:val="TableNormal"/>
    <w:uiPriority w:val="60"/>
    <w:rsid w:val="00373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732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664DC"/>
    <w:pPr>
      <w:ind w:left="720"/>
      <w:contextualSpacing/>
    </w:pPr>
  </w:style>
  <w:style w:type="table" w:styleId="TableGrid">
    <w:name w:val="Table Grid"/>
    <w:basedOn w:val="TableNormal"/>
    <w:uiPriority w:val="59"/>
    <w:rsid w:val="009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67F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3732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7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2B4"/>
  </w:style>
  <w:style w:type="table" w:styleId="LightShading">
    <w:name w:val="Light Shading"/>
    <w:basedOn w:val="TableNormal"/>
    <w:uiPriority w:val="60"/>
    <w:rsid w:val="003732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732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664DC"/>
    <w:pPr>
      <w:ind w:left="720"/>
      <w:contextualSpacing/>
    </w:pPr>
  </w:style>
  <w:style w:type="table" w:styleId="TableGrid">
    <w:name w:val="Table Grid"/>
    <w:basedOn w:val="TableNormal"/>
    <w:uiPriority w:val="59"/>
    <w:rsid w:val="0096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967F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1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EF47-5BF3-4594-98C5-1BE13981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8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 Rhee</dc:creator>
  <cp:lastModifiedBy>Chanu Rhee</cp:lastModifiedBy>
  <cp:revision>85</cp:revision>
  <dcterms:created xsi:type="dcterms:W3CDTF">2019-02-17T00:51:00Z</dcterms:created>
  <dcterms:modified xsi:type="dcterms:W3CDTF">2019-03-07T16:37:00Z</dcterms:modified>
</cp:coreProperties>
</file>