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34397" w14:textId="2651280B" w:rsidR="00E44150" w:rsidRDefault="00E44150" w:rsidP="00E44150">
      <w:pPr>
        <w:spacing w:before="0" w:after="200" w:line="276" w:lineRule="auto"/>
      </w:pPr>
      <w:bookmarkStart w:id="0" w:name="_GoBack"/>
      <w:bookmarkEnd w:id="0"/>
      <w:r>
        <w:t>Supplemental table 1: Publications using allostatic load scores from National Health and Nutrition Examination Survey data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37"/>
        <w:gridCol w:w="1450"/>
        <w:gridCol w:w="1978"/>
        <w:gridCol w:w="2372"/>
        <w:gridCol w:w="6443"/>
      </w:tblGrid>
      <w:tr w:rsidR="00E44150" w:rsidRPr="00811FD3" w14:paraId="1E32C90C" w14:textId="77777777" w:rsidTr="00E44150">
        <w:trPr>
          <w:trHeight w:val="300"/>
        </w:trPr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94A63C" w14:textId="77777777" w:rsidR="00E44150" w:rsidRPr="00811FD3" w:rsidRDefault="00E44150" w:rsidP="00E4415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11FD3">
              <w:rPr>
                <w:b/>
                <w:bCs/>
                <w:color w:val="000000"/>
              </w:rPr>
              <w:t>Author, year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BA3658" w14:textId="77777777" w:rsidR="00E44150" w:rsidRPr="00811FD3" w:rsidRDefault="00E44150" w:rsidP="00E4415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11FD3">
              <w:rPr>
                <w:b/>
                <w:bCs/>
                <w:color w:val="000000"/>
              </w:rPr>
              <w:t>Study years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C3B30C" w14:textId="77777777" w:rsidR="00E44150" w:rsidRDefault="00E44150" w:rsidP="00E4415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11FD3">
              <w:rPr>
                <w:b/>
                <w:bCs/>
                <w:color w:val="000000"/>
              </w:rPr>
              <w:t>Population</w:t>
            </w:r>
          </w:p>
          <w:p w14:paraId="20B8AE79" w14:textId="77777777" w:rsidR="00E44150" w:rsidRPr="00AE18F1" w:rsidRDefault="00E44150" w:rsidP="00E44150">
            <w:pPr>
              <w:spacing w:after="0" w:line="240" w:lineRule="auto"/>
              <w:rPr>
                <w:bCs/>
                <w:color w:val="000000"/>
              </w:rPr>
            </w:pPr>
            <w:r w:rsidRPr="00AE18F1">
              <w:rPr>
                <w:bCs/>
                <w:color w:val="000000"/>
              </w:rPr>
              <w:t>Age, gender, race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0A2D00" w14:textId="77777777" w:rsidR="00E44150" w:rsidRPr="00811FD3" w:rsidRDefault="00E44150" w:rsidP="00E4415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11FD3">
              <w:rPr>
                <w:b/>
                <w:bCs/>
                <w:color w:val="000000"/>
              </w:rPr>
              <w:t>Association between: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6D390E" w14:textId="77777777" w:rsidR="00E44150" w:rsidRPr="00811FD3" w:rsidRDefault="00E44150" w:rsidP="00E4415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11FD3">
              <w:rPr>
                <w:b/>
                <w:bCs/>
                <w:color w:val="000000"/>
              </w:rPr>
              <w:t>Title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E44150" w:rsidRPr="00811FD3" w14:paraId="632AC2A9" w14:textId="77777777" w:rsidTr="00E44150">
        <w:trPr>
          <w:trHeight w:val="300"/>
        </w:trPr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7879C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>Allsworth</w:t>
            </w:r>
            <w:r w:rsidRPr="009969A2">
              <w:rPr>
                <w:noProof/>
                <w:color w:val="000000"/>
                <w:vertAlign w:val="superscript"/>
              </w:rPr>
              <w:t>1</w:t>
            </w:r>
            <w:r w:rsidRPr="009969A2">
              <w:rPr>
                <w:color w:val="000000"/>
              </w:rPr>
              <w:t>, 2005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A32A1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>1988-1994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524DA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>Women (17-30)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39B48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>AL and age at menarche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8FC10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 xml:space="preserve">Early age at menarche and allostatic load: data from the Third National Health and Nutrition Examination Survey </w:t>
            </w:r>
          </w:p>
        </w:tc>
      </w:tr>
      <w:tr w:rsidR="00E44150" w:rsidRPr="00811FD3" w14:paraId="53CDD939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A6DB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 xml:space="preserve">Bandiera </w:t>
            </w:r>
            <w:r w:rsidRPr="009969A2">
              <w:rPr>
                <w:noProof/>
                <w:color w:val="000000"/>
                <w:vertAlign w:val="superscript"/>
              </w:rPr>
              <w:t>2</w:t>
            </w:r>
            <w:r w:rsidRPr="009969A2">
              <w:rPr>
                <w:color w:val="000000"/>
              </w:rPr>
              <w:t>, 2011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01B1D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>2001-2004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D159B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 xml:space="preserve">8-15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2AEA2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>Covariate: secondhand smoke and mental health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22FBA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>Secondhand smoke exposure and mental health among children and adolescents</w:t>
            </w:r>
          </w:p>
        </w:tc>
      </w:tr>
      <w:tr w:rsidR="00E44150" w:rsidRPr="00811FD3" w14:paraId="64DEDADE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333B4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 xml:space="preserve">Bird </w:t>
            </w:r>
            <w:r w:rsidRPr="009969A2">
              <w:rPr>
                <w:noProof/>
                <w:color w:val="000000"/>
                <w:vertAlign w:val="superscript"/>
              </w:rPr>
              <w:t>3</w:t>
            </w:r>
            <w:r w:rsidRPr="009969A2">
              <w:rPr>
                <w:color w:val="000000"/>
              </w:rPr>
              <w:t xml:space="preserve">, </w:t>
            </w:r>
          </w:p>
          <w:p w14:paraId="4AB34B9E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>2010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8D453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>1988-1994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64B84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 xml:space="preserve">20+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BFF37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>AL and neighborhood socioeconomic status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AA8EA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>Neighbourhood socioeconomic status and biological 'wear and tea</w:t>
            </w:r>
            <w:r>
              <w:rPr>
                <w:color w:val="000000"/>
              </w:rPr>
              <w:t>r</w:t>
            </w:r>
            <w:r w:rsidRPr="009969A2">
              <w:rPr>
                <w:color w:val="000000"/>
              </w:rPr>
              <w:t>' in a nationally representative sample of US adults</w:t>
            </w:r>
          </w:p>
        </w:tc>
      </w:tr>
      <w:tr w:rsidR="00E44150" w:rsidRPr="00811FD3" w14:paraId="67B5DE02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F69E3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 xml:space="preserve">Borrell </w:t>
            </w:r>
            <w:r w:rsidRPr="009969A2">
              <w:rPr>
                <w:noProof/>
                <w:color w:val="000000"/>
                <w:vertAlign w:val="superscript"/>
              </w:rPr>
              <w:t>4</w:t>
            </w:r>
            <w:r w:rsidRPr="009969A2">
              <w:rPr>
                <w:color w:val="000000"/>
              </w:rPr>
              <w:t>, 2010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E113E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>1988-1994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840F4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 xml:space="preserve">25+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0AAC9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>AL and racial/ethnic disparities in mortality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481D7" w14:textId="77777777" w:rsidR="00E44150" w:rsidRPr="009969A2" w:rsidRDefault="00E44150" w:rsidP="00E44150">
            <w:pPr>
              <w:spacing w:after="0" w:line="240" w:lineRule="auto"/>
              <w:rPr>
                <w:color w:val="000000"/>
              </w:rPr>
            </w:pPr>
            <w:r w:rsidRPr="009969A2">
              <w:rPr>
                <w:color w:val="000000"/>
              </w:rPr>
              <w:t>Racial/ethnic disparities in all-cause mortality in U.S. adults: the effect of allostatic load</w:t>
            </w:r>
          </w:p>
        </w:tc>
      </w:tr>
      <w:tr w:rsidR="00E44150" w:rsidRPr="00811FD3" w14:paraId="72245AF8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2E8D0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Borrell </w:t>
            </w:r>
            <w:r w:rsidRPr="009969A2">
              <w:rPr>
                <w:noProof/>
                <w:vertAlign w:val="superscript"/>
              </w:rPr>
              <w:t>5</w:t>
            </w:r>
            <w:r w:rsidRPr="009969A2">
              <w:t>, 2011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A5798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1999-2004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F2880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18-85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19EE0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 and periodont</w:t>
            </w:r>
            <w:r>
              <w:t>iti</w:t>
            </w:r>
            <w:r w:rsidRPr="009969A2">
              <w:t>s disparities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8D230" w14:textId="77777777" w:rsidR="00E44150" w:rsidRPr="009969A2" w:rsidRDefault="00E44150" w:rsidP="00E44150">
            <w:pPr>
              <w:spacing w:after="0" w:line="240" w:lineRule="auto"/>
            </w:pPr>
            <w:r w:rsidRPr="009969A2">
              <w:t>Social disparities in periodont</w:t>
            </w:r>
            <w:r>
              <w:t>it</w:t>
            </w:r>
            <w:r w:rsidRPr="009969A2">
              <w:t>is among US adults: the effect of allostatic load</w:t>
            </w:r>
          </w:p>
        </w:tc>
      </w:tr>
      <w:tr w:rsidR="00E44150" w:rsidRPr="00811FD3" w14:paraId="5F0C1998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2CCB5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Chen </w:t>
            </w:r>
            <w:r w:rsidRPr="009969A2">
              <w:rPr>
                <w:noProof/>
                <w:vertAlign w:val="superscript"/>
              </w:rPr>
              <w:t>6</w:t>
            </w:r>
            <w:r w:rsidRPr="009969A2">
              <w:t xml:space="preserve">, </w:t>
            </w:r>
          </w:p>
          <w:p w14:paraId="07343C42" w14:textId="77777777" w:rsidR="00E44150" w:rsidRPr="009969A2" w:rsidRDefault="00E44150" w:rsidP="00E44150">
            <w:pPr>
              <w:spacing w:after="0" w:line="240" w:lineRule="auto"/>
            </w:pPr>
            <w:r w:rsidRPr="009969A2">
              <w:t>2014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8773B" w14:textId="77777777" w:rsidR="00E44150" w:rsidRPr="009969A2" w:rsidRDefault="00E44150" w:rsidP="00E44150">
            <w:pPr>
              <w:spacing w:after="0" w:line="240" w:lineRule="auto"/>
            </w:pPr>
            <w:r w:rsidRPr="009969A2">
              <w:t>2005-2008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308AC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18+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07A3D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 and sleep disorders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E4224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Associations of allostatic load with sleep apnea, insomnia, short sleep duration, and other sleep disturbances: findings from the Nationa</w:t>
            </w:r>
            <w:r>
              <w:t>l</w:t>
            </w:r>
            <w:r w:rsidRPr="009969A2">
              <w:t xml:space="preserve"> Health and Nutrition Examination Survey 2005 to 2008</w:t>
            </w:r>
          </w:p>
        </w:tc>
      </w:tr>
      <w:tr w:rsidR="00E44150" w:rsidRPr="00811FD3" w14:paraId="320B80E0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ED719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Chyu </w:t>
            </w:r>
            <w:r w:rsidRPr="009969A2">
              <w:rPr>
                <w:noProof/>
                <w:vertAlign w:val="superscript"/>
              </w:rPr>
              <w:t>7</w:t>
            </w:r>
            <w:r w:rsidRPr="009969A2">
              <w:t>, 2011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ED616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1999-2004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7FB82" w14:textId="77777777" w:rsidR="00E44150" w:rsidRPr="009969A2" w:rsidRDefault="00E44150" w:rsidP="00E44150">
            <w:pPr>
              <w:spacing w:after="0" w:line="240" w:lineRule="auto"/>
            </w:pPr>
            <w:r w:rsidRPr="009969A2">
              <w:t>Women (18+ 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88B42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  and age, race and ethnicity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3456E" w14:textId="77777777" w:rsidR="00E44150" w:rsidRPr="009969A2" w:rsidRDefault="00E44150" w:rsidP="00E44150">
            <w:pPr>
              <w:spacing w:after="0" w:line="240" w:lineRule="auto"/>
            </w:pPr>
            <w:r w:rsidRPr="009969A2">
              <w:t>Racial and ethnic patterns of allostatic load among adult women in the United States: findings from the National Health and Nutrition Examination Survey 1999-2004</w:t>
            </w:r>
          </w:p>
        </w:tc>
      </w:tr>
      <w:tr w:rsidR="00E44150" w:rsidRPr="00811FD3" w14:paraId="6A792837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BEB23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Crimmins </w:t>
            </w:r>
            <w:r w:rsidRPr="009969A2">
              <w:rPr>
                <w:noProof/>
                <w:vertAlign w:val="superscript"/>
              </w:rPr>
              <w:t>8</w:t>
            </w:r>
            <w:r w:rsidRPr="009969A2">
              <w:t>, 2003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88EC9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1988-1994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A6C3F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20+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75B59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AL and age  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80A1F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Age differences in allostatic load: an index of physiological dysregulation</w:t>
            </w:r>
          </w:p>
        </w:tc>
      </w:tr>
      <w:tr w:rsidR="00E44150" w:rsidRPr="00811FD3" w14:paraId="02081C5A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8C7D5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Crimmins </w:t>
            </w:r>
            <w:r w:rsidRPr="009969A2">
              <w:rPr>
                <w:noProof/>
                <w:vertAlign w:val="superscript"/>
              </w:rPr>
              <w:t>9</w:t>
            </w:r>
            <w:r w:rsidRPr="009969A2">
              <w:t>, 2007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707E6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1999-2002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6F45F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40+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9B70D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 and race, ethnicity and nativity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0660E" w14:textId="77777777" w:rsidR="00E44150" w:rsidRPr="009969A2" w:rsidRDefault="00E44150" w:rsidP="00E44150">
            <w:pPr>
              <w:spacing w:after="0" w:line="240" w:lineRule="auto"/>
            </w:pPr>
            <w:r w:rsidRPr="009969A2">
              <w:t>Hispanic paradox in biological risk profiles</w:t>
            </w:r>
          </w:p>
        </w:tc>
      </w:tr>
      <w:tr w:rsidR="00E44150" w:rsidRPr="00811FD3" w14:paraId="28E7A470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46671" w14:textId="77777777" w:rsidR="00E44150" w:rsidRPr="009969A2" w:rsidRDefault="00E44150" w:rsidP="00E44150">
            <w:pPr>
              <w:spacing w:after="0" w:line="240" w:lineRule="auto"/>
            </w:pPr>
            <w:r w:rsidRPr="009969A2">
              <w:lastRenderedPageBreak/>
              <w:t xml:space="preserve">Crimmins </w:t>
            </w:r>
            <w:r w:rsidRPr="009969A2">
              <w:rPr>
                <w:noProof/>
                <w:vertAlign w:val="superscript"/>
              </w:rPr>
              <w:t>10</w:t>
            </w:r>
            <w:r w:rsidRPr="009969A2">
              <w:t>, 2009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AA3F1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1988-1994, 1999-2004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02970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20+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27086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 and poverty status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39F6C" w14:textId="77777777" w:rsidR="00E44150" w:rsidRPr="009969A2" w:rsidRDefault="00E44150" w:rsidP="00E44150">
            <w:pPr>
              <w:spacing w:after="0" w:line="240" w:lineRule="auto"/>
            </w:pPr>
            <w:r w:rsidRPr="009969A2">
              <w:t>Poverty and biological risk: the earlier "aging" of the poor</w:t>
            </w:r>
          </w:p>
        </w:tc>
      </w:tr>
      <w:tr w:rsidR="00E44150" w:rsidRPr="00811FD3" w14:paraId="54435FDB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C2AFD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Duru </w:t>
            </w:r>
            <w:r w:rsidRPr="009969A2">
              <w:rPr>
                <w:noProof/>
                <w:vertAlign w:val="superscript"/>
              </w:rPr>
              <w:t>11</w:t>
            </w:r>
            <w:r w:rsidRPr="009969A2">
              <w:t>, 2012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9FEA1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1988-1994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A54B6" w14:textId="77777777" w:rsidR="00E44150" w:rsidRPr="009969A2" w:rsidRDefault="00E44150" w:rsidP="00E44150">
            <w:pPr>
              <w:spacing w:after="0" w:line="240" w:lineRule="auto"/>
            </w:pPr>
            <w:r w:rsidRPr="009969A2">
              <w:t>35-64, black or white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08502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 and racial disparities in mortality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B9516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Allostatic load burden and racial disparities in mortality</w:t>
            </w:r>
          </w:p>
        </w:tc>
      </w:tr>
      <w:tr w:rsidR="00E44150" w:rsidRPr="00811FD3" w14:paraId="2DADB6A3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3FDB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Evans </w:t>
            </w:r>
            <w:r w:rsidRPr="009969A2">
              <w:rPr>
                <w:noProof/>
                <w:vertAlign w:val="superscript"/>
              </w:rPr>
              <w:t>12</w:t>
            </w:r>
            <w:r w:rsidRPr="009969A2">
              <w:t>, 2014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B9299" w14:textId="77777777" w:rsidR="00E44150" w:rsidRPr="009969A2" w:rsidRDefault="00E44150" w:rsidP="00E44150">
            <w:pPr>
              <w:spacing w:after="0" w:line="240" w:lineRule="auto"/>
            </w:pPr>
            <w:r w:rsidRPr="009969A2">
              <w:t>2003-2004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3A97C" w14:textId="77777777" w:rsidR="00E44150" w:rsidRPr="009969A2" w:rsidRDefault="00E44150" w:rsidP="00E44150">
            <w:pPr>
              <w:spacing w:after="0" w:line="240" w:lineRule="auto"/>
            </w:pPr>
            <w:r w:rsidRPr="009969A2">
              <w:t>Women (15-44)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9D2D6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 as effect measure modifier of race/ethnicity and chemical exposure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A3EF2" w14:textId="77777777" w:rsidR="00E44150" w:rsidRPr="009969A2" w:rsidRDefault="00E44150" w:rsidP="00E44150">
            <w:pPr>
              <w:spacing w:after="0" w:line="240" w:lineRule="auto"/>
            </w:pPr>
            <w:r w:rsidRPr="009969A2">
              <w:t>Joint exposure to chemical and nonchemical neurodevelopmental stressors in U.S. women of reproductive age in NHANES</w:t>
            </w:r>
          </w:p>
        </w:tc>
      </w:tr>
      <w:tr w:rsidR="00E44150" w:rsidRPr="00811FD3" w14:paraId="0D85E055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5444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Geronimus </w:t>
            </w:r>
            <w:r w:rsidRPr="009969A2">
              <w:rPr>
                <w:noProof/>
                <w:vertAlign w:val="superscript"/>
              </w:rPr>
              <w:t>13</w:t>
            </w:r>
            <w:r w:rsidRPr="009969A2">
              <w:t>, 2006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1B8BA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1999-2002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89383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18-64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FB732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 and age, race, poverty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3D242" w14:textId="77777777" w:rsidR="00E44150" w:rsidRPr="009969A2" w:rsidRDefault="00E44150" w:rsidP="00E44150">
            <w:pPr>
              <w:spacing w:after="0" w:line="240" w:lineRule="auto"/>
            </w:pPr>
            <w:r w:rsidRPr="009969A2">
              <w:t>"Weathering" and age patterns of allostatic load scores among blacks and whites in the United States</w:t>
            </w:r>
          </w:p>
        </w:tc>
      </w:tr>
      <w:tr w:rsidR="00E44150" w:rsidRPr="00811FD3" w14:paraId="20210A56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BD2C0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Hollar </w:t>
            </w:r>
            <w:r w:rsidRPr="009969A2">
              <w:rPr>
                <w:noProof/>
                <w:vertAlign w:val="superscript"/>
              </w:rPr>
              <w:t>14</w:t>
            </w:r>
            <w:r w:rsidRPr="009969A2">
              <w:t>, 2013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10097" w14:textId="77777777" w:rsidR="00E44150" w:rsidRPr="009969A2" w:rsidRDefault="00E44150" w:rsidP="00E44150">
            <w:pPr>
              <w:spacing w:after="0" w:line="240" w:lineRule="auto"/>
            </w:pPr>
            <w:r w:rsidRPr="009969A2">
              <w:t>2001-2010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08FD3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20+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A6BDD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 and disability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8F1CD" w14:textId="77777777" w:rsidR="00E44150" w:rsidRPr="009969A2" w:rsidRDefault="00E44150" w:rsidP="00E44150">
            <w:pPr>
              <w:spacing w:after="0" w:line="240" w:lineRule="auto"/>
            </w:pPr>
            <w:r w:rsidRPr="009969A2">
              <w:t>Cross-sectional changes in patterns of allostatic load among persons with varying disabilities, NHANES: 2001-2010</w:t>
            </w:r>
          </w:p>
        </w:tc>
      </w:tr>
      <w:tr w:rsidR="00E44150" w:rsidRPr="00811FD3" w14:paraId="142C57F7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635F2" w14:textId="77777777" w:rsidR="00E44150" w:rsidRPr="009969A2" w:rsidRDefault="00E44150" w:rsidP="00E44150">
            <w:pPr>
              <w:spacing w:after="0" w:line="240" w:lineRule="auto"/>
            </w:pPr>
            <w:r w:rsidRPr="009969A2">
              <w:t>Hux</w:t>
            </w:r>
            <w:r w:rsidRPr="009969A2">
              <w:rPr>
                <w:noProof/>
                <w:vertAlign w:val="superscript"/>
              </w:rPr>
              <w:t>15</w:t>
            </w:r>
            <w:r w:rsidRPr="009969A2">
              <w:t>,</w:t>
            </w:r>
          </w:p>
          <w:p w14:paraId="53A0614D" w14:textId="77777777" w:rsidR="00E44150" w:rsidRPr="009969A2" w:rsidRDefault="00E44150" w:rsidP="00E44150">
            <w:pPr>
              <w:spacing w:after="0" w:line="240" w:lineRule="auto"/>
            </w:pPr>
            <w:r w:rsidRPr="009969A2">
              <w:t>2014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19F63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1999-2006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C7FB2" w14:textId="77777777" w:rsidR="00E44150" w:rsidRPr="009969A2" w:rsidRDefault="00E44150" w:rsidP="00E44150">
            <w:pPr>
              <w:spacing w:after="0" w:line="240" w:lineRule="auto"/>
            </w:pPr>
            <w:r w:rsidRPr="009969A2">
              <w:t>Women (17-35)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B8443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 and history of low birthweight infants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DEBD0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Allostatic load in women with a history of low birth weight infants: the National Health and Nutrition Examination Survey</w:t>
            </w:r>
          </w:p>
        </w:tc>
      </w:tr>
      <w:tr w:rsidR="00E44150" w:rsidRPr="00811FD3" w14:paraId="23CAECAB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76A90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Kaestner </w:t>
            </w:r>
            <w:r w:rsidRPr="009969A2">
              <w:rPr>
                <w:noProof/>
                <w:vertAlign w:val="superscript"/>
              </w:rPr>
              <w:t>16</w:t>
            </w:r>
            <w:r w:rsidRPr="009969A2">
              <w:t>, 2009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FC2E5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1988-1994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4A7F4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30-60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C108A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 and health of Mexican immigrants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329E5" w14:textId="77777777" w:rsidR="00E44150" w:rsidRPr="009969A2" w:rsidRDefault="00E44150" w:rsidP="00E44150">
            <w:pPr>
              <w:spacing w:after="0" w:line="240" w:lineRule="auto"/>
            </w:pPr>
            <w:r w:rsidRPr="009969A2">
              <w:t>Stress, allostatic load and health of Mexican immigrants</w:t>
            </w:r>
          </w:p>
        </w:tc>
      </w:tr>
      <w:tr w:rsidR="00E44150" w:rsidRPr="00811FD3" w14:paraId="6D93D01F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6119F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Merkin </w:t>
            </w:r>
            <w:r w:rsidRPr="009969A2">
              <w:rPr>
                <w:noProof/>
                <w:vertAlign w:val="superscript"/>
              </w:rPr>
              <w:t>17</w:t>
            </w:r>
            <w:r w:rsidRPr="009969A2">
              <w:t>, 2009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ECEC4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1988-1994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EEC0D" w14:textId="77777777" w:rsidR="00E44150" w:rsidRPr="009969A2" w:rsidRDefault="00E44150" w:rsidP="00E44150">
            <w:pPr>
              <w:spacing w:after="0" w:line="240" w:lineRule="auto"/>
            </w:pPr>
            <w:r w:rsidRPr="009969A2">
              <w:t>20 +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28711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 and race/ethnic neighborhood socioeconomic status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45093" w14:textId="77777777" w:rsidR="00E44150" w:rsidRPr="009969A2" w:rsidRDefault="00E44150" w:rsidP="00E44150">
            <w:pPr>
              <w:spacing w:after="0" w:line="240" w:lineRule="auto"/>
            </w:pPr>
            <w:r w:rsidRPr="009969A2">
              <w:t>Neighborhoods and cumulative biological risk profiles by race/ethnicity in a national sample of U.S. adults: NHANES III</w:t>
            </w:r>
          </w:p>
        </w:tc>
      </w:tr>
      <w:tr w:rsidR="00E44150" w:rsidRPr="00811FD3" w14:paraId="4EAA3308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4225B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Morrison </w:t>
            </w:r>
            <w:r w:rsidRPr="009969A2">
              <w:rPr>
                <w:noProof/>
                <w:vertAlign w:val="superscript"/>
              </w:rPr>
              <w:t>18</w:t>
            </w:r>
            <w:r w:rsidRPr="009969A2">
              <w:t>, 2013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6E8E1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1999-2006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0E831" w14:textId="77777777" w:rsidR="00E44150" w:rsidRPr="009969A2" w:rsidRDefault="00E44150" w:rsidP="00E44150">
            <w:pPr>
              <w:spacing w:after="0" w:line="240" w:lineRule="auto"/>
            </w:pPr>
            <w:r w:rsidRPr="009969A2">
              <w:t>Women (15-44)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85B38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 and pregnancy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04EC2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Allostatic load may not be associated with chronic stress in pregnant women, NHANES 1999-2006</w:t>
            </w:r>
          </w:p>
        </w:tc>
      </w:tr>
      <w:tr w:rsidR="00E44150" w:rsidRPr="00811FD3" w14:paraId="0D73ECBE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4897A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Nelson </w:t>
            </w:r>
            <w:r w:rsidRPr="009969A2">
              <w:rPr>
                <w:noProof/>
                <w:vertAlign w:val="superscript"/>
              </w:rPr>
              <w:t>19</w:t>
            </w:r>
            <w:r w:rsidRPr="009969A2">
              <w:t>, 2007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B09C6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1999-2002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2E5E5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40+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4A80" w14:textId="77777777" w:rsidR="00E44150" w:rsidRPr="009969A2" w:rsidRDefault="00E44150" w:rsidP="00E44150">
            <w:pPr>
              <w:spacing w:after="0" w:line="240" w:lineRule="auto"/>
            </w:pPr>
            <w:r w:rsidRPr="009969A2">
              <w:t>Covariate: race/ethnicity and peripheral arterial disease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8CED8" w14:textId="77777777" w:rsidR="00E44150" w:rsidRPr="009969A2" w:rsidRDefault="00E44150" w:rsidP="00E44150">
            <w:pPr>
              <w:spacing w:after="0" w:line="240" w:lineRule="auto"/>
            </w:pPr>
            <w:r w:rsidRPr="009969A2">
              <w:t>Peripheral arterial disease in a multiethnic national sample: the role of conventional risk factors and allostatic load</w:t>
            </w:r>
          </w:p>
        </w:tc>
      </w:tr>
      <w:tr w:rsidR="00E44150" w:rsidRPr="00811FD3" w14:paraId="468638A2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DF84F" w14:textId="77777777" w:rsidR="00E44150" w:rsidRPr="009969A2" w:rsidRDefault="00E44150" w:rsidP="00E44150">
            <w:pPr>
              <w:spacing w:after="0" w:line="240" w:lineRule="auto"/>
            </w:pPr>
            <w:r w:rsidRPr="009969A2">
              <w:lastRenderedPageBreak/>
              <w:t xml:space="preserve">Parente </w:t>
            </w:r>
            <w:r w:rsidRPr="009969A2">
              <w:rPr>
                <w:noProof/>
                <w:vertAlign w:val="superscript"/>
              </w:rPr>
              <w:t>20</w:t>
            </w:r>
            <w:r w:rsidRPr="009969A2">
              <w:t>, 2013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BCCE2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1999-2008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FE04D" w14:textId="77777777" w:rsidR="00E44150" w:rsidRPr="009969A2" w:rsidRDefault="00E44150" w:rsidP="00E44150">
            <w:pPr>
              <w:spacing w:after="0" w:line="240" w:lineRule="auto"/>
            </w:pPr>
            <w:r w:rsidRPr="009969A2">
              <w:t>Women (35-85 ), black or white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CE0E3" w14:textId="77777777" w:rsidR="00E44150" w:rsidRPr="009969A2" w:rsidRDefault="00E44150" w:rsidP="00E44150">
            <w:pPr>
              <w:spacing w:after="0" w:line="240" w:lineRule="auto"/>
            </w:pPr>
            <w:r w:rsidRPr="009969A2">
              <w:t>History of breast cancer and AL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C2222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Association between breast cancer and allostatic load by race: National Health and Nutrition Examination Survey 1999-2008</w:t>
            </w:r>
          </w:p>
        </w:tc>
      </w:tr>
      <w:tr w:rsidR="00E44150" w:rsidRPr="00811FD3" w14:paraId="522560B7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873B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Rainisch </w:t>
            </w:r>
            <w:r w:rsidRPr="009969A2">
              <w:rPr>
                <w:noProof/>
                <w:vertAlign w:val="superscript"/>
              </w:rPr>
              <w:t>21</w:t>
            </w:r>
            <w:r w:rsidRPr="009969A2">
              <w:t>, 2013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B96E2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1999-2008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83BA2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12-19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4A665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 and age, race, socioeconomic status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043CA" w14:textId="77777777" w:rsidR="00E44150" w:rsidRPr="009969A2" w:rsidRDefault="00E44150" w:rsidP="00E44150">
            <w:pPr>
              <w:spacing w:after="0" w:line="240" w:lineRule="auto"/>
            </w:pPr>
            <w:r w:rsidRPr="009969A2">
              <w:t>Sociodemographic correlates of allostatic load among a national sample of adolescents: findings from the National Health and Nutrition Examination Survey, 1999-2008</w:t>
            </w:r>
          </w:p>
        </w:tc>
      </w:tr>
      <w:tr w:rsidR="00E44150" w:rsidRPr="00811FD3" w14:paraId="037C17E4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C3F7E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Rosenberg </w:t>
            </w:r>
            <w:r w:rsidRPr="009969A2">
              <w:rPr>
                <w:noProof/>
                <w:vertAlign w:val="superscript"/>
              </w:rPr>
              <w:t>22</w:t>
            </w:r>
            <w:r w:rsidRPr="009969A2">
              <w:t>, 2014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CBE02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1988-1994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228AC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45-64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F0F13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AL and serum carotenoid 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21567" w14:textId="77777777" w:rsidR="00E44150" w:rsidRPr="009969A2" w:rsidRDefault="00E44150" w:rsidP="00E44150">
            <w:pPr>
              <w:spacing w:after="0" w:line="240" w:lineRule="auto"/>
            </w:pPr>
            <w:r w:rsidRPr="009969A2">
              <w:t>Relationship of serum carotenoid concentrations with allostatic load as a measure of chronic stress among middle-aged adults in the USA</w:t>
            </w:r>
          </w:p>
        </w:tc>
      </w:tr>
      <w:tr w:rsidR="00E44150" w:rsidRPr="00811FD3" w14:paraId="383010A6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D48E3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Sabbah </w:t>
            </w:r>
            <w:r w:rsidRPr="009969A2">
              <w:rPr>
                <w:noProof/>
                <w:vertAlign w:val="superscript"/>
              </w:rPr>
              <w:t>23</w:t>
            </w:r>
            <w:r w:rsidRPr="009969A2">
              <w:t>, 2008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21C1B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1988-1994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D2A60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17+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F7460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 as a mediator between socioeconomic position and adverse health conditions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05600" w14:textId="77777777" w:rsidR="00E44150" w:rsidRPr="009969A2" w:rsidRDefault="00E44150" w:rsidP="00E44150">
            <w:pPr>
              <w:spacing w:after="0" w:line="240" w:lineRule="auto"/>
            </w:pPr>
            <w:r w:rsidRPr="009969A2">
              <w:t>Effects of allostatic load on the social gradient in ischaemic heart disease and periodontal disease: evidence from the Third National Health and Nutrition Examination Survey</w:t>
            </w:r>
          </w:p>
        </w:tc>
      </w:tr>
      <w:tr w:rsidR="00E44150" w:rsidRPr="00811FD3" w14:paraId="4AD1DD5C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B7132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Seeman </w:t>
            </w:r>
            <w:r w:rsidRPr="009969A2">
              <w:rPr>
                <w:noProof/>
                <w:vertAlign w:val="superscript"/>
              </w:rPr>
              <w:t>24</w:t>
            </w:r>
            <w:r w:rsidRPr="009969A2">
              <w:t>, 2008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24A2E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1988-1994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49755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20+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E82CD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 and socioeconomic, ethnic differences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CD41A" w14:textId="77777777" w:rsidR="00E44150" w:rsidRPr="009969A2" w:rsidRDefault="00E44150" w:rsidP="00E44150">
            <w:pPr>
              <w:spacing w:after="0" w:line="240" w:lineRule="auto"/>
            </w:pPr>
            <w:r w:rsidRPr="009969A2">
              <w:t>Education, income and ethnic differences in cumulative biological risk profiles in a national sample of US adults: NHANES III (1988-1994)</w:t>
            </w:r>
          </w:p>
        </w:tc>
      </w:tr>
      <w:tr w:rsidR="00E44150" w:rsidRPr="00811FD3" w14:paraId="2124F235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5EC2F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Slade </w:t>
            </w:r>
            <w:r w:rsidRPr="009969A2">
              <w:rPr>
                <w:noProof/>
                <w:vertAlign w:val="superscript"/>
              </w:rPr>
              <w:t>25</w:t>
            </w:r>
            <w:r w:rsidRPr="009969A2">
              <w:t xml:space="preserve">, </w:t>
            </w:r>
          </w:p>
          <w:p w14:paraId="79E2B823" w14:textId="77777777" w:rsidR="00E44150" w:rsidRPr="009969A2" w:rsidRDefault="00E44150" w:rsidP="00E44150">
            <w:pPr>
              <w:spacing w:after="0" w:line="240" w:lineRule="auto"/>
            </w:pPr>
            <w:r w:rsidRPr="009969A2">
              <w:t>2012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1AAB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1999-2004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EC0A8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18+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198CA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 as a mediator between socioeconomic status and pain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F5A38" w14:textId="77777777" w:rsidR="00E44150" w:rsidRPr="009969A2" w:rsidRDefault="00E44150" w:rsidP="00E44150">
            <w:pPr>
              <w:spacing w:after="0" w:line="240" w:lineRule="auto"/>
            </w:pPr>
            <w:r w:rsidRPr="009969A2">
              <w:t>Role of allostatic load in sociodemographic patterns of pain prevalence in the U.S. population</w:t>
            </w:r>
          </w:p>
        </w:tc>
      </w:tr>
      <w:tr w:rsidR="00E44150" w:rsidRPr="00811FD3" w14:paraId="232FF102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CA942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Theall </w:t>
            </w:r>
            <w:r w:rsidRPr="009969A2">
              <w:rPr>
                <w:noProof/>
                <w:vertAlign w:val="superscript"/>
              </w:rPr>
              <w:t>26</w:t>
            </w:r>
            <w:r w:rsidRPr="009969A2">
              <w:t>, 2012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5FFD3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1999-2006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419FE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12-20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60508" w14:textId="77777777" w:rsidR="00E44150" w:rsidRPr="009969A2" w:rsidRDefault="00E44150" w:rsidP="00E44150">
            <w:pPr>
              <w:spacing w:after="0" w:line="240" w:lineRule="auto"/>
            </w:pPr>
            <w:r w:rsidRPr="009969A2">
              <w:t>Neighborhood psychosocial stress and AL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BE2FD" w14:textId="77777777" w:rsidR="00E44150" w:rsidRPr="009969A2" w:rsidRDefault="00E44150" w:rsidP="00E44150">
            <w:pPr>
              <w:spacing w:after="0" w:line="240" w:lineRule="auto"/>
            </w:pPr>
            <w:r w:rsidRPr="009969A2">
              <w:t>Cumulative neighborhood risk of psychosocial stress and allostatic load in adolescents</w:t>
            </w:r>
          </w:p>
        </w:tc>
      </w:tr>
      <w:tr w:rsidR="00E44150" w:rsidRPr="00811FD3" w14:paraId="3970C5C1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3D9F30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Yang </w:t>
            </w:r>
            <w:r w:rsidRPr="009969A2">
              <w:rPr>
                <w:noProof/>
                <w:vertAlign w:val="superscript"/>
              </w:rPr>
              <w:t>27</w:t>
            </w:r>
            <w:r w:rsidRPr="009969A2">
              <w:t xml:space="preserve">, </w:t>
            </w:r>
          </w:p>
          <w:p w14:paraId="3410B686" w14:textId="77777777" w:rsidR="00E44150" w:rsidRPr="009969A2" w:rsidRDefault="00E44150" w:rsidP="00E44150">
            <w:pPr>
              <w:spacing w:after="0" w:line="240" w:lineRule="auto"/>
            </w:pPr>
            <w:r w:rsidRPr="009969A2">
              <w:t>2011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371477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1988-1994, 1999-2006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18D9C8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17+ 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67A6DC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 and sex, age trajectories</w:t>
            </w:r>
          </w:p>
        </w:tc>
        <w:tc>
          <w:tcPr>
            <w:tcW w:w="2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792441" w14:textId="77777777" w:rsidR="00E44150" w:rsidRPr="009969A2" w:rsidRDefault="00E44150" w:rsidP="00E44150">
            <w:pPr>
              <w:spacing w:after="0" w:line="240" w:lineRule="auto"/>
            </w:pPr>
            <w:r w:rsidRPr="009969A2">
              <w:t>Sex differences in age trajectories of physiological dysregulation: inflammation, metabolic syndrome, and allostatic load</w:t>
            </w:r>
          </w:p>
        </w:tc>
      </w:tr>
      <w:tr w:rsidR="00E44150" w:rsidRPr="00811FD3" w14:paraId="10E731E1" w14:textId="77777777" w:rsidTr="00E44150">
        <w:trPr>
          <w:trHeight w:val="300"/>
        </w:trPr>
        <w:tc>
          <w:tcPr>
            <w:tcW w:w="52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5F456C" w14:textId="77777777" w:rsidR="00E44150" w:rsidRPr="009969A2" w:rsidRDefault="00E44150" w:rsidP="00E44150">
            <w:pPr>
              <w:spacing w:after="0" w:line="240" w:lineRule="auto"/>
            </w:pPr>
            <w:r w:rsidRPr="009969A2">
              <w:t>Zheng</w:t>
            </w:r>
            <w:r w:rsidRPr="009969A2">
              <w:rPr>
                <w:noProof/>
                <w:vertAlign w:val="superscript"/>
              </w:rPr>
              <w:t>28</w:t>
            </w:r>
            <w:r w:rsidRPr="009969A2">
              <w:t>,</w:t>
            </w:r>
          </w:p>
          <w:p w14:paraId="7FF6FE92" w14:textId="77777777" w:rsidR="00E44150" w:rsidRPr="009969A2" w:rsidRDefault="00E44150" w:rsidP="00E44150">
            <w:pPr>
              <w:spacing w:after="0" w:line="240" w:lineRule="auto"/>
            </w:pPr>
            <w:r w:rsidRPr="009969A2">
              <w:t>2014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912C09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1999-2004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533EFD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60+ 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A47B6E" w14:textId="77777777" w:rsidR="00E44150" w:rsidRPr="009969A2" w:rsidRDefault="00E44150" w:rsidP="00E44150">
            <w:pPr>
              <w:spacing w:after="0" w:line="240" w:lineRule="auto"/>
            </w:pPr>
            <w:r w:rsidRPr="009969A2">
              <w:t>Visual acuity and AL on mortality</w:t>
            </w:r>
          </w:p>
        </w:tc>
        <w:tc>
          <w:tcPr>
            <w:tcW w:w="235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1FE6D5" w14:textId="77777777" w:rsidR="00E44150" w:rsidRPr="009969A2" w:rsidRDefault="00E44150" w:rsidP="00E44150">
            <w:pPr>
              <w:spacing w:after="0" w:line="240" w:lineRule="auto"/>
            </w:pPr>
            <w:r w:rsidRPr="009969A2">
              <w:t>Visual acuity and increased mortality: the role of allostatic load and functional status</w:t>
            </w:r>
          </w:p>
        </w:tc>
      </w:tr>
      <w:tr w:rsidR="00E44150" w:rsidRPr="00811FD3" w14:paraId="3958B238" w14:textId="77777777" w:rsidTr="00E44150">
        <w:trPr>
          <w:trHeight w:val="300"/>
        </w:trPr>
        <w:tc>
          <w:tcPr>
            <w:tcW w:w="5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713692" w14:textId="77777777" w:rsidR="00E44150" w:rsidRPr="009969A2" w:rsidRDefault="00E44150" w:rsidP="00E44150">
            <w:pPr>
              <w:spacing w:after="0" w:line="240" w:lineRule="auto"/>
            </w:pPr>
            <w:r w:rsidRPr="009969A2">
              <w:lastRenderedPageBreak/>
              <w:t xml:space="preserve">Zota </w:t>
            </w:r>
            <w:r w:rsidRPr="009969A2">
              <w:rPr>
                <w:noProof/>
                <w:vertAlign w:val="superscript"/>
              </w:rPr>
              <w:t>29</w:t>
            </w:r>
            <w:r w:rsidRPr="009969A2">
              <w:t xml:space="preserve">, </w:t>
            </w:r>
          </w:p>
          <w:p w14:paraId="62472A7F" w14:textId="77777777" w:rsidR="00E44150" w:rsidRPr="009969A2" w:rsidRDefault="00E44150" w:rsidP="00E44150">
            <w:pPr>
              <w:spacing w:after="0" w:line="240" w:lineRule="auto"/>
            </w:pPr>
            <w:r w:rsidRPr="009969A2">
              <w:t>2013</w:t>
            </w:r>
          </w:p>
        </w:tc>
        <w:tc>
          <w:tcPr>
            <w:tcW w:w="5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363176" w14:textId="77777777" w:rsidR="00E44150" w:rsidRPr="009969A2" w:rsidRDefault="00E44150" w:rsidP="00E44150">
            <w:pPr>
              <w:spacing w:after="0" w:line="240" w:lineRule="auto"/>
            </w:pPr>
            <w:r w:rsidRPr="009969A2">
              <w:t>1999-2008</w:t>
            </w:r>
          </w:p>
        </w:tc>
        <w:tc>
          <w:tcPr>
            <w:tcW w:w="7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46837" w14:textId="77777777" w:rsidR="00E44150" w:rsidRPr="009969A2" w:rsidRDefault="00E44150" w:rsidP="00E44150">
            <w:pPr>
              <w:spacing w:after="0" w:line="240" w:lineRule="auto"/>
            </w:pPr>
            <w:r w:rsidRPr="009969A2">
              <w:t xml:space="preserve">40-65 </w:t>
            </w:r>
          </w:p>
        </w:tc>
        <w:tc>
          <w:tcPr>
            <w:tcW w:w="8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EED27B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 as mediator on lead levels and blood pressure</w:t>
            </w:r>
          </w:p>
        </w:tc>
        <w:tc>
          <w:tcPr>
            <w:tcW w:w="23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0DA3FB" w14:textId="77777777" w:rsidR="00E44150" w:rsidRPr="009969A2" w:rsidRDefault="00E44150" w:rsidP="00E44150">
            <w:pPr>
              <w:spacing w:after="0" w:line="240" w:lineRule="auto"/>
            </w:pPr>
            <w:r w:rsidRPr="009969A2">
              <w:t>Allostatic load amplifies the effect of blood lead levels on elevated blood pressure among middle-aged U.S. adults: a cross-sectional study</w:t>
            </w:r>
          </w:p>
        </w:tc>
      </w:tr>
    </w:tbl>
    <w:p w14:paraId="1AB9E69D" w14:textId="77777777" w:rsidR="00E44150" w:rsidRPr="009969A2" w:rsidRDefault="00E44150" w:rsidP="00E44150">
      <w:pPr>
        <w:spacing w:before="0" w:after="0" w:line="240" w:lineRule="auto"/>
        <w:contextualSpacing/>
        <w:rPr>
          <w:sz w:val="20"/>
        </w:rPr>
      </w:pPr>
    </w:p>
    <w:p w14:paraId="68D0C776" w14:textId="77777777" w:rsidR="00E44150" w:rsidRPr="009969A2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</w:rPr>
      </w:pPr>
    </w:p>
    <w:p w14:paraId="2C80DD13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1.</w:t>
      </w:r>
      <w:r w:rsidRPr="00DE391D">
        <w:rPr>
          <w:sz w:val="20"/>
          <w:szCs w:val="20"/>
        </w:rPr>
        <w:tab/>
        <w:t xml:space="preserve">Allsworth JE, Weitzen S, Boardman LA. Early age at menarche and allostatic load: data from the Third National Health and Nutrition Examination Survey. </w:t>
      </w:r>
      <w:r w:rsidRPr="00DE391D">
        <w:rPr>
          <w:i/>
          <w:sz w:val="20"/>
          <w:szCs w:val="20"/>
        </w:rPr>
        <w:t xml:space="preserve">Annals of Epidemiology </w:t>
      </w:r>
      <w:r w:rsidRPr="00DE391D">
        <w:rPr>
          <w:sz w:val="20"/>
          <w:szCs w:val="20"/>
        </w:rPr>
        <w:t>2005;</w:t>
      </w:r>
      <w:r w:rsidRPr="00DE391D">
        <w:rPr>
          <w:b/>
          <w:sz w:val="20"/>
          <w:szCs w:val="20"/>
        </w:rPr>
        <w:t>15</w:t>
      </w:r>
      <w:r w:rsidRPr="00DE391D">
        <w:rPr>
          <w:sz w:val="20"/>
          <w:szCs w:val="20"/>
        </w:rPr>
        <w:t>(6):438-444.</w:t>
      </w:r>
    </w:p>
    <w:p w14:paraId="66ADE842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2.</w:t>
      </w:r>
      <w:r w:rsidRPr="00DE391D">
        <w:rPr>
          <w:sz w:val="20"/>
          <w:szCs w:val="20"/>
        </w:rPr>
        <w:tab/>
        <w:t xml:space="preserve">Bandiera FC, Richardson AK, Lee DJ, He JP, Merikangas KR. Secondhand smoke exposure and mental health among children and adolescents. </w:t>
      </w:r>
      <w:r w:rsidRPr="00DE391D">
        <w:rPr>
          <w:i/>
          <w:sz w:val="20"/>
          <w:szCs w:val="20"/>
        </w:rPr>
        <w:t xml:space="preserve">Archives of Pediatrics &amp; Adolescent Medicine </w:t>
      </w:r>
      <w:r w:rsidRPr="00DE391D">
        <w:rPr>
          <w:sz w:val="20"/>
          <w:szCs w:val="20"/>
        </w:rPr>
        <w:t>2011;</w:t>
      </w:r>
      <w:r w:rsidRPr="00DE391D">
        <w:rPr>
          <w:b/>
          <w:sz w:val="20"/>
          <w:szCs w:val="20"/>
        </w:rPr>
        <w:t>165</w:t>
      </w:r>
      <w:r w:rsidRPr="00DE391D">
        <w:rPr>
          <w:sz w:val="20"/>
          <w:szCs w:val="20"/>
        </w:rPr>
        <w:t>(4):332-338.</w:t>
      </w:r>
    </w:p>
    <w:p w14:paraId="38B41B52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3.</w:t>
      </w:r>
      <w:r w:rsidRPr="00DE391D">
        <w:rPr>
          <w:sz w:val="20"/>
          <w:szCs w:val="20"/>
        </w:rPr>
        <w:tab/>
        <w:t xml:space="preserve">Bird CE, Seeman T, Escarce JJ, Basurto-Davila R, Finch BK, Dubowitz T, Heron M, Hale L, Merkin SS, Weden M, Lurie N. Neighbourhood socioeconomic status and biological 'wear and tear' in a nationally representative sample of US adults. </w:t>
      </w:r>
      <w:r w:rsidRPr="00DE391D">
        <w:rPr>
          <w:i/>
          <w:sz w:val="20"/>
          <w:szCs w:val="20"/>
        </w:rPr>
        <w:t xml:space="preserve">Journal of Epidemiology and Community Health </w:t>
      </w:r>
      <w:r w:rsidRPr="00DE391D">
        <w:rPr>
          <w:sz w:val="20"/>
          <w:szCs w:val="20"/>
        </w:rPr>
        <w:t>2010;</w:t>
      </w:r>
      <w:r w:rsidRPr="00DE391D">
        <w:rPr>
          <w:b/>
          <w:sz w:val="20"/>
          <w:szCs w:val="20"/>
        </w:rPr>
        <w:t>64</w:t>
      </w:r>
      <w:r w:rsidRPr="00DE391D">
        <w:rPr>
          <w:sz w:val="20"/>
          <w:szCs w:val="20"/>
        </w:rPr>
        <w:t>(10):860-865.</w:t>
      </w:r>
    </w:p>
    <w:p w14:paraId="7088EF7A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4.</w:t>
      </w:r>
      <w:r w:rsidRPr="00DE391D">
        <w:rPr>
          <w:sz w:val="20"/>
          <w:szCs w:val="20"/>
        </w:rPr>
        <w:tab/>
        <w:t xml:space="preserve">Borrell LN, Dallo FJ, Nguyen N. Racial/ethnic disparities in all-cause mortality in U.S. adults: the effect of allostatic load. </w:t>
      </w:r>
      <w:r w:rsidRPr="00DE391D">
        <w:rPr>
          <w:i/>
          <w:sz w:val="20"/>
          <w:szCs w:val="20"/>
        </w:rPr>
        <w:t xml:space="preserve">Public Health Reports </w:t>
      </w:r>
      <w:r w:rsidRPr="00DE391D">
        <w:rPr>
          <w:sz w:val="20"/>
          <w:szCs w:val="20"/>
        </w:rPr>
        <w:t>2010;</w:t>
      </w:r>
      <w:r w:rsidRPr="00DE391D">
        <w:rPr>
          <w:b/>
          <w:sz w:val="20"/>
          <w:szCs w:val="20"/>
        </w:rPr>
        <w:t>125</w:t>
      </w:r>
      <w:r w:rsidRPr="00DE391D">
        <w:rPr>
          <w:sz w:val="20"/>
          <w:szCs w:val="20"/>
        </w:rPr>
        <w:t>(6):810-816.</w:t>
      </w:r>
    </w:p>
    <w:p w14:paraId="50582197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5.</w:t>
      </w:r>
      <w:r w:rsidRPr="00DE391D">
        <w:rPr>
          <w:sz w:val="20"/>
          <w:szCs w:val="20"/>
        </w:rPr>
        <w:tab/>
        <w:t xml:space="preserve">Borrell LN, Crawford ND. Social disparities in periodontitis among US adults: the effect of allostatic load. </w:t>
      </w:r>
      <w:r w:rsidRPr="00DE391D">
        <w:rPr>
          <w:i/>
          <w:sz w:val="20"/>
          <w:szCs w:val="20"/>
        </w:rPr>
        <w:t xml:space="preserve">Journal of Epidemiology and Community Health </w:t>
      </w:r>
      <w:r w:rsidRPr="00DE391D">
        <w:rPr>
          <w:sz w:val="20"/>
          <w:szCs w:val="20"/>
        </w:rPr>
        <w:t>2011;</w:t>
      </w:r>
      <w:r w:rsidRPr="00DE391D">
        <w:rPr>
          <w:b/>
          <w:sz w:val="20"/>
          <w:szCs w:val="20"/>
        </w:rPr>
        <w:t>65</w:t>
      </w:r>
      <w:r w:rsidRPr="00DE391D">
        <w:rPr>
          <w:sz w:val="20"/>
          <w:szCs w:val="20"/>
        </w:rPr>
        <w:t>(2):144-149.</w:t>
      </w:r>
    </w:p>
    <w:p w14:paraId="600D8AE0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6.</w:t>
      </w:r>
      <w:r w:rsidRPr="00DE391D">
        <w:rPr>
          <w:sz w:val="20"/>
          <w:szCs w:val="20"/>
        </w:rPr>
        <w:tab/>
        <w:t xml:space="preserve">Chen X, Redline S, Shields AE, Williams DR, Williams MA. Associations of allostatic load with sleep apnea, insomnia, short sleep duration, and other sleep disturbances: findings from the National Health and Nutrition Examination Survey 2005 to 2008. </w:t>
      </w:r>
      <w:r w:rsidRPr="00DE391D">
        <w:rPr>
          <w:i/>
          <w:sz w:val="20"/>
          <w:szCs w:val="20"/>
        </w:rPr>
        <w:t xml:space="preserve">Annals of Epidemiology </w:t>
      </w:r>
      <w:r w:rsidRPr="00DE391D">
        <w:rPr>
          <w:sz w:val="20"/>
          <w:szCs w:val="20"/>
        </w:rPr>
        <w:t>2014;</w:t>
      </w:r>
      <w:r w:rsidRPr="00DE391D">
        <w:rPr>
          <w:b/>
          <w:sz w:val="20"/>
          <w:szCs w:val="20"/>
        </w:rPr>
        <w:t>24</w:t>
      </w:r>
      <w:r w:rsidRPr="00DE391D">
        <w:rPr>
          <w:sz w:val="20"/>
          <w:szCs w:val="20"/>
        </w:rPr>
        <w:t>(8):612-619.</w:t>
      </w:r>
    </w:p>
    <w:p w14:paraId="0295983C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7.</w:t>
      </w:r>
      <w:r w:rsidRPr="00DE391D">
        <w:rPr>
          <w:sz w:val="20"/>
          <w:szCs w:val="20"/>
        </w:rPr>
        <w:tab/>
        <w:t xml:space="preserve">Chyu L, Upchurch DM. Racial and ethnic patterns of allostatic load among adult women in the United States: findings from the National Health and Nutrition Examination Survey 1999-2004. </w:t>
      </w:r>
      <w:r w:rsidRPr="00DE391D">
        <w:rPr>
          <w:i/>
          <w:sz w:val="20"/>
          <w:szCs w:val="20"/>
        </w:rPr>
        <w:t xml:space="preserve">Journal of Women's Health </w:t>
      </w:r>
      <w:r w:rsidRPr="00DE391D">
        <w:rPr>
          <w:sz w:val="20"/>
          <w:szCs w:val="20"/>
        </w:rPr>
        <w:t>2011;</w:t>
      </w:r>
      <w:r w:rsidRPr="00DE391D">
        <w:rPr>
          <w:b/>
          <w:sz w:val="20"/>
          <w:szCs w:val="20"/>
        </w:rPr>
        <w:t>20</w:t>
      </w:r>
      <w:r w:rsidRPr="00DE391D">
        <w:rPr>
          <w:sz w:val="20"/>
          <w:szCs w:val="20"/>
        </w:rPr>
        <w:t>(4):575-583.</w:t>
      </w:r>
    </w:p>
    <w:p w14:paraId="3FFDD5A4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8.</w:t>
      </w:r>
      <w:r w:rsidRPr="00DE391D">
        <w:rPr>
          <w:sz w:val="20"/>
          <w:szCs w:val="20"/>
        </w:rPr>
        <w:tab/>
        <w:t xml:space="preserve">Crimmins EM, Johnston M, Hayward M, Seeman T. Age differences in allostatic load: an index of physiological dysregulation. </w:t>
      </w:r>
      <w:r w:rsidRPr="00DE391D">
        <w:rPr>
          <w:i/>
          <w:sz w:val="20"/>
          <w:szCs w:val="20"/>
        </w:rPr>
        <w:t xml:space="preserve">Experimental Gerontology </w:t>
      </w:r>
      <w:r w:rsidRPr="00DE391D">
        <w:rPr>
          <w:sz w:val="20"/>
          <w:szCs w:val="20"/>
        </w:rPr>
        <w:t>2003;</w:t>
      </w:r>
      <w:r w:rsidRPr="00DE391D">
        <w:rPr>
          <w:b/>
          <w:sz w:val="20"/>
          <w:szCs w:val="20"/>
        </w:rPr>
        <w:t>38</w:t>
      </w:r>
      <w:r w:rsidRPr="00DE391D">
        <w:rPr>
          <w:sz w:val="20"/>
          <w:szCs w:val="20"/>
        </w:rPr>
        <w:t>(7):731-734.</w:t>
      </w:r>
    </w:p>
    <w:p w14:paraId="07F9D5FE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9.</w:t>
      </w:r>
      <w:r w:rsidRPr="00DE391D">
        <w:rPr>
          <w:sz w:val="20"/>
          <w:szCs w:val="20"/>
        </w:rPr>
        <w:tab/>
        <w:t xml:space="preserve">Crimmins EM, Kim JK, Alley DE, Karlamangla A, Seeman T. Hispanic paradox in biological risk profiles. </w:t>
      </w:r>
      <w:r w:rsidRPr="00DE391D">
        <w:rPr>
          <w:i/>
          <w:sz w:val="20"/>
          <w:szCs w:val="20"/>
        </w:rPr>
        <w:t xml:space="preserve">American Journal of Public Health </w:t>
      </w:r>
      <w:r w:rsidRPr="00DE391D">
        <w:rPr>
          <w:sz w:val="20"/>
          <w:szCs w:val="20"/>
        </w:rPr>
        <w:t>2007;</w:t>
      </w:r>
      <w:r w:rsidRPr="00DE391D">
        <w:rPr>
          <w:b/>
          <w:sz w:val="20"/>
          <w:szCs w:val="20"/>
        </w:rPr>
        <w:t>97</w:t>
      </w:r>
      <w:r w:rsidRPr="00DE391D">
        <w:rPr>
          <w:sz w:val="20"/>
          <w:szCs w:val="20"/>
        </w:rPr>
        <w:t>(7):1305-1310.</w:t>
      </w:r>
    </w:p>
    <w:p w14:paraId="16931A7D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10.</w:t>
      </w:r>
      <w:r w:rsidRPr="00DE391D">
        <w:rPr>
          <w:sz w:val="20"/>
          <w:szCs w:val="20"/>
        </w:rPr>
        <w:tab/>
        <w:t xml:space="preserve">Crimmins EM, Kim JK, Seeman TE. Poverty and biological risk: the earlier "aging" of the poor. </w:t>
      </w:r>
      <w:r w:rsidRPr="00DE391D">
        <w:rPr>
          <w:i/>
          <w:sz w:val="20"/>
          <w:szCs w:val="20"/>
        </w:rPr>
        <w:t xml:space="preserve">The Journals of Gerontology. Series A, Biological Sciences and Medical Sciences </w:t>
      </w:r>
      <w:r w:rsidRPr="00DE391D">
        <w:rPr>
          <w:sz w:val="20"/>
          <w:szCs w:val="20"/>
        </w:rPr>
        <w:t>2009;</w:t>
      </w:r>
      <w:r w:rsidRPr="00DE391D">
        <w:rPr>
          <w:b/>
          <w:sz w:val="20"/>
          <w:szCs w:val="20"/>
        </w:rPr>
        <w:t>64</w:t>
      </w:r>
      <w:r w:rsidRPr="00DE391D">
        <w:rPr>
          <w:sz w:val="20"/>
          <w:szCs w:val="20"/>
        </w:rPr>
        <w:t>(2):286-292.</w:t>
      </w:r>
    </w:p>
    <w:p w14:paraId="246BDD24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11.</w:t>
      </w:r>
      <w:r w:rsidRPr="00DE391D">
        <w:rPr>
          <w:sz w:val="20"/>
          <w:szCs w:val="20"/>
        </w:rPr>
        <w:tab/>
        <w:t xml:space="preserve">Duru OK, Harawa NT, Kermah D, Norris KC. Allostatic load burden and racial disparities in mortality. </w:t>
      </w:r>
      <w:r w:rsidRPr="00DE391D">
        <w:rPr>
          <w:i/>
          <w:sz w:val="20"/>
          <w:szCs w:val="20"/>
        </w:rPr>
        <w:t xml:space="preserve">Journal of the National Medical Association </w:t>
      </w:r>
      <w:r w:rsidRPr="00DE391D">
        <w:rPr>
          <w:sz w:val="20"/>
          <w:szCs w:val="20"/>
        </w:rPr>
        <w:t>2012;</w:t>
      </w:r>
      <w:r w:rsidRPr="00DE391D">
        <w:rPr>
          <w:b/>
          <w:sz w:val="20"/>
          <w:szCs w:val="20"/>
        </w:rPr>
        <w:t>104</w:t>
      </w:r>
      <w:r w:rsidRPr="00DE391D">
        <w:rPr>
          <w:sz w:val="20"/>
          <w:szCs w:val="20"/>
        </w:rPr>
        <w:t>(1-2):89-95.</w:t>
      </w:r>
    </w:p>
    <w:p w14:paraId="590F7C9A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12.</w:t>
      </w:r>
      <w:r w:rsidRPr="00DE391D">
        <w:rPr>
          <w:sz w:val="20"/>
          <w:szCs w:val="20"/>
        </w:rPr>
        <w:tab/>
        <w:t xml:space="preserve">Evans AM, Rice GE, Teuschler LK, Wright JM. Joint exposure to chemical and nonchemical neurodevelopmental stressors in U.S. women of reproductive age in NHANES. </w:t>
      </w:r>
      <w:r w:rsidRPr="00DE391D">
        <w:rPr>
          <w:i/>
          <w:sz w:val="20"/>
          <w:szCs w:val="20"/>
        </w:rPr>
        <w:t xml:space="preserve">International Journal of Environmental Research and Public Health </w:t>
      </w:r>
      <w:r w:rsidRPr="00DE391D">
        <w:rPr>
          <w:sz w:val="20"/>
          <w:szCs w:val="20"/>
        </w:rPr>
        <w:t>2014;</w:t>
      </w:r>
      <w:r w:rsidRPr="00DE391D">
        <w:rPr>
          <w:b/>
          <w:sz w:val="20"/>
          <w:szCs w:val="20"/>
        </w:rPr>
        <w:t>11</w:t>
      </w:r>
      <w:r w:rsidRPr="00DE391D">
        <w:rPr>
          <w:sz w:val="20"/>
          <w:szCs w:val="20"/>
        </w:rPr>
        <w:t>(4):4384-4401.</w:t>
      </w:r>
    </w:p>
    <w:p w14:paraId="422C0792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13.</w:t>
      </w:r>
      <w:r w:rsidRPr="00DE391D">
        <w:rPr>
          <w:sz w:val="20"/>
          <w:szCs w:val="20"/>
        </w:rPr>
        <w:tab/>
        <w:t xml:space="preserve">Geronimus AT, Hicken M, Keene D, Bound J. "Weathering" and age patterns of allostatic load scores among blacks and whites in the United States. </w:t>
      </w:r>
      <w:r w:rsidRPr="00DE391D">
        <w:rPr>
          <w:i/>
          <w:sz w:val="20"/>
          <w:szCs w:val="20"/>
        </w:rPr>
        <w:t xml:space="preserve">American Journal of Public Health </w:t>
      </w:r>
      <w:r w:rsidRPr="00DE391D">
        <w:rPr>
          <w:sz w:val="20"/>
          <w:szCs w:val="20"/>
        </w:rPr>
        <w:t>2006;</w:t>
      </w:r>
      <w:r w:rsidRPr="00DE391D">
        <w:rPr>
          <w:b/>
          <w:sz w:val="20"/>
          <w:szCs w:val="20"/>
        </w:rPr>
        <w:t>96</w:t>
      </w:r>
      <w:r w:rsidRPr="00DE391D">
        <w:rPr>
          <w:sz w:val="20"/>
          <w:szCs w:val="20"/>
        </w:rPr>
        <w:t>(5):826-833.</w:t>
      </w:r>
    </w:p>
    <w:p w14:paraId="2E2B4DE6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14.</w:t>
      </w:r>
      <w:r w:rsidRPr="00DE391D">
        <w:rPr>
          <w:sz w:val="20"/>
          <w:szCs w:val="20"/>
        </w:rPr>
        <w:tab/>
        <w:t xml:space="preserve">Hollar D. Cross-sectional changes in patterns of allostatic load among persons with varying disabilities, NHANES: 2001-2010. </w:t>
      </w:r>
      <w:r w:rsidRPr="00DE391D">
        <w:rPr>
          <w:i/>
          <w:sz w:val="20"/>
          <w:szCs w:val="20"/>
        </w:rPr>
        <w:t xml:space="preserve">Disability and Health Journal </w:t>
      </w:r>
      <w:r w:rsidRPr="00DE391D">
        <w:rPr>
          <w:sz w:val="20"/>
          <w:szCs w:val="20"/>
        </w:rPr>
        <w:t>2013;</w:t>
      </w:r>
      <w:r w:rsidRPr="00DE391D">
        <w:rPr>
          <w:b/>
          <w:sz w:val="20"/>
          <w:szCs w:val="20"/>
        </w:rPr>
        <w:t>6</w:t>
      </w:r>
      <w:r w:rsidRPr="00DE391D">
        <w:rPr>
          <w:sz w:val="20"/>
          <w:szCs w:val="20"/>
        </w:rPr>
        <w:t>(3):177-187.</w:t>
      </w:r>
    </w:p>
    <w:p w14:paraId="4E582C92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15.</w:t>
      </w:r>
      <w:r w:rsidRPr="00DE391D">
        <w:rPr>
          <w:sz w:val="20"/>
          <w:szCs w:val="20"/>
        </w:rPr>
        <w:tab/>
        <w:t xml:space="preserve">Hux VJ, Catov JM, Roberts JM. Allostatic load in women with a history of low birth weight infants: the national health and nutrition examination survey. </w:t>
      </w:r>
      <w:r w:rsidRPr="00DE391D">
        <w:rPr>
          <w:i/>
          <w:sz w:val="20"/>
          <w:szCs w:val="20"/>
        </w:rPr>
        <w:t xml:space="preserve">Journal of Women's Health </w:t>
      </w:r>
      <w:r w:rsidRPr="00DE391D">
        <w:rPr>
          <w:sz w:val="20"/>
          <w:szCs w:val="20"/>
        </w:rPr>
        <w:t>2014;</w:t>
      </w:r>
      <w:r w:rsidRPr="00DE391D">
        <w:rPr>
          <w:b/>
          <w:sz w:val="20"/>
          <w:szCs w:val="20"/>
        </w:rPr>
        <w:t>23</w:t>
      </w:r>
      <w:r w:rsidRPr="00DE391D">
        <w:rPr>
          <w:sz w:val="20"/>
          <w:szCs w:val="20"/>
        </w:rPr>
        <w:t>(12):1039-1045.</w:t>
      </w:r>
    </w:p>
    <w:p w14:paraId="27B2C9D6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16.</w:t>
      </w:r>
      <w:r w:rsidRPr="00DE391D">
        <w:rPr>
          <w:sz w:val="20"/>
          <w:szCs w:val="20"/>
        </w:rPr>
        <w:tab/>
        <w:t xml:space="preserve">Kaestner R, Pearson JA, Keene D, Geronimus AT. Stress, Allostatic Load and Health of Mexican Immigrants. </w:t>
      </w:r>
      <w:r w:rsidRPr="00DE391D">
        <w:rPr>
          <w:i/>
          <w:sz w:val="20"/>
          <w:szCs w:val="20"/>
        </w:rPr>
        <w:t xml:space="preserve">Social Science Quarterly </w:t>
      </w:r>
      <w:r w:rsidRPr="00DE391D">
        <w:rPr>
          <w:sz w:val="20"/>
          <w:szCs w:val="20"/>
        </w:rPr>
        <w:t>2009;</w:t>
      </w:r>
      <w:r w:rsidRPr="00DE391D">
        <w:rPr>
          <w:b/>
          <w:sz w:val="20"/>
          <w:szCs w:val="20"/>
        </w:rPr>
        <w:t>90</w:t>
      </w:r>
      <w:r w:rsidRPr="00DE391D">
        <w:rPr>
          <w:sz w:val="20"/>
          <w:szCs w:val="20"/>
        </w:rPr>
        <w:t>(5):1089-1111.</w:t>
      </w:r>
    </w:p>
    <w:p w14:paraId="10F5E6B2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17.</w:t>
      </w:r>
      <w:r w:rsidRPr="00DE391D">
        <w:rPr>
          <w:sz w:val="20"/>
          <w:szCs w:val="20"/>
        </w:rPr>
        <w:tab/>
        <w:t xml:space="preserve">Merkin SS, Basurto-Davila R, Karlamangla A, Bird CE, Lurie N, Escarce J, Seeman T. Neighborhoods and cumulative biological risk profiles by race/ethnicity in a national sample of U.S. adults: NHANES III. </w:t>
      </w:r>
      <w:r w:rsidRPr="00DE391D">
        <w:rPr>
          <w:i/>
          <w:sz w:val="20"/>
          <w:szCs w:val="20"/>
        </w:rPr>
        <w:t xml:space="preserve">Annals of Epidemiology </w:t>
      </w:r>
      <w:r w:rsidRPr="00DE391D">
        <w:rPr>
          <w:sz w:val="20"/>
          <w:szCs w:val="20"/>
        </w:rPr>
        <w:t>2009;</w:t>
      </w:r>
      <w:r w:rsidRPr="00DE391D">
        <w:rPr>
          <w:b/>
          <w:sz w:val="20"/>
          <w:szCs w:val="20"/>
        </w:rPr>
        <w:t>19</w:t>
      </w:r>
      <w:r w:rsidRPr="00DE391D">
        <w:rPr>
          <w:sz w:val="20"/>
          <w:szCs w:val="20"/>
        </w:rPr>
        <w:t>(3):194-201.</w:t>
      </w:r>
    </w:p>
    <w:p w14:paraId="449FE6DF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18.</w:t>
      </w:r>
      <w:r w:rsidRPr="00DE391D">
        <w:rPr>
          <w:sz w:val="20"/>
          <w:szCs w:val="20"/>
        </w:rPr>
        <w:tab/>
        <w:t xml:space="preserve">Morrison S, Shenassa ED, Mendola P, Wu T, Schoendorf K. Allostatic load may not be associated with chronic stress in pregnant women, NHANES 1999-2006. </w:t>
      </w:r>
      <w:r w:rsidRPr="00DE391D">
        <w:rPr>
          <w:i/>
          <w:sz w:val="20"/>
          <w:szCs w:val="20"/>
        </w:rPr>
        <w:t xml:space="preserve">Annals of Epidemiology </w:t>
      </w:r>
      <w:r w:rsidRPr="00DE391D">
        <w:rPr>
          <w:sz w:val="20"/>
          <w:szCs w:val="20"/>
        </w:rPr>
        <w:t>2013;</w:t>
      </w:r>
      <w:r w:rsidRPr="00DE391D">
        <w:rPr>
          <w:b/>
          <w:sz w:val="20"/>
          <w:szCs w:val="20"/>
        </w:rPr>
        <w:t>23</w:t>
      </w:r>
      <w:r w:rsidRPr="00DE391D">
        <w:rPr>
          <w:sz w:val="20"/>
          <w:szCs w:val="20"/>
        </w:rPr>
        <w:t>(5):294-297.</w:t>
      </w:r>
    </w:p>
    <w:p w14:paraId="4568D94B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19.</w:t>
      </w:r>
      <w:r w:rsidRPr="00DE391D">
        <w:rPr>
          <w:sz w:val="20"/>
          <w:szCs w:val="20"/>
        </w:rPr>
        <w:tab/>
        <w:t xml:space="preserve">Nelson KM, Reiber G, Kohler T, Boyko EJ. Peripheral arterial disease in a multiethnic national sample: the role of conventional risk factors and allostatic load. </w:t>
      </w:r>
      <w:r w:rsidRPr="00DE391D">
        <w:rPr>
          <w:i/>
          <w:sz w:val="20"/>
          <w:szCs w:val="20"/>
        </w:rPr>
        <w:t xml:space="preserve">Ethnicity &amp; Disease </w:t>
      </w:r>
      <w:r w:rsidRPr="00DE391D">
        <w:rPr>
          <w:sz w:val="20"/>
          <w:szCs w:val="20"/>
        </w:rPr>
        <w:t>2007;</w:t>
      </w:r>
      <w:r w:rsidRPr="00DE391D">
        <w:rPr>
          <w:b/>
          <w:sz w:val="20"/>
          <w:szCs w:val="20"/>
        </w:rPr>
        <w:t>17</w:t>
      </w:r>
      <w:r w:rsidRPr="00DE391D">
        <w:rPr>
          <w:sz w:val="20"/>
          <w:szCs w:val="20"/>
        </w:rPr>
        <w:t>(4):669-675.</w:t>
      </w:r>
    </w:p>
    <w:p w14:paraId="6264FBBE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20.</w:t>
      </w:r>
      <w:r w:rsidRPr="00DE391D">
        <w:rPr>
          <w:sz w:val="20"/>
          <w:szCs w:val="20"/>
        </w:rPr>
        <w:tab/>
        <w:t xml:space="preserve">Parente V, Hale L, Palermo T. Association between breast cancer and allostatic load by race: National Health and Nutrition Examination Survey 1999-2008. </w:t>
      </w:r>
      <w:r w:rsidRPr="00DE391D">
        <w:rPr>
          <w:i/>
          <w:sz w:val="20"/>
          <w:szCs w:val="20"/>
        </w:rPr>
        <w:t xml:space="preserve">Psychooncology </w:t>
      </w:r>
      <w:r w:rsidRPr="00DE391D">
        <w:rPr>
          <w:sz w:val="20"/>
          <w:szCs w:val="20"/>
        </w:rPr>
        <w:t>2013;</w:t>
      </w:r>
      <w:r w:rsidRPr="00DE391D">
        <w:rPr>
          <w:b/>
          <w:sz w:val="20"/>
          <w:szCs w:val="20"/>
        </w:rPr>
        <w:t>22</w:t>
      </w:r>
      <w:r w:rsidRPr="00DE391D">
        <w:rPr>
          <w:sz w:val="20"/>
          <w:szCs w:val="20"/>
        </w:rPr>
        <w:t>(3):621-628.</w:t>
      </w:r>
    </w:p>
    <w:p w14:paraId="571A9EA2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21.</w:t>
      </w:r>
      <w:r w:rsidRPr="00DE391D">
        <w:rPr>
          <w:sz w:val="20"/>
          <w:szCs w:val="20"/>
        </w:rPr>
        <w:tab/>
        <w:t xml:space="preserve">Rainisch BK, Upchurch DM. Sociodemographic correlates of allostatic load among a national sample of adolescents: findings from the National Health and Nutrition Examination Survey, 1999-2008. </w:t>
      </w:r>
      <w:r w:rsidRPr="00DE391D">
        <w:rPr>
          <w:i/>
          <w:sz w:val="20"/>
          <w:szCs w:val="20"/>
        </w:rPr>
        <w:t xml:space="preserve">The Journal of Adolescent Health : official publication of the Society for Adolescent Medicine </w:t>
      </w:r>
      <w:r w:rsidRPr="00DE391D">
        <w:rPr>
          <w:sz w:val="20"/>
          <w:szCs w:val="20"/>
        </w:rPr>
        <w:t>2013;</w:t>
      </w:r>
      <w:r w:rsidRPr="00DE391D">
        <w:rPr>
          <w:b/>
          <w:sz w:val="20"/>
          <w:szCs w:val="20"/>
        </w:rPr>
        <w:t>53</w:t>
      </w:r>
      <w:r w:rsidRPr="00DE391D">
        <w:rPr>
          <w:sz w:val="20"/>
          <w:szCs w:val="20"/>
        </w:rPr>
        <w:t>(4):506-511.</w:t>
      </w:r>
    </w:p>
    <w:p w14:paraId="33449B4C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22.</w:t>
      </w:r>
      <w:r w:rsidRPr="00DE391D">
        <w:rPr>
          <w:sz w:val="20"/>
          <w:szCs w:val="20"/>
        </w:rPr>
        <w:tab/>
        <w:t xml:space="preserve">Rosenberg N, Park CG, Eldeirawi K. Relationship of serum carotenoid concentrations with allostatic load as a measure of chronic stress among middle-aged adults in the USA. </w:t>
      </w:r>
      <w:r w:rsidRPr="00DE391D">
        <w:rPr>
          <w:i/>
          <w:sz w:val="20"/>
          <w:szCs w:val="20"/>
        </w:rPr>
        <w:t xml:space="preserve">Public Health Nutrition </w:t>
      </w:r>
      <w:r w:rsidRPr="00DE391D">
        <w:rPr>
          <w:sz w:val="20"/>
          <w:szCs w:val="20"/>
        </w:rPr>
        <w:t>2014:1-9.</w:t>
      </w:r>
    </w:p>
    <w:p w14:paraId="6A068268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23.</w:t>
      </w:r>
      <w:r w:rsidRPr="00DE391D">
        <w:rPr>
          <w:sz w:val="20"/>
          <w:szCs w:val="20"/>
        </w:rPr>
        <w:tab/>
        <w:t xml:space="preserve">Sabbah W, Watt RG, Sheiham A, Tsakos G. Effects of allostatic load on the social gradient in ischaemic heart disease and periodontal disease: evidence from the Third National Health and Nutrition Examination Survey. </w:t>
      </w:r>
      <w:r w:rsidRPr="00DE391D">
        <w:rPr>
          <w:i/>
          <w:sz w:val="20"/>
          <w:szCs w:val="20"/>
        </w:rPr>
        <w:t xml:space="preserve">J Epidemiol Community Health </w:t>
      </w:r>
      <w:r w:rsidRPr="00DE391D">
        <w:rPr>
          <w:sz w:val="20"/>
          <w:szCs w:val="20"/>
        </w:rPr>
        <w:t>2008;</w:t>
      </w:r>
      <w:r w:rsidRPr="00DE391D">
        <w:rPr>
          <w:b/>
          <w:sz w:val="20"/>
          <w:szCs w:val="20"/>
        </w:rPr>
        <w:t>62</w:t>
      </w:r>
      <w:r w:rsidRPr="00DE391D">
        <w:rPr>
          <w:sz w:val="20"/>
          <w:szCs w:val="20"/>
        </w:rPr>
        <w:t>(5):415-20.</w:t>
      </w:r>
    </w:p>
    <w:p w14:paraId="16C5BAC8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24.</w:t>
      </w:r>
      <w:r w:rsidRPr="00DE391D">
        <w:rPr>
          <w:sz w:val="20"/>
          <w:szCs w:val="20"/>
        </w:rPr>
        <w:tab/>
        <w:t xml:space="preserve">Seeman T, Merkin SS, Crimmins E, Koretz B, Charette S, Karlamangla A. Education, income and ethnic differences in cumulative biological risk profiles in a national sample of US adults: NHANES III (1988-1994). </w:t>
      </w:r>
      <w:r w:rsidRPr="00DE391D">
        <w:rPr>
          <w:i/>
          <w:sz w:val="20"/>
          <w:szCs w:val="20"/>
        </w:rPr>
        <w:t xml:space="preserve">Social Science &amp; Medicine </w:t>
      </w:r>
      <w:r w:rsidRPr="00DE391D">
        <w:rPr>
          <w:sz w:val="20"/>
          <w:szCs w:val="20"/>
        </w:rPr>
        <w:t>2008;</w:t>
      </w:r>
      <w:r w:rsidRPr="00DE391D">
        <w:rPr>
          <w:b/>
          <w:sz w:val="20"/>
          <w:szCs w:val="20"/>
        </w:rPr>
        <w:t>66</w:t>
      </w:r>
      <w:r w:rsidRPr="00DE391D">
        <w:rPr>
          <w:sz w:val="20"/>
          <w:szCs w:val="20"/>
        </w:rPr>
        <w:t>(1):72-87.</w:t>
      </w:r>
    </w:p>
    <w:p w14:paraId="3A9B4CD2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25.</w:t>
      </w:r>
      <w:r w:rsidRPr="00DE391D">
        <w:rPr>
          <w:sz w:val="20"/>
          <w:szCs w:val="20"/>
        </w:rPr>
        <w:tab/>
        <w:t xml:space="preserve">Slade GD, Sanders AE, By K. Role of allostatic load in sociodemographic patterns of pain prevalence in the U.S. population. </w:t>
      </w:r>
      <w:r w:rsidRPr="00DE391D">
        <w:rPr>
          <w:i/>
          <w:sz w:val="20"/>
          <w:szCs w:val="20"/>
        </w:rPr>
        <w:t xml:space="preserve">The Journal of Pain : official journal of the American Pain Society </w:t>
      </w:r>
      <w:r w:rsidRPr="00DE391D">
        <w:rPr>
          <w:sz w:val="20"/>
          <w:szCs w:val="20"/>
        </w:rPr>
        <w:t>2012;</w:t>
      </w:r>
      <w:r w:rsidRPr="00DE391D">
        <w:rPr>
          <w:b/>
          <w:sz w:val="20"/>
          <w:szCs w:val="20"/>
        </w:rPr>
        <w:t>13</w:t>
      </w:r>
      <w:r w:rsidRPr="00DE391D">
        <w:rPr>
          <w:sz w:val="20"/>
          <w:szCs w:val="20"/>
        </w:rPr>
        <w:t>(7):666-675.</w:t>
      </w:r>
    </w:p>
    <w:p w14:paraId="72DED6AC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26.</w:t>
      </w:r>
      <w:r w:rsidRPr="00DE391D">
        <w:rPr>
          <w:sz w:val="20"/>
          <w:szCs w:val="20"/>
        </w:rPr>
        <w:tab/>
        <w:t xml:space="preserve">Theall KP, Drury SS, Shirtcliff EA. Cumulative neighborhood risk of psychosocial stress and allostatic load in adolescents. </w:t>
      </w:r>
      <w:r w:rsidRPr="00DE391D">
        <w:rPr>
          <w:i/>
          <w:sz w:val="20"/>
          <w:szCs w:val="20"/>
        </w:rPr>
        <w:t xml:space="preserve">American Journal of Epidemiology </w:t>
      </w:r>
      <w:r w:rsidRPr="00DE391D">
        <w:rPr>
          <w:sz w:val="20"/>
          <w:szCs w:val="20"/>
        </w:rPr>
        <w:t>2012;</w:t>
      </w:r>
      <w:r w:rsidRPr="00DE391D">
        <w:rPr>
          <w:b/>
          <w:sz w:val="20"/>
          <w:szCs w:val="20"/>
        </w:rPr>
        <w:t>176 Suppl 7</w:t>
      </w:r>
      <w:r w:rsidRPr="00DE391D">
        <w:rPr>
          <w:sz w:val="20"/>
          <w:szCs w:val="20"/>
        </w:rPr>
        <w:t>:S164-S174.</w:t>
      </w:r>
    </w:p>
    <w:p w14:paraId="69DE8223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27.</w:t>
      </w:r>
      <w:r w:rsidRPr="00DE391D">
        <w:rPr>
          <w:sz w:val="20"/>
          <w:szCs w:val="20"/>
        </w:rPr>
        <w:tab/>
        <w:t xml:space="preserve">Yang Y, Kozloski M. Sex differences in age trajectories of physiological dysregulation: inflammation, metabolic syndrome, and allostatic load. </w:t>
      </w:r>
      <w:r w:rsidRPr="00DE391D">
        <w:rPr>
          <w:i/>
          <w:sz w:val="20"/>
          <w:szCs w:val="20"/>
        </w:rPr>
        <w:t xml:space="preserve">The Journals of Gerontology. Series A, Biological Sciences and Medical Sciences </w:t>
      </w:r>
      <w:r w:rsidRPr="00DE391D">
        <w:rPr>
          <w:sz w:val="20"/>
          <w:szCs w:val="20"/>
        </w:rPr>
        <w:t>2011;</w:t>
      </w:r>
      <w:r w:rsidRPr="00DE391D">
        <w:rPr>
          <w:b/>
          <w:sz w:val="20"/>
          <w:szCs w:val="20"/>
        </w:rPr>
        <w:t>66</w:t>
      </w:r>
      <w:r w:rsidRPr="00DE391D">
        <w:rPr>
          <w:sz w:val="20"/>
          <w:szCs w:val="20"/>
        </w:rPr>
        <w:t>(5):493-500.</w:t>
      </w:r>
    </w:p>
    <w:p w14:paraId="18336A16" w14:textId="77777777" w:rsidR="00E44150" w:rsidRPr="00DE391D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28.</w:t>
      </w:r>
      <w:r w:rsidRPr="00DE391D">
        <w:rPr>
          <w:sz w:val="20"/>
          <w:szCs w:val="20"/>
        </w:rPr>
        <w:tab/>
        <w:t xml:space="preserve">Zheng DD, Christ SL, Lam BL, Tannenbaum SL, Bokman CL, Arheart KL, McClure LA, Fernandez CA, Lee DJ. Visual acuity and increased mortality: the role of allostatic load and functional status. </w:t>
      </w:r>
      <w:r w:rsidRPr="00DE391D">
        <w:rPr>
          <w:i/>
          <w:sz w:val="20"/>
          <w:szCs w:val="20"/>
        </w:rPr>
        <w:t xml:space="preserve">Investigative Ophthalmology &amp; Visual Science </w:t>
      </w:r>
      <w:r w:rsidRPr="00DE391D">
        <w:rPr>
          <w:sz w:val="20"/>
          <w:szCs w:val="20"/>
        </w:rPr>
        <w:t>2014;</w:t>
      </w:r>
      <w:r w:rsidRPr="00DE391D">
        <w:rPr>
          <w:b/>
          <w:sz w:val="20"/>
          <w:szCs w:val="20"/>
        </w:rPr>
        <w:t>55</w:t>
      </w:r>
      <w:r w:rsidRPr="00DE391D">
        <w:rPr>
          <w:sz w:val="20"/>
          <w:szCs w:val="20"/>
        </w:rPr>
        <w:t>(8):5144-5150.</w:t>
      </w:r>
    </w:p>
    <w:p w14:paraId="07797AA7" w14:textId="77777777" w:rsidR="00E44150" w:rsidRDefault="00E44150" w:rsidP="00E4415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DE391D">
        <w:rPr>
          <w:sz w:val="20"/>
          <w:szCs w:val="20"/>
        </w:rPr>
        <w:t>29.</w:t>
      </w:r>
      <w:r w:rsidRPr="00DE391D">
        <w:rPr>
          <w:sz w:val="20"/>
          <w:szCs w:val="20"/>
        </w:rPr>
        <w:tab/>
        <w:t xml:space="preserve">Zota AR, Shenassa ED, Morello-Frosch R. Allostatic load amplifies the effect of blood lead levels on elevated blood pressure among middle-aged U.S. adults: a cross-sectional study. </w:t>
      </w:r>
      <w:r w:rsidRPr="00DE391D">
        <w:rPr>
          <w:i/>
          <w:sz w:val="20"/>
          <w:szCs w:val="20"/>
        </w:rPr>
        <w:t xml:space="preserve">Environmental Health </w:t>
      </w:r>
      <w:r w:rsidRPr="00DE391D">
        <w:rPr>
          <w:sz w:val="20"/>
          <w:szCs w:val="20"/>
        </w:rPr>
        <w:t>2013;</w:t>
      </w:r>
      <w:r w:rsidRPr="00DE391D">
        <w:rPr>
          <w:b/>
          <w:sz w:val="20"/>
          <w:szCs w:val="20"/>
        </w:rPr>
        <w:t>12</w:t>
      </w:r>
      <w:r w:rsidRPr="00DE391D">
        <w:rPr>
          <w:sz w:val="20"/>
          <w:szCs w:val="20"/>
        </w:rPr>
        <w:t>(1):64.</w:t>
      </w:r>
    </w:p>
    <w:p w14:paraId="5A631608" w14:textId="77777777" w:rsidR="00E44150" w:rsidRDefault="00E44150" w:rsidP="00E44150">
      <w:pPr>
        <w:spacing w:before="0" w:after="200" w:line="276" w:lineRule="auto"/>
        <w:rPr>
          <w:noProof/>
          <w:sz w:val="20"/>
          <w:szCs w:val="20"/>
        </w:rPr>
      </w:pPr>
      <w:r>
        <w:rPr>
          <w:sz w:val="20"/>
          <w:szCs w:val="20"/>
        </w:rPr>
        <w:br w:type="page"/>
      </w:r>
    </w:p>
    <w:p w14:paraId="1CDC5939" w14:textId="2F18B4AA" w:rsidR="00E44150" w:rsidRDefault="00E44150" w:rsidP="00E44150">
      <w:pPr>
        <w:spacing w:before="0" w:after="200" w:line="276" w:lineRule="auto"/>
      </w:pPr>
      <w:r>
        <w:t>Supplemental table 2: Component biomarkers for each allostatic load score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0"/>
        <w:gridCol w:w="1620"/>
        <w:gridCol w:w="1170"/>
        <w:gridCol w:w="1260"/>
        <w:gridCol w:w="1333"/>
        <w:gridCol w:w="1367"/>
        <w:gridCol w:w="1260"/>
      </w:tblGrid>
      <w:tr w:rsidR="00E44150" w:rsidRPr="00372469" w14:paraId="75ECD467" w14:textId="77777777" w:rsidTr="00E44150">
        <w:trPr>
          <w:trHeight w:val="288"/>
        </w:trPr>
        <w:tc>
          <w:tcPr>
            <w:tcW w:w="42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C579AFA" w14:textId="77777777" w:rsidR="00E44150" w:rsidRPr="00372469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1364C" w14:textId="77777777" w:rsidR="00E44150" w:rsidRPr="00372469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44150" w:rsidRPr="00372469" w14:paraId="37086EC1" w14:textId="77777777" w:rsidTr="00E44150">
        <w:trPr>
          <w:trHeight w:val="288"/>
        </w:trPr>
        <w:tc>
          <w:tcPr>
            <w:tcW w:w="423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9D689C" w14:textId="77777777" w:rsidR="00E44150" w:rsidRDefault="00E44150" w:rsidP="00E44150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2DF72" w14:textId="77777777" w:rsidR="00E44150" w:rsidRPr="00F864B2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Scoring method 1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2E9C9" w14:textId="77777777" w:rsidR="00E44150" w:rsidRPr="00F864B2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Scoring method 2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CFA7E6" w14:textId="77777777" w:rsidR="00E44150" w:rsidRPr="00F864B2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Scoring method 3</w:t>
            </w:r>
          </w:p>
        </w:tc>
        <w:tc>
          <w:tcPr>
            <w:tcW w:w="1333" w:type="dxa"/>
            <w:tcBorders>
              <w:bottom w:val="single" w:sz="4" w:space="0" w:color="auto"/>
              <w:right w:val="nil"/>
            </w:tcBorders>
            <w:vAlign w:val="center"/>
          </w:tcPr>
          <w:p w14:paraId="40690144" w14:textId="77777777" w:rsidR="00E44150" w:rsidRPr="00F864B2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Scoring method 4</w:t>
            </w: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6257F6" w14:textId="77777777" w:rsidR="00E44150" w:rsidRPr="00F864B2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Scoring method 5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14:paraId="32D52C12" w14:textId="77777777" w:rsidR="00E44150" w:rsidRPr="00F864B2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Scoring method 6</w:t>
            </w:r>
          </w:p>
        </w:tc>
      </w:tr>
      <w:tr w:rsidR="00E44150" w:rsidRPr="00372469" w14:paraId="2D012A24" w14:textId="77777777" w:rsidTr="00E44150">
        <w:trPr>
          <w:trHeight w:val="288"/>
        </w:trPr>
        <w:tc>
          <w:tcPr>
            <w:tcW w:w="423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DAF23" w14:textId="77777777" w:rsidR="00E44150" w:rsidRPr="00372469" w:rsidRDefault="00E44150" w:rsidP="00E44150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Allostatic load biomarker</w:t>
            </w:r>
            <w:r w:rsidRPr="00372469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4C76E" w14:textId="77777777" w:rsidR="00E44150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 w:rsidRPr="00F864B2">
              <w:rPr>
                <w:rFonts w:asciiTheme="minorHAnsi" w:hAnsiTheme="minorHAnsi"/>
                <w:color w:val="000000"/>
              </w:rPr>
              <w:t>Geronimus, 2006</w:t>
            </w:r>
          </w:p>
          <w:p w14:paraId="1FE38827" w14:textId="77777777" w:rsidR="00E44150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Slade, 2012</w:t>
            </w:r>
          </w:p>
          <w:p w14:paraId="76EAF4B1" w14:textId="77777777" w:rsidR="00E44150" w:rsidRPr="00F864B2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Borrell, 2011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A10CE" w14:textId="77777777" w:rsidR="00E44150" w:rsidRPr="00F864B2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864B2">
              <w:rPr>
                <w:rFonts w:asciiTheme="minorHAnsi" w:hAnsiTheme="minorHAnsi"/>
                <w:bCs/>
                <w:color w:val="000000"/>
              </w:rPr>
              <w:t>Crimmins, 2009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2374E5" w14:textId="77777777" w:rsidR="00E44150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 w:rsidRPr="00F864B2">
              <w:rPr>
                <w:rFonts w:asciiTheme="minorHAnsi" w:hAnsiTheme="minorHAnsi"/>
                <w:color w:val="000000"/>
              </w:rPr>
              <w:t xml:space="preserve">Chyu, </w:t>
            </w:r>
          </w:p>
          <w:p w14:paraId="724848A9" w14:textId="77777777" w:rsidR="00E44150" w:rsidRPr="00F864B2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 w:rsidRPr="00F864B2">
              <w:rPr>
                <w:rFonts w:asciiTheme="minorHAnsi" w:hAnsiTheme="minorHAnsi"/>
                <w:color w:val="000000"/>
              </w:rPr>
              <w:t>2011</w:t>
            </w:r>
          </w:p>
        </w:tc>
        <w:tc>
          <w:tcPr>
            <w:tcW w:w="1333" w:type="dxa"/>
            <w:tcBorders>
              <w:bottom w:val="single" w:sz="4" w:space="0" w:color="auto"/>
              <w:right w:val="nil"/>
            </w:tcBorders>
            <w:vAlign w:val="center"/>
          </w:tcPr>
          <w:p w14:paraId="5A186292" w14:textId="77777777" w:rsidR="00E44150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 w:rsidRPr="00F864B2">
              <w:rPr>
                <w:rFonts w:asciiTheme="minorHAnsi" w:hAnsiTheme="minorHAnsi"/>
                <w:color w:val="000000"/>
              </w:rPr>
              <w:t xml:space="preserve">Parente, </w:t>
            </w:r>
          </w:p>
          <w:p w14:paraId="748A5985" w14:textId="77777777" w:rsidR="00E44150" w:rsidRPr="00F864B2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 w:rsidRPr="00F864B2">
              <w:rPr>
                <w:rFonts w:asciiTheme="minorHAnsi" w:hAnsiTheme="minorHAnsi"/>
                <w:color w:val="000000"/>
              </w:rPr>
              <w:t>2013</w:t>
            </w: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994563" w14:textId="77777777" w:rsidR="00E44150" w:rsidRPr="00F864B2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864B2">
              <w:rPr>
                <w:rFonts w:asciiTheme="minorHAnsi" w:hAnsiTheme="minorHAnsi"/>
                <w:bCs/>
                <w:color w:val="000000"/>
              </w:rPr>
              <w:t>Morrison, 2013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14:paraId="6507F3C1" w14:textId="77777777" w:rsidR="00E44150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 w:rsidRPr="00F864B2">
              <w:rPr>
                <w:rFonts w:asciiTheme="minorHAnsi" w:hAnsiTheme="minorHAnsi"/>
                <w:color w:val="000000"/>
              </w:rPr>
              <w:t xml:space="preserve">Hux, </w:t>
            </w:r>
          </w:p>
          <w:p w14:paraId="7D1F18A3" w14:textId="77777777" w:rsidR="00E44150" w:rsidRPr="00F864B2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 w:rsidRPr="00F864B2">
              <w:rPr>
                <w:rFonts w:asciiTheme="minorHAnsi" w:hAnsiTheme="minorHAnsi"/>
                <w:color w:val="000000"/>
              </w:rPr>
              <w:t>2014</w:t>
            </w:r>
          </w:p>
        </w:tc>
      </w:tr>
      <w:tr w:rsidR="00E44150" w:rsidRPr="00372469" w14:paraId="588F3F78" w14:textId="77777777" w:rsidTr="00E44150">
        <w:trPr>
          <w:trHeight w:val="30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A638C" w14:textId="77777777" w:rsidR="00E44150" w:rsidRDefault="00E44150" w:rsidP="00E44150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High risk group determined: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89BBBE" w14:textId="77777777" w:rsidR="00E44150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Quartile  </w:t>
            </w:r>
          </w:p>
          <w:p w14:paraId="23F41F3F" w14:textId="77777777" w:rsidR="00E44150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cut-points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5F88B4" w14:textId="77777777" w:rsidR="00E44150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Clinical  cut-points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14:paraId="570C52E8" w14:textId="77777777" w:rsidR="00E44150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Quartile  cut-points</w:t>
            </w:r>
          </w:p>
        </w:tc>
        <w:tc>
          <w:tcPr>
            <w:tcW w:w="1333" w:type="dxa"/>
            <w:tcBorders>
              <w:bottom w:val="nil"/>
              <w:right w:val="nil"/>
            </w:tcBorders>
            <w:vAlign w:val="center"/>
          </w:tcPr>
          <w:p w14:paraId="0ED56F3E" w14:textId="77777777" w:rsidR="00E44150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Clinical  cut-points</w:t>
            </w: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14:paraId="2D1952A6" w14:textId="77777777" w:rsidR="00E44150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Quartile  cut-points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F847BD4" w14:textId="77777777" w:rsidR="00E44150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Quartile  cut-points</w:t>
            </w:r>
          </w:p>
        </w:tc>
      </w:tr>
      <w:tr w:rsidR="00E44150" w:rsidRPr="00372469" w14:paraId="5D9E7A2C" w14:textId="77777777" w:rsidTr="00E44150">
        <w:trPr>
          <w:trHeight w:val="30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2B511" w14:textId="77777777" w:rsidR="00E44150" w:rsidRPr="007621A8" w:rsidRDefault="00E44150" w:rsidP="00E44150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Total number: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68F1D1" w14:textId="77777777" w:rsidR="00E44150" w:rsidRPr="00372469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11B1F1" w14:textId="77777777" w:rsidR="00E44150" w:rsidRPr="00372469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14:paraId="4DE474A5" w14:textId="77777777" w:rsidR="00E44150" w:rsidRPr="00372469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333" w:type="dxa"/>
            <w:tcBorders>
              <w:bottom w:val="nil"/>
              <w:right w:val="nil"/>
            </w:tcBorders>
            <w:vAlign w:val="center"/>
          </w:tcPr>
          <w:p w14:paraId="505BAECA" w14:textId="77777777" w:rsidR="00E44150" w:rsidRPr="00372469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14:paraId="684D54D8" w14:textId="77777777" w:rsidR="00E44150" w:rsidRPr="00372469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9BCDE06" w14:textId="77777777" w:rsidR="00E44150" w:rsidRPr="00372469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</w:tr>
      <w:tr w:rsidR="00E44150" w:rsidRPr="00372469" w14:paraId="0F5E0714" w14:textId="77777777" w:rsidTr="00E44150">
        <w:trPr>
          <w:trHeight w:val="30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1DCB4" w14:textId="77777777" w:rsidR="00E44150" w:rsidRPr="007621A8" w:rsidRDefault="00E44150" w:rsidP="00E44150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</w:rPr>
            </w:pPr>
            <w:r w:rsidRPr="007621A8">
              <w:rPr>
                <w:rFonts w:asciiTheme="minorHAnsi" w:hAnsiTheme="minorHAnsi"/>
                <w:color w:val="000000"/>
              </w:rPr>
              <w:t>Inflammatory markers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3C9C63" w14:textId="77777777" w:rsidR="00E44150" w:rsidRPr="00372469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8683E" w14:textId="77777777" w:rsidR="00E44150" w:rsidRPr="00372469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14:paraId="7BD3EA09" w14:textId="77777777" w:rsidR="00E44150" w:rsidRPr="00372469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33" w:type="dxa"/>
            <w:tcBorders>
              <w:bottom w:val="nil"/>
              <w:right w:val="nil"/>
            </w:tcBorders>
            <w:vAlign w:val="center"/>
          </w:tcPr>
          <w:p w14:paraId="0BC66178" w14:textId="77777777" w:rsidR="00E44150" w:rsidRPr="00372469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14:paraId="5495F85B" w14:textId="77777777" w:rsidR="00E44150" w:rsidRPr="00372469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865AB01" w14:textId="77777777" w:rsidR="00E44150" w:rsidRPr="00372469" w:rsidRDefault="00E44150" w:rsidP="00E4415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E44150" w:rsidRPr="00372469" w14:paraId="100CE7F8" w14:textId="77777777" w:rsidTr="00E44150">
        <w:trPr>
          <w:trHeight w:val="30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24935" w14:textId="77777777" w:rsidR="00E44150" w:rsidRPr="007621A8" w:rsidRDefault="00E44150" w:rsidP="00E44150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7621A8">
              <w:rPr>
                <w:rFonts w:asciiTheme="minorHAnsi" w:hAnsiTheme="minorHAnsi"/>
                <w:color w:val="000000"/>
              </w:rPr>
              <w:t>C-reactive protein (mg/dL)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FF3FE8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>
              <w:rPr>
                <w:rFonts w:asciiTheme="minorHAnsi" w:hAnsiTheme="minorHAnsi"/>
              </w:rPr>
              <w:t>&gt; 0.48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2D439654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>
              <w:rPr>
                <w:rFonts w:asciiTheme="minorHAnsi" w:hAnsiTheme="minorHAnsi"/>
              </w:rPr>
              <w:t>&gt;</w:t>
            </w:r>
            <w:r w:rsidRPr="007621A8">
              <w:rPr>
                <w:rFonts w:asciiTheme="minorHAnsi" w:hAnsiTheme="minorHAnsi"/>
              </w:rPr>
              <w:t xml:space="preserve"> 0.3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14EACF7D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>
              <w:rPr>
                <w:rFonts w:asciiTheme="minorHAnsi" w:hAnsiTheme="minorHAnsi"/>
              </w:rPr>
              <w:t>&gt; 0.48</w:t>
            </w:r>
          </w:p>
        </w:tc>
        <w:tc>
          <w:tcPr>
            <w:tcW w:w="1333" w:type="dxa"/>
            <w:tcBorders>
              <w:top w:val="nil"/>
              <w:bottom w:val="nil"/>
              <w:right w:val="nil"/>
            </w:tcBorders>
          </w:tcPr>
          <w:p w14:paraId="0F26A004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>
              <w:rPr>
                <w:rFonts w:asciiTheme="minorHAnsi" w:hAnsiTheme="minorHAnsi"/>
              </w:rPr>
              <w:t>&gt;</w:t>
            </w:r>
            <w:r w:rsidRPr="007621A8">
              <w:rPr>
                <w:rFonts w:asciiTheme="minorHAnsi" w:hAnsiTheme="minorHAnsi"/>
              </w:rPr>
              <w:t xml:space="preserve"> 0.3</w:t>
            </w:r>
          </w:p>
        </w:tc>
        <w:tc>
          <w:tcPr>
            <w:tcW w:w="1367" w:type="dxa"/>
            <w:tcBorders>
              <w:left w:val="nil"/>
              <w:right w:val="nil"/>
            </w:tcBorders>
          </w:tcPr>
          <w:p w14:paraId="57D5765E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>
              <w:rPr>
                <w:rFonts w:asciiTheme="minorHAnsi" w:hAnsiTheme="minorHAnsi"/>
              </w:rPr>
              <w:t>&gt; 0.48</w:t>
            </w:r>
          </w:p>
        </w:tc>
        <w:tc>
          <w:tcPr>
            <w:tcW w:w="1260" w:type="dxa"/>
            <w:tcBorders>
              <w:left w:val="nil"/>
            </w:tcBorders>
          </w:tcPr>
          <w:p w14:paraId="332AE7D7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>
              <w:rPr>
                <w:rFonts w:asciiTheme="minorHAnsi" w:hAnsiTheme="minorHAnsi"/>
              </w:rPr>
              <w:t>&gt; 0.48</w:t>
            </w:r>
          </w:p>
        </w:tc>
      </w:tr>
      <w:tr w:rsidR="00E44150" w:rsidRPr="00372469" w14:paraId="70B864F4" w14:textId="77777777" w:rsidTr="00E44150">
        <w:trPr>
          <w:trHeight w:val="30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BC5CC" w14:textId="77777777" w:rsidR="00E44150" w:rsidRPr="007621A8" w:rsidRDefault="00E44150" w:rsidP="00E44150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7621A8">
              <w:rPr>
                <w:rFonts w:asciiTheme="minorHAnsi" w:hAnsiTheme="minorHAnsi"/>
                <w:color w:val="000000"/>
              </w:rPr>
              <w:t>Serum albumin (g/dL)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4FFF7F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≤ 4.1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0409838E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&lt; 3.8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7C089EF2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≤ 4.1</w:t>
            </w:r>
          </w:p>
        </w:tc>
        <w:tc>
          <w:tcPr>
            <w:tcW w:w="1333" w:type="dxa"/>
            <w:tcBorders>
              <w:top w:val="nil"/>
              <w:bottom w:val="nil"/>
              <w:right w:val="nil"/>
            </w:tcBorders>
          </w:tcPr>
          <w:p w14:paraId="71C6AB3D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&lt;</w:t>
            </w:r>
            <w:r>
              <w:rPr>
                <w:rFonts w:asciiTheme="minorHAnsi" w:hAnsiTheme="minorHAnsi"/>
              </w:rPr>
              <w:t xml:space="preserve"> </w:t>
            </w:r>
            <w:r w:rsidRPr="007621A8">
              <w:rPr>
                <w:rFonts w:asciiTheme="minorHAnsi" w:hAnsiTheme="minorHAnsi"/>
              </w:rPr>
              <w:t>4.0</w:t>
            </w:r>
          </w:p>
        </w:tc>
        <w:tc>
          <w:tcPr>
            <w:tcW w:w="1367" w:type="dxa"/>
            <w:tcBorders>
              <w:left w:val="nil"/>
              <w:right w:val="nil"/>
            </w:tcBorders>
          </w:tcPr>
          <w:p w14:paraId="6DA430C7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≤ 4.1</w:t>
            </w:r>
          </w:p>
        </w:tc>
        <w:tc>
          <w:tcPr>
            <w:tcW w:w="1260" w:type="dxa"/>
            <w:tcBorders>
              <w:left w:val="nil"/>
            </w:tcBorders>
          </w:tcPr>
          <w:p w14:paraId="4EF0389B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≤ 4.1</w:t>
            </w:r>
          </w:p>
        </w:tc>
      </w:tr>
      <w:tr w:rsidR="00E44150" w:rsidRPr="00372469" w14:paraId="3C366EF2" w14:textId="77777777" w:rsidTr="00E44150">
        <w:trPr>
          <w:trHeight w:val="30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5CBE4" w14:textId="77777777" w:rsidR="00E44150" w:rsidRPr="007621A8" w:rsidRDefault="00E44150" w:rsidP="00E44150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</w:rPr>
            </w:pPr>
            <w:r w:rsidRPr="007621A8">
              <w:rPr>
                <w:rFonts w:asciiTheme="minorHAnsi" w:hAnsiTheme="minorHAnsi"/>
                <w:color w:val="000000"/>
              </w:rPr>
              <w:t>Metabolic factors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6BCF5C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4CFEB4B1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6266D3F3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333" w:type="dxa"/>
            <w:tcBorders>
              <w:top w:val="nil"/>
              <w:bottom w:val="nil"/>
              <w:right w:val="nil"/>
            </w:tcBorders>
          </w:tcPr>
          <w:p w14:paraId="1DDDEF77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367" w:type="dxa"/>
            <w:tcBorders>
              <w:left w:val="nil"/>
              <w:right w:val="nil"/>
            </w:tcBorders>
          </w:tcPr>
          <w:p w14:paraId="66386811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260" w:type="dxa"/>
            <w:tcBorders>
              <w:left w:val="nil"/>
            </w:tcBorders>
          </w:tcPr>
          <w:p w14:paraId="1CFD4B17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</w:tr>
      <w:tr w:rsidR="00E44150" w:rsidRPr="00372469" w14:paraId="635E1516" w14:textId="77777777" w:rsidTr="00E44150">
        <w:trPr>
          <w:trHeight w:val="30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B1F98" w14:textId="77777777" w:rsidR="00E44150" w:rsidRPr="007621A8" w:rsidRDefault="00E44150" w:rsidP="00E44150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7621A8">
              <w:rPr>
                <w:rFonts w:asciiTheme="minorHAnsi" w:hAnsiTheme="minorHAnsi"/>
                <w:color w:val="000000"/>
              </w:rPr>
              <w:t>Body mass index (kg/m</w:t>
            </w:r>
            <w:r w:rsidRPr="007621A8">
              <w:rPr>
                <w:rFonts w:asciiTheme="minorHAnsi" w:hAnsiTheme="minorHAnsi"/>
                <w:color w:val="000000"/>
                <w:vertAlign w:val="superscript"/>
              </w:rPr>
              <w:t>2</w:t>
            </w:r>
            <w:r w:rsidRPr="007621A8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07D05A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&gt; 31.1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56D0E722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≥ 30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273FE669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&gt; 31.1</w:t>
            </w:r>
          </w:p>
        </w:tc>
        <w:tc>
          <w:tcPr>
            <w:tcW w:w="1333" w:type="dxa"/>
            <w:tcBorders>
              <w:top w:val="nil"/>
              <w:bottom w:val="nil"/>
              <w:right w:val="nil"/>
            </w:tcBorders>
          </w:tcPr>
          <w:p w14:paraId="59770290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≥ 30</w:t>
            </w:r>
          </w:p>
        </w:tc>
        <w:tc>
          <w:tcPr>
            <w:tcW w:w="1367" w:type="dxa"/>
            <w:tcBorders>
              <w:left w:val="nil"/>
              <w:right w:val="nil"/>
            </w:tcBorders>
          </w:tcPr>
          <w:p w14:paraId="45AA45E6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260" w:type="dxa"/>
            <w:tcBorders>
              <w:left w:val="nil"/>
            </w:tcBorders>
          </w:tcPr>
          <w:p w14:paraId="30485E80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&gt; 31.1</w:t>
            </w:r>
          </w:p>
        </w:tc>
      </w:tr>
      <w:tr w:rsidR="00E44150" w:rsidRPr="00372469" w14:paraId="7CF4A6A3" w14:textId="77777777" w:rsidTr="00E44150">
        <w:trPr>
          <w:trHeight w:val="30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BDCDD" w14:textId="77777777" w:rsidR="00E44150" w:rsidRPr="007621A8" w:rsidRDefault="00E44150" w:rsidP="00E44150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Glyco</w:t>
            </w:r>
            <w:r w:rsidRPr="007621A8">
              <w:rPr>
                <w:rFonts w:asciiTheme="minorHAnsi" w:hAnsiTheme="minorHAnsi"/>
              </w:rPr>
              <w:t>hemoglobin</w:t>
            </w:r>
            <w:r w:rsidRPr="007621A8">
              <w:rPr>
                <w:rFonts w:asciiTheme="minorHAnsi" w:hAnsiTheme="minorHAnsi"/>
                <w:color w:val="000000"/>
              </w:rPr>
              <w:t>: (%)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34C507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&gt; 5.3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497786F8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≥  6.4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0981A174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&gt; 5.3</w:t>
            </w:r>
          </w:p>
        </w:tc>
        <w:tc>
          <w:tcPr>
            <w:tcW w:w="1333" w:type="dxa"/>
            <w:tcBorders>
              <w:top w:val="nil"/>
              <w:bottom w:val="nil"/>
              <w:right w:val="nil"/>
            </w:tcBorders>
          </w:tcPr>
          <w:p w14:paraId="4D1B8BF3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≥  6.4</w:t>
            </w:r>
          </w:p>
        </w:tc>
        <w:tc>
          <w:tcPr>
            <w:tcW w:w="1367" w:type="dxa"/>
            <w:tcBorders>
              <w:left w:val="nil"/>
              <w:right w:val="nil"/>
            </w:tcBorders>
          </w:tcPr>
          <w:p w14:paraId="34D4B495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&gt; 5.3</w:t>
            </w:r>
          </w:p>
        </w:tc>
        <w:tc>
          <w:tcPr>
            <w:tcW w:w="1260" w:type="dxa"/>
            <w:tcBorders>
              <w:left w:val="nil"/>
            </w:tcBorders>
          </w:tcPr>
          <w:p w14:paraId="5F2080A8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&gt; 5.3</w:t>
            </w:r>
          </w:p>
        </w:tc>
      </w:tr>
      <w:tr w:rsidR="00E44150" w:rsidRPr="00372469" w14:paraId="0A2CD943" w14:textId="77777777" w:rsidTr="00E44150">
        <w:trPr>
          <w:trHeight w:val="30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9B3D9" w14:textId="77777777" w:rsidR="00E44150" w:rsidRPr="007621A8" w:rsidRDefault="00E44150" w:rsidP="00E44150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</w:rPr>
            </w:pPr>
            <w:r w:rsidRPr="007621A8">
              <w:rPr>
                <w:rFonts w:asciiTheme="minorHAnsi" w:hAnsiTheme="minorHAnsi"/>
                <w:color w:val="000000"/>
              </w:rPr>
              <w:t>Cardiovascular markers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6576C2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6489ABAB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108BABFF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top w:val="nil"/>
              <w:bottom w:val="nil"/>
              <w:right w:val="nil"/>
            </w:tcBorders>
          </w:tcPr>
          <w:p w14:paraId="59520630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367" w:type="dxa"/>
            <w:tcBorders>
              <w:left w:val="nil"/>
              <w:right w:val="nil"/>
            </w:tcBorders>
          </w:tcPr>
          <w:p w14:paraId="3AC45440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260" w:type="dxa"/>
            <w:tcBorders>
              <w:left w:val="nil"/>
            </w:tcBorders>
          </w:tcPr>
          <w:p w14:paraId="18E0FBE9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</w:tr>
      <w:tr w:rsidR="00E44150" w:rsidRPr="00372469" w14:paraId="65409B13" w14:textId="77777777" w:rsidTr="00E44150">
        <w:trPr>
          <w:trHeight w:val="30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79AFB" w14:textId="77777777" w:rsidR="00E44150" w:rsidRPr="007621A8" w:rsidRDefault="00E44150" w:rsidP="00E44150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7621A8">
              <w:rPr>
                <w:rFonts w:asciiTheme="minorHAnsi" w:hAnsiTheme="minorHAnsi"/>
                <w:color w:val="000000"/>
              </w:rPr>
              <w:t>Systolic blood pressure (mm Hg)</w:t>
            </w:r>
            <w:r>
              <w:rPr>
                <w:rFonts w:asciiTheme="minorHAnsi" w:hAnsiTheme="minorHAnsi"/>
                <w:vertAlign w:val="superscript"/>
              </w:rPr>
              <w:t xml:space="preserve"> 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217F80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&gt; 117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24253621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≥ 140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429A67A8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&gt; 117</w:t>
            </w:r>
          </w:p>
        </w:tc>
        <w:tc>
          <w:tcPr>
            <w:tcW w:w="1333" w:type="dxa"/>
            <w:tcBorders>
              <w:top w:val="nil"/>
              <w:bottom w:val="nil"/>
              <w:right w:val="nil"/>
            </w:tcBorders>
          </w:tcPr>
          <w:p w14:paraId="38875F70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≥ 140</w:t>
            </w:r>
          </w:p>
        </w:tc>
        <w:tc>
          <w:tcPr>
            <w:tcW w:w="1367" w:type="dxa"/>
            <w:tcBorders>
              <w:left w:val="nil"/>
              <w:right w:val="nil"/>
            </w:tcBorders>
          </w:tcPr>
          <w:p w14:paraId="3C652980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&gt; 117</w:t>
            </w:r>
          </w:p>
        </w:tc>
        <w:tc>
          <w:tcPr>
            <w:tcW w:w="1260" w:type="dxa"/>
            <w:tcBorders>
              <w:left w:val="nil"/>
            </w:tcBorders>
          </w:tcPr>
          <w:p w14:paraId="0FF5D6DD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&gt; 117</w:t>
            </w:r>
          </w:p>
        </w:tc>
      </w:tr>
      <w:tr w:rsidR="00E44150" w:rsidRPr="00372469" w14:paraId="0B884189" w14:textId="77777777" w:rsidTr="00E44150">
        <w:trPr>
          <w:trHeight w:val="30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A09FB" w14:textId="77777777" w:rsidR="00E44150" w:rsidRPr="007621A8" w:rsidRDefault="00E44150" w:rsidP="00E44150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7621A8">
              <w:rPr>
                <w:rFonts w:asciiTheme="minorHAnsi" w:hAnsiTheme="minorHAnsi"/>
                <w:color w:val="000000"/>
              </w:rPr>
              <w:t>Diastolic blood pressure (mm Hg)</w:t>
            </w:r>
            <w:r>
              <w:rPr>
                <w:rFonts w:asciiTheme="minorHAnsi" w:hAnsiTheme="minorHAnsi"/>
                <w:vertAlign w:val="superscript"/>
              </w:rPr>
              <w:t xml:space="preserve"> 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ADD979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&gt; 76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547CB107" w14:textId="77777777" w:rsidR="00E44150" w:rsidRPr="00C01119" w:rsidRDefault="00E44150" w:rsidP="00E44150">
            <w:pPr>
              <w:tabs>
                <w:tab w:val="left" w:pos="450"/>
                <w:tab w:val="center" w:pos="522"/>
              </w:tabs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≥ 90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4EA02A9D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&gt; 76</w:t>
            </w:r>
          </w:p>
        </w:tc>
        <w:tc>
          <w:tcPr>
            <w:tcW w:w="1333" w:type="dxa"/>
            <w:tcBorders>
              <w:top w:val="nil"/>
              <w:bottom w:val="nil"/>
              <w:right w:val="nil"/>
            </w:tcBorders>
          </w:tcPr>
          <w:p w14:paraId="718FB767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≥ 90</w:t>
            </w:r>
          </w:p>
        </w:tc>
        <w:tc>
          <w:tcPr>
            <w:tcW w:w="1367" w:type="dxa"/>
            <w:tcBorders>
              <w:left w:val="nil"/>
              <w:right w:val="nil"/>
            </w:tcBorders>
          </w:tcPr>
          <w:p w14:paraId="317BD99D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&gt; 76</w:t>
            </w:r>
          </w:p>
        </w:tc>
        <w:tc>
          <w:tcPr>
            <w:tcW w:w="1260" w:type="dxa"/>
            <w:tcBorders>
              <w:left w:val="nil"/>
            </w:tcBorders>
          </w:tcPr>
          <w:p w14:paraId="775824CA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&gt; 76</w:t>
            </w:r>
          </w:p>
        </w:tc>
      </w:tr>
      <w:tr w:rsidR="00E44150" w:rsidRPr="00372469" w14:paraId="1330A03F" w14:textId="77777777" w:rsidTr="00E44150">
        <w:trPr>
          <w:trHeight w:val="30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6EAD5" w14:textId="77777777" w:rsidR="00E44150" w:rsidRPr="007621A8" w:rsidRDefault="00E44150" w:rsidP="00E44150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7621A8">
              <w:rPr>
                <w:rFonts w:asciiTheme="minorHAnsi" w:hAnsiTheme="minorHAnsi"/>
                <w:color w:val="000000"/>
              </w:rPr>
              <w:t>High-density lipoprotein (mg/dL)</w:t>
            </w:r>
            <w:r>
              <w:rPr>
                <w:rFonts w:asciiTheme="minorHAnsi" w:hAnsiTheme="minorHAnsi"/>
                <w:vertAlign w:val="superscript"/>
              </w:rPr>
              <w:t xml:space="preserve"> 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AB9A7D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2E526E39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&lt; 40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2B5B5F1E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≤ 43</w:t>
            </w:r>
          </w:p>
        </w:tc>
        <w:tc>
          <w:tcPr>
            <w:tcW w:w="1333" w:type="dxa"/>
            <w:tcBorders>
              <w:top w:val="nil"/>
              <w:bottom w:val="nil"/>
              <w:right w:val="nil"/>
            </w:tcBorders>
          </w:tcPr>
          <w:p w14:paraId="6B5CD6A4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&lt; 50</w:t>
            </w:r>
          </w:p>
        </w:tc>
        <w:tc>
          <w:tcPr>
            <w:tcW w:w="1367" w:type="dxa"/>
            <w:tcBorders>
              <w:left w:val="nil"/>
              <w:right w:val="nil"/>
            </w:tcBorders>
          </w:tcPr>
          <w:p w14:paraId="63A33C20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≤ 43</w:t>
            </w:r>
          </w:p>
        </w:tc>
        <w:tc>
          <w:tcPr>
            <w:tcW w:w="1260" w:type="dxa"/>
            <w:tcBorders>
              <w:left w:val="nil"/>
            </w:tcBorders>
          </w:tcPr>
          <w:p w14:paraId="08467CDB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≤ 43</w:t>
            </w:r>
          </w:p>
        </w:tc>
      </w:tr>
      <w:tr w:rsidR="00E44150" w:rsidRPr="00372469" w14:paraId="4EC0CC0B" w14:textId="77777777" w:rsidTr="00E44150">
        <w:trPr>
          <w:trHeight w:val="30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5DB0" w14:textId="77777777" w:rsidR="00E44150" w:rsidRPr="007621A8" w:rsidRDefault="00E44150" w:rsidP="00E44150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7621A8">
              <w:rPr>
                <w:rFonts w:asciiTheme="minorHAnsi" w:hAnsiTheme="minorHAnsi"/>
                <w:color w:val="000000"/>
              </w:rPr>
              <w:t>Total cholesterol (mg/dL)</w:t>
            </w:r>
            <w:r>
              <w:rPr>
                <w:rFonts w:asciiTheme="minorHAnsi" w:hAnsiTheme="minorHAnsi"/>
                <w:vertAlign w:val="superscript"/>
              </w:rPr>
              <w:t xml:space="preserve"> 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9709BF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&gt; 210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3B5DB1F0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≥ 240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14801DF4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 w:rsidRPr="007621A8">
              <w:rPr>
                <w:rFonts w:asciiTheme="minorHAnsi" w:hAnsiTheme="minorHAnsi"/>
              </w:rPr>
              <w:t>&gt; 210</w:t>
            </w:r>
          </w:p>
        </w:tc>
        <w:tc>
          <w:tcPr>
            <w:tcW w:w="1333" w:type="dxa"/>
            <w:tcBorders>
              <w:top w:val="nil"/>
              <w:bottom w:val="nil"/>
              <w:right w:val="nil"/>
            </w:tcBorders>
          </w:tcPr>
          <w:p w14:paraId="1209E459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≥ 240</w:t>
            </w:r>
          </w:p>
        </w:tc>
        <w:tc>
          <w:tcPr>
            <w:tcW w:w="1367" w:type="dxa"/>
            <w:tcBorders>
              <w:left w:val="nil"/>
              <w:right w:val="nil"/>
            </w:tcBorders>
          </w:tcPr>
          <w:p w14:paraId="2089E17B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&gt; 210</w:t>
            </w:r>
          </w:p>
        </w:tc>
        <w:tc>
          <w:tcPr>
            <w:tcW w:w="1260" w:type="dxa"/>
            <w:tcBorders>
              <w:left w:val="nil"/>
            </w:tcBorders>
          </w:tcPr>
          <w:p w14:paraId="649BF988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&gt; 210</w:t>
            </w:r>
          </w:p>
        </w:tc>
      </w:tr>
      <w:tr w:rsidR="00E44150" w:rsidRPr="00372469" w14:paraId="461A825B" w14:textId="77777777" w:rsidTr="00E44150">
        <w:trPr>
          <w:trHeight w:val="30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0A294" w14:textId="77777777" w:rsidR="00E44150" w:rsidRPr="007621A8" w:rsidRDefault="00E44150" w:rsidP="00E44150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7621A8">
              <w:rPr>
                <w:rFonts w:asciiTheme="minorHAnsi" w:hAnsiTheme="minorHAnsi"/>
                <w:color w:val="000000"/>
              </w:rPr>
              <w:t>Triglyceride (mg/dL)</w:t>
            </w:r>
            <w:r w:rsidRPr="00EE10E4">
              <w:rPr>
                <w:rFonts w:asciiTheme="minorHAnsi" w:hAnsiTheme="minorHAnsi"/>
                <w:color w:val="000000"/>
                <w:vertAlign w:val="superscript"/>
              </w:rPr>
              <w:t>a</w:t>
            </w:r>
            <w:r>
              <w:rPr>
                <w:rFonts w:asciiTheme="minorHAnsi" w:hAnsiTheme="minorHAnsi"/>
                <w:color w:val="000000"/>
                <w:vertAlign w:val="superscript"/>
              </w:rPr>
              <w:t>b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49E6C6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&gt; 139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6927200E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1D05A91B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333" w:type="dxa"/>
            <w:tcBorders>
              <w:top w:val="nil"/>
              <w:bottom w:val="nil"/>
              <w:right w:val="nil"/>
            </w:tcBorders>
          </w:tcPr>
          <w:p w14:paraId="7D35397C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367" w:type="dxa"/>
            <w:tcBorders>
              <w:left w:val="nil"/>
              <w:right w:val="nil"/>
            </w:tcBorders>
          </w:tcPr>
          <w:p w14:paraId="7DEB5197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260" w:type="dxa"/>
            <w:tcBorders>
              <w:left w:val="nil"/>
            </w:tcBorders>
          </w:tcPr>
          <w:p w14:paraId="47A5FE53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</w:tr>
      <w:tr w:rsidR="00E44150" w:rsidRPr="00372469" w14:paraId="670361C3" w14:textId="77777777" w:rsidTr="00E44150">
        <w:trPr>
          <w:trHeight w:val="27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7AC7D" w14:textId="77777777" w:rsidR="00E44150" w:rsidRPr="007621A8" w:rsidRDefault="00E44150" w:rsidP="00E44150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Homocysteine (µmol/</w:t>
            </w:r>
            <w:r w:rsidRPr="007621A8">
              <w:rPr>
                <w:rFonts w:asciiTheme="minorHAnsi" w:hAnsiTheme="minorHAnsi"/>
                <w:color w:val="000000"/>
              </w:rPr>
              <w:t>L)</w:t>
            </w:r>
            <w:r>
              <w:rPr>
                <w:rFonts w:asciiTheme="minorHAnsi" w:hAnsiTheme="minorHAnsi"/>
                <w:vertAlign w:val="superscript"/>
              </w:rPr>
              <w:t xml:space="preserve"> a</w:t>
            </w:r>
            <w:r>
              <w:rPr>
                <w:rFonts w:asciiTheme="minorHAnsi" w:hAnsiTheme="minorHAnsi"/>
                <w:color w:val="000000"/>
                <w:vertAlign w:val="superscript"/>
              </w:rPr>
              <w:t>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70D933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&gt; 7.8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334976A9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245A08FD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&gt; 7.8</w:t>
            </w:r>
          </w:p>
        </w:tc>
        <w:tc>
          <w:tcPr>
            <w:tcW w:w="1333" w:type="dxa"/>
            <w:tcBorders>
              <w:top w:val="nil"/>
              <w:bottom w:val="nil"/>
              <w:right w:val="nil"/>
            </w:tcBorders>
          </w:tcPr>
          <w:p w14:paraId="2D17925A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367" w:type="dxa"/>
            <w:tcBorders>
              <w:left w:val="nil"/>
              <w:right w:val="nil"/>
            </w:tcBorders>
          </w:tcPr>
          <w:p w14:paraId="7C564243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&gt; 7.8</w:t>
            </w:r>
          </w:p>
        </w:tc>
        <w:tc>
          <w:tcPr>
            <w:tcW w:w="1260" w:type="dxa"/>
            <w:tcBorders>
              <w:left w:val="nil"/>
            </w:tcBorders>
          </w:tcPr>
          <w:p w14:paraId="1438EDB1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</w:tr>
      <w:tr w:rsidR="00E44150" w:rsidRPr="00372469" w14:paraId="6DBC4324" w14:textId="77777777" w:rsidTr="00E44150">
        <w:trPr>
          <w:trHeight w:val="27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A541A" w14:textId="77777777" w:rsidR="00E44150" w:rsidRPr="007621A8" w:rsidRDefault="00E44150" w:rsidP="00E44150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7621A8">
              <w:rPr>
                <w:rFonts w:asciiTheme="minorHAnsi" w:hAnsiTheme="minorHAnsi"/>
                <w:color w:val="000000"/>
              </w:rPr>
              <w:t>Pulse (beats/min)</w:t>
            </w:r>
            <w:r>
              <w:rPr>
                <w:rFonts w:asciiTheme="minorHAnsi" w:hAnsiTheme="minorHAnsi"/>
                <w:vertAlign w:val="superscript"/>
              </w:rPr>
              <w:t xml:space="preserve"> 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093040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138CFA0B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≥ 90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226135F7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&gt; 81</w:t>
            </w:r>
          </w:p>
        </w:tc>
        <w:tc>
          <w:tcPr>
            <w:tcW w:w="1333" w:type="dxa"/>
            <w:tcBorders>
              <w:top w:val="nil"/>
              <w:bottom w:val="nil"/>
              <w:right w:val="nil"/>
            </w:tcBorders>
          </w:tcPr>
          <w:p w14:paraId="06600087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≥ 90</w:t>
            </w:r>
          </w:p>
        </w:tc>
        <w:tc>
          <w:tcPr>
            <w:tcW w:w="1367" w:type="dxa"/>
            <w:tcBorders>
              <w:left w:val="nil"/>
              <w:right w:val="nil"/>
            </w:tcBorders>
          </w:tcPr>
          <w:p w14:paraId="2C00EC92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&gt; 81</w:t>
            </w:r>
          </w:p>
        </w:tc>
        <w:tc>
          <w:tcPr>
            <w:tcW w:w="1260" w:type="dxa"/>
            <w:tcBorders>
              <w:left w:val="nil"/>
            </w:tcBorders>
          </w:tcPr>
          <w:p w14:paraId="3A80795A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</w:tr>
      <w:tr w:rsidR="00E44150" w:rsidRPr="00372469" w14:paraId="7857D4AF" w14:textId="77777777" w:rsidTr="00E44150">
        <w:trPr>
          <w:trHeight w:val="276"/>
        </w:trPr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68A6EC" w14:textId="77777777" w:rsidR="00E44150" w:rsidRPr="007621A8" w:rsidRDefault="00E44150" w:rsidP="00E44150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</w:rPr>
            </w:pPr>
            <w:r w:rsidRPr="007621A8">
              <w:rPr>
                <w:rFonts w:asciiTheme="minorHAnsi" w:hAnsiTheme="minorHAnsi"/>
                <w:color w:val="000000"/>
              </w:rPr>
              <w:t>Other marker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D8ACD6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526B664E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7D40B2FF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333" w:type="dxa"/>
            <w:tcBorders>
              <w:top w:val="nil"/>
              <w:right w:val="nil"/>
            </w:tcBorders>
          </w:tcPr>
          <w:p w14:paraId="361FD9B9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367" w:type="dxa"/>
            <w:tcBorders>
              <w:left w:val="nil"/>
              <w:right w:val="nil"/>
            </w:tcBorders>
          </w:tcPr>
          <w:p w14:paraId="7EF0560F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260" w:type="dxa"/>
            <w:tcBorders>
              <w:left w:val="nil"/>
            </w:tcBorders>
          </w:tcPr>
          <w:p w14:paraId="65228511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</w:tr>
      <w:tr w:rsidR="00E44150" w:rsidRPr="00372469" w14:paraId="61E13630" w14:textId="77777777" w:rsidTr="00E44150">
        <w:trPr>
          <w:trHeight w:val="276"/>
        </w:trPr>
        <w:tc>
          <w:tcPr>
            <w:tcW w:w="42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8732E9" w14:textId="77777777" w:rsidR="00E44150" w:rsidRPr="007621A8" w:rsidRDefault="00E44150" w:rsidP="00E44150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Serum</w:t>
            </w:r>
            <w:r w:rsidRPr="007621A8">
              <w:rPr>
                <w:rFonts w:asciiTheme="minorHAnsi" w:hAnsiTheme="minorHAnsi"/>
                <w:color w:val="000000"/>
              </w:rPr>
              <w:t xml:space="preserve"> creatinine (mg/dL)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9B8FFDE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593CBEB7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A6D4EDF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333" w:type="dxa"/>
            <w:tcBorders>
              <w:top w:val="nil"/>
            </w:tcBorders>
          </w:tcPr>
          <w:p w14:paraId="1E777311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367" w:type="dxa"/>
          </w:tcPr>
          <w:p w14:paraId="67861389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>
              <w:rPr>
                <w:rFonts w:asciiTheme="minorHAnsi" w:hAnsiTheme="minorHAnsi"/>
              </w:rPr>
              <w:t>&gt;0.80</w:t>
            </w:r>
          </w:p>
        </w:tc>
        <w:tc>
          <w:tcPr>
            <w:tcW w:w="1260" w:type="dxa"/>
          </w:tcPr>
          <w:p w14:paraId="1DA87019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</w:tr>
      <w:tr w:rsidR="00E44150" w:rsidRPr="00372469" w14:paraId="35945764" w14:textId="77777777" w:rsidTr="00E44150">
        <w:trPr>
          <w:trHeight w:val="276"/>
        </w:trPr>
        <w:tc>
          <w:tcPr>
            <w:tcW w:w="42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E8B7BE" w14:textId="77777777" w:rsidR="00E44150" w:rsidRPr="007621A8" w:rsidRDefault="00E44150" w:rsidP="00E44150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7621A8">
              <w:rPr>
                <w:rFonts w:asciiTheme="minorHAnsi" w:hAnsiTheme="minorHAnsi"/>
                <w:color w:val="000000"/>
              </w:rPr>
              <w:t>Urine creatinine (mg/dL)</w:t>
            </w:r>
            <w:r>
              <w:rPr>
                <w:rFonts w:asciiTheme="minorHAnsi" w:hAnsiTheme="minorHAnsi"/>
                <w:vertAlign w:val="superscript"/>
              </w:rPr>
              <w:t xml:space="preserve"> a</w:t>
            </w:r>
          </w:p>
        </w:tc>
        <w:tc>
          <w:tcPr>
            <w:tcW w:w="16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5DDA181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  <w:r w:rsidRPr="007621A8">
              <w:rPr>
                <w:rFonts w:asciiTheme="minorHAnsi" w:hAnsiTheme="minorHAnsi"/>
              </w:rPr>
              <w:t>&lt; 63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3289B585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6805791E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333" w:type="dxa"/>
            <w:tcBorders>
              <w:right w:val="nil"/>
            </w:tcBorders>
          </w:tcPr>
          <w:p w14:paraId="350470E1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367" w:type="dxa"/>
            <w:tcBorders>
              <w:left w:val="nil"/>
              <w:right w:val="nil"/>
            </w:tcBorders>
          </w:tcPr>
          <w:p w14:paraId="066B40AF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260" w:type="dxa"/>
            <w:tcBorders>
              <w:left w:val="nil"/>
            </w:tcBorders>
          </w:tcPr>
          <w:p w14:paraId="5B9D1DFD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</w:tr>
      <w:tr w:rsidR="00E44150" w:rsidRPr="00372469" w14:paraId="335B6056" w14:textId="77777777" w:rsidTr="00E44150">
        <w:trPr>
          <w:trHeight w:val="276"/>
        </w:trPr>
        <w:tc>
          <w:tcPr>
            <w:tcW w:w="4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9610F" w14:textId="77777777" w:rsidR="00E44150" w:rsidRPr="007621A8" w:rsidRDefault="00E44150" w:rsidP="00E44150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</w:t>
            </w:r>
            <w:r w:rsidRPr="007621A8">
              <w:rPr>
                <w:rFonts w:asciiTheme="minorHAnsi" w:hAnsiTheme="minorHAnsi"/>
                <w:color w:val="000000"/>
              </w:rPr>
              <w:t>reatinine</w:t>
            </w:r>
            <w:r>
              <w:rPr>
                <w:rFonts w:asciiTheme="minorHAnsi" w:hAnsiTheme="minorHAnsi"/>
                <w:color w:val="000000"/>
              </w:rPr>
              <w:t xml:space="preserve"> clearance (mL/min</w:t>
            </w:r>
            <w:r w:rsidRPr="007621A8">
              <w:rPr>
                <w:rFonts w:asciiTheme="minorHAnsi" w:hAnsiTheme="minorHAnsi"/>
                <w:color w:val="000000"/>
              </w:rPr>
              <w:t>)</w:t>
            </w:r>
            <w:r>
              <w:rPr>
                <w:rFonts w:asciiTheme="minorHAnsi" w:hAnsiTheme="minorHAnsi"/>
                <w:vertAlign w:val="superscript"/>
              </w:rPr>
              <w:t xml:space="preserve"> a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3D4C1A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9D3824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7FADD9" w14:textId="77777777" w:rsidR="00E44150" w:rsidRPr="00E5219A" w:rsidRDefault="00E44150" w:rsidP="00E4415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333" w:type="dxa"/>
            <w:tcBorders>
              <w:bottom w:val="single" w:sz="4" w:space="0" w:color="auto"/>
              <w:right w:val="nil"/>
            </w:tcBorders>
          </w:tcPr>
          <w:p w14:paraId="733D1F77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</w:tcPr>
          <w:p w14:paraId="0AED1CEF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457BA450" w14:textId="77777777" w:rsidR="00E44150" w:rsidRPr="00C01119" w:rsidRDefault="00E44150" w:rsidP="00E44150">
            <w:pPr>
              <w:spacing w:before="0" w:after="0" w:line="240" w:lineRule="auto"/>
              <w:contextualSpacing/>
              <w:jc w:val="center"/>
              <w:rPr>
                <w:b/>
              </w:rPr>
            </w:pPr>
            <w:r>
              <w:rPr>
                <w:rFonts w:asciiTheme="minorHAnsi" w:hAnsiTheme="minorHAnsi"/>
              </w:rPr>
              <w:t>≤</w:t>
            </w:r>
            <w:r w:rsidRPr="00ED614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98.6</w:t>
            </w:r>
          </w:p>
        </w:tc>
      </w:tr>
    </w:tbl>
    <w:p w14:paraId="538BA3D3" w14:textId="77777777" w:rsidR="00E44150" w:rsidRDefault="00E44150" w:rsidP="00061FE0">
      <w:pPr>
        <w:rPr>
          <w:rFonts w:asciiTheme="minorHAnsi" w:hAnsiTheme="minorHAnsi"/>
        </w:rPr>
      </w:pPr>
    </w:p>
    <w:p w14:paraId="40ADBC47" w14:textId="61D79D85" w:rsidR="00D61F07" w:rsidRPr="000107AF" w:rsidRDefault="00D61F07" w:rsidP="00061FE0">
      <w:pPr>
        <w:rPr>
          <w:rFonts w:asciiTheme="minorHAnsi" w:hAnsiTheme="minorHAnsi"/>
        </w:rPr>
      </w:pPr>
      <w:r w:rsidRPr="005D5F99">
        <w:rPr>
          <w:rFonts w:asciiTheme="minorHAnsi" w:hAnsiTheme="minorHAnsi"/>
        </w:rPr>
        <w:t>Supplemental table</w:t>
      </w:r>
      <w:r w:rsidR="00E44150">
        <w:rPr>
          <w:rFonts w:asciiTheme="minorHAnsi" w:hAnsiTheme="minorHAnsi"/>
        </w:rPr>
        <w:t xml:space="preserve"> 3</w:t>
      </w:r>
      <w:r w:rsidRPr="005D5F99">
        <w:rPr>
          <w:rFonts w:asciiTheme="minorHAnsi" w:hAnsiTheme="minorHAnsi"/>
        </w:rPr>
        <w:t xml:space="preserve">: </w:t>
      </w:r>
      <w:r w:rsidRPr="005D5F99">
        <w:rPr>
          <w:color w:val="000000"/>
        </w:rPr>
        <w:t>Characteristics of non-pregnant reproductive aged women (20</w:t>
      </w:r>
      <w:r w:rsidRPr="007621A8">
        <w:rPr>
          <w:rFonts w:asciiTheme="minorHAnsi" w:hAnsiTheme="minorHAnsi"/>
        </w:rPr>
        <w:t>–</w:t>
      </w:r>
      <w:r w:rsidRPr="005D5F99">
        <w:rPr>
          <w:color w:val="000000"/>
        </w:rPr>
        <w:t>44</w:t>
      </w:r>
      <w:r>
        <w:rPr>
          <w:color w:val="000000"/>
        </w:rPr>
        <w:t xml:space="preserve"> years old</w:t>
      </w:r>
      <w:r w:rsidRPr="005D5F99">
        <w:rPr>
          <w:color w:val="000000"/>
        </w:rPr>
        <w:t>) examined without and with telomere data NHANES, 1999-2002</w:t>
      </w:r>
      <w:r w:rsidRPr="005D5F99">
        <w:rPr>
          <w:color w:val="000000"/>
          <w:vertAlign w:val="superscript"/>
        </w:rPr>
        <w:t>a</w:t>
      </w:r>
      <w:r>
        <w:rPr>
          <w:color w:val="000000"/>
        </w:rPr>
        <w:t xml:space="preserve"> </w:t>
      </w:r>
    </w:p>
    <w:tbl>
      <w:tblPr>
        <w:tblW w:w="3783" w:type="pct"/>
        <w:tblLook w:val="04A0" w:firstRow="1" w:lastRow="0" w:firstColumn="1" w:lastColumn="0" w:noHBand="0" w:noVBand="1"/>
      </w:tblPr>
      <w:tblGrid>
        <w:gridCol w:w="4208"/>
        <w:gridCol w:w="830"/>
        <w:gridCol w:w="2205"/>
        <w:gridCol w:w="857"/>
        <w:gridCol w:w="2250"/>
      </w:tblGrid>
      <w:tr w:rsidR="00790687" w:rsidRPr="00F1093A" w14:paraId="3DBD0082" w14:textId="77777777" w:rsidTr="00E44150">
        <w:trPr>
          <w:trHeight w:val="288"/>
        </w:trPr>
        <w:tc>
          <w:tcPr>
            <w:tcW w:w="20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1CBDB7" w14:textId="77777777" w:rsidR="00790687" w:rsidRPr="00F1093A" w:rsidRDefault="00790687" w:rsidP="00061FE0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A50BFC" w14:textId="666654D3" w:rsidR="00790687" w:rsidRPr="00F1093A" w:rsidRDefault="00790687" w:rsidP="00061FE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Without telomere data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463EB87" w14:textId="14C1B5C0" w:rsidR="00790687" w:rsidRPr="00F1093A" w:rsidRDefault="00790687" w:rsidP="00061FE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With telomere data</w:t>
            </w:r>
          </w:p>
        </w:tc>
      </w:tr>
      <w:tr w:rsidR="00790687" w:rsidRPr="00F1093A" w14:paraId="79E350E5" w14:textId="77777777" w:rsidTr="00790687">
        <w:trPr>
          <w:trHeight w:val="288"/>
        </w:trPr>
        <w:tc>
          <w:tcPr>
            <w:tcW w:w="203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C94EED" w14:textId="77777777" w:rsidR="009B157C" w:rsidRPr="00F1093A" w:rsidRDefault="009B157C" w:rsidP="00061FE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nil"/>
            </w:tcBorders>
          </w:tcPr>
          <w:p w14:paraId="43E58974" w14:textId="77777777" w:rsidR="009B157C" w:rsidRPr="00F1093A" w:rsidRDefault="009B157C" w:rsidP="00061FE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</w:t>
            </w:r>
          </w:p>
        </w:tc>
        <w:tc>
          <w:tcPr>
            <w:tcW w:w="1065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930" w14:textId="337A2183" w:rsidR="009B157C" w:rsidRPr="00F1093A" w:rsidRDefault="009B157C" w:rsidP="00061FE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% (95% CI)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14:paraId="5F079C51" w14:textId="77777777" w:rsidR="009B157C" w:rsidRPr="00F1093A" w:rsidRDefault="009B157C" w:rsidP="00061FE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</w:t>
            </w:r>
          </w:p>
        </w:tc>
        <w:tc>
          <w:tcPr>
            <w:tcW w:w="108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4C37D" w14:textId="26DCD1D0" w:rsidR="009B157C" w:rsidRPr="00F1093A" w:rsidRDefault="009B157C" w:rsidP="00061FE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% (95% CI)</w:t>
            </w:r>
          </w:p>
        </w:tc>
      </w:tr>
      <w:tr w:rsidR="009B157C" w:rsidRPr="00F1093A" w14:paraId="35B2B4D1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34E84" w14:textId="77777777" w:rsidR="009B157C" w:rsidRPr="00F1093A" w:rsidRDefault="009B157C" w:rsidP="00061FE0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All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right w:val="nil"/>
            </w:tcBorders>
          </w:tcPr>
          <w:p w14:paraId="3407D208" w14:textId="77777777" w:rsidR="009B157C" w:rsidRPr="007A4D48" w:rsidRDefault="009B157C" w:rsidP="00061FE0">
            <w:pPr>
              <w:spacing w:before="0" w:after="0" w:line="240" w:lineRule="auto"/>
              <w:contextualSpacing/>
              <w:jc w:val="center"/>
            </w:pPr>
            <w:r w:rsidRPr="007A4D48">
              <w:t>341</w:t>
            </w:r>
          </w:p>
        </w:tc>
        <w:tc>
          <w:tcPr>
            <w:tcW w:w="10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B11399A" w14:textId="77777777" w:rsidR="009B157C" w:rsidRPr="007A4D48" w:rsidRDefault="009B157C" w:rsidP="00061FE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41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55FEC45F" w14:textId="77777777" w:rsidR="009B157C" w:rsidRPr="007A4D48" w:rsidRDefault="009B157C" w:rsidP="00061FE0">
            <w:pPr>
              <w:spacing w:before="0" w:after="0" w:line="240" w:lineRule="auto"/>
              <w:contextualSpacing/>
              <w:jc w:val="center"/>
            </w:pPr>
            <w:r w:rsidRPr="007A4D48">
              <w:t>1503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04675" w14:textId="77777777" w:rsidR="009B157C" w:rsidRPr="007A4D48" w:rsidRDefault="009B157C" w:rsidP="00061FE0">
            <w:pPr>
              <w:spacing w:before="0" w:after="0" w:line="240" w:lineRule="auto"/>
              <w:contextualSpacing/>
              <w:jc w:val="center"/>
            </w:pPr>
          </w:p>
        </w:tc>
      </w:tr>
      <w:tr w:rsidR="009B157C" w:rsidRPr="00F1093A" w14:paraId="6106BC18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F78FD" w14:textId="77777777" w:rsidR="009B157C" w:rsidRPr="00F1093A" w:rsidRDefault="009B157C" w:rsidP="00061FE0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Age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69614B30" w14:textId="77777777" w:rsidR="009B157C" w:rsidRPr="007A4D48" w:rsidRDefault="009B157C" w:rsidP="00061FE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8E6300" w14:textId="77777777" w:rsidR="009B157C" w:rsidRPr="007A4D48" w:rsidRDefault="009B157C" w:rsidP="00061FE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0C98A" w14:textId="77777777" w:rsidR="009B157C" w:rsidRPr="007A4D48" w:rsidRDefault="009B157C" w:rsidP="00061FE0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089F9" w14:textId="77777777" w:rsidR="009B157C" w:rsidRPr="007A4D48" w:rsidRDefault="009B157C" w:rsidP="00061FE0">
            <w:pPr>
              <w:spacing w:before="0" w:after="0" w:line="240" w:lineRule="auto"/>
              <w:contextualSpacing/>
              <w:jc w:val="center"/>
            </w:pPr>
          </w:p>
        </w:tc>
      </w:tr>
      <w:tr w:rsidR="009B157C" w:rsidRPr="00F1093A" w14:paraId="4D5D8F0F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AC201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20-24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4CA17FAC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86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BC51F" w14:textId="45053B96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21.4 (26.2, 17.1)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C1D6C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286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16916" w14:textId="74CBC80C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18.3 (20.8, 16.0)</w:t>
            </w:r>
          </w:p>
        </w:tc>
      </w:tr>
      <w:tr w:rsidR="009B157C" w:rsidRPr="00F1093A" w14:paraId="2B26E7C5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6065F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25-29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2E6F2EC6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67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2279C" w14:textId="48C67D6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18.3 (24.6, 13.1)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3A70A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260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BE7C7" w14:textId="01C5BACE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15.8 (18.4, 13.4)</w:t>
            </w:r>
          </w:p>
        </w:tc>
      </w:tr>
      <w:tr w:rsidR="009B157C" w:rsidRPr="00F1093A" w14:paraId="0523874D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63A60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30-34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344A2521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53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F3BEE" w14:textId="199C10E8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16.7 (22.6, 11.8)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2DCA4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290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74962" w14:textId="1341643C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20.5 (23.6, 17.6)</w:t>
            </w:r>
          </w:p>
        </w:tc>
      </w:tr>
      <w:tr w:rsidR="009B157C" w:rsidRPr="00F1093A" w14:paraId="11E27F82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A533D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35-39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0A2822D4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60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CE66C" w14:textId="4EAF1502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19.7 (25.4, 14.8)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8DEB9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323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51DFF" w14:textId="2DC5C4F2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22.8 (26.8, 19.2)</w:t>
            </w:r>
          </w:p>
        </w:tc>
      </w:tr>
      <w:tr w:rsidR="009B157C" w:rsidRPr="00F1093A" w14:paraId="77F749E8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6B2E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40-44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44168C17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75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93A07" w14:textId="17213BE0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23.9 (28.9, 19.4)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6781C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344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AA4E8" w14:textId="7102D08C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22.6 (25.9, 19.6)</w:t>
            </w:r>
          </w:p>
        </w:tc>
      </w:tr>
      <w:tr w:rsidR="009B157C" w:rsidRPr="00F1093A" w14:paraId="198E1A96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B363A" w14:textId="77777777" w:rsidR="009B157C" w:rsidRPr="00F1093A" w:rsidRDefault="009B157C" w:rsidP="009B157C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Hispanic origin and race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48BC2D1B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B3D12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C9B95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97075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</w:tr>
      <w:tr w:rsidR="009B157C" w:rsidRPr="00F1093A" w14:paraId="552E5163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E9E8A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Mexican American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0F35213A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88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862C0" w14:textId="1407725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9.1 (12.6, 6.2)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81E0D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416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58695" w14:textId="7CBA213C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8.9 (11.4, 6.7)</w:t>
            </w:r>
          </w:p>
        </w:tc>
      </w:tr>
      <w:tr w:rsidR="009B157C" w:rsidRPr="00F1093A" w14:paraId="61E080CE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530A8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Non-Hispanic white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15589A3D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113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1DDB9" w14:textId="0B99EC64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56.0 (62.6, 49.3)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D0F8E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643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A9122" w14:textId="2B0E79E4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66.9 (71.4, 62.1)</w:t>
            </w:r>
          </w:p>
        </w:tc>
      </w:tr>
      <w:tr w:rsidR="009B157C" w:rsidRPr="00F1093A" w14:paraId="178EA86C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A5272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Non-Hispanic black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12F9EA09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105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4103F" w14:textId="6566F731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20.6 (26.8, 15.2)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69A7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308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A0163" w14:textId="3A260B10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11.8 (15.2, 8.9)</w:t>
            </w:r>
          </w:p>
        </w:tc>
      </w:tr>
      <w:tr w:rsidR="009B157C" w:rsidRPr="00F1093A" w14:paraId="12C8BD03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004C9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 xml:space="preserve">Other </w:t>
            </w:r>
            <w:r w:rsidRPr="00025714">
              <w:rPr>
                <w:rFonts w:asciiTheme="minorHAnsi" w:hAnsiTheme="minorHAnsi"/>
                <w:color w:val="000000"/>
                <w:vertAlign w:val="superscript"/>
              </w:rPr>
              <w:t>b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6B246CC8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35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E25B8" w14:textId="60832CBE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14.4 (21.9, 8.7)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9CBA3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136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624C6" w14:textId="23585D40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12.5 (17.7, 8.4)</w:t>
            </w:r>
          </w:p>
        </w:tc>
      </w:tr>
      <w:tr w:rsidR="009B157C" w:rsidRPr="00F1093A" w14:paraId="1C53DA0A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7CF6B" w14:textId="77777777" w:rsidR="009B157C" w:rsidRPr="00F1093A" w:rsidRDefault="009B157C" w:rsidP="009B157C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Marital status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58ACFF9B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6BEF0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66C7C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CD440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</w:tr>
      <w:tr w:rsidR="009B157C" w:rsidRPr="00F1093A" w14:paraId="0EA0A9ED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06A94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Married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57658B67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150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1CDE0" w14:textId="0FFE2D21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46.9 (55.4, 38.6)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28891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728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140A" w14:textId="25160C6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52.2 (55.9, 48.5)</w:t>
            </w:r>
          </w:p>
        </w:tc>
      </w:tr>
      <w:tr w:rsidR="009B157C" w:rsidRPr="00F1093A" w14:paraId="690E9418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39C33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Living with partner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53AC25B8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23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FF1D8" w14:textId="59E694D9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7.8 (12.9, 4.3)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212DE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125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A8E8F" w14:textId="7DE922F8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8.3 (10.8, 6.1)</w:t>
            </w:r>
          </w:p>
        </w:tc>
      </w:tr>
      <w:tr w:rsidR="009B157C" w:rsidRPr="00F1093A" w14:paraId="7E023B3E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45B58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Separated, </w:t>
            </w:r>
            <w:r w:rsidRPr="00F1093A">
              <w:rPr>
                <w:rFonts w:asciiTheme="minorHAnsi" w:hAnsiTheme="minorHAnsi"/>
                <w:color w:val="000000"/>
              </w:rPr>
              <w:t xml:space="preserve">divorced </w:t>
            </w:r>
            <w:r>
              <w:rPr>
                <w:rFonts w:asciiTheme="minorHAnsi" w:hAnsiTheme="minorHAnsi"/>
                <w:color w:val="000000"/>
              </w:rPr>
              <w:t>or widowed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12413E20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38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90E8A" w14:textId="73EF71A3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11.7 (17.6, 7.2)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DE84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212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41EA9" w14:textId="43E769A2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14.6 (17.4, 12.1)</w:t>
            </w:r>
          </w:p>
        </w:tc>
      </w:tr>
      <w:tr w:rsidR="009B157C" w:rsidRPr="00F1093A" w14:paraId="6D765336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7BADA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Never married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5BB80473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111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FA604" w14:textId="1FCC499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33.6 (41.2, 26.7)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2047E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379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31888" w14:textId="7B2FE23F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25.0 (28.5, 21.6)</w:t>
            </w:r>
          </w:p>
        </w:tc>
      </w:tr>
      <w:tr w:rsidR="009B157C" w:rsidRPr="00F1093A" w14:paraId="357E1D7B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33B38" w14:textId="77777777" w:rsidR="009B157C" w:rsidRPr="00F1093A" w:rsidRDefault="009B157C" w:rsidP="009B157C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Smoking</w:t>
            </w:r>
            <w:r w:rsidRPr="00025714">
              <w:rPr>
                <w:rFonts w:asciiTheme="minorHAnsi" w:hAnsiTheme="minorHAnsi"/>
                <w:color w:val="000000"/>
                <w:vertAlign w:val="superscript"/>
              </w:rPr>
              <w:t>c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4CE3D63E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EEEF3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B6E87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BF18E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</w:tr>
      <w:tr w:rsidR="009B157C" w:rsidRPr="00F1093A" w14:paraId="4F68179D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DC47C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 xml:space="preserve">Current 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56A7A9DA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75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C041B" w14:textId="77077428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27.2 (33.5, 21.5)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6E50B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369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D9C14" w14:textId="74002AAC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27.3 (30.9, 24.0)</w:t>
            </w:r>
          </w:p>
        </w:tc>
      </w:tr>
      <w:tr w:rsidR="009B157C" w:rsidRPr="00F1093A" w14:paraId="4343C008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EBE32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Former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38B36E0A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36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1425C" w14:textId="45720A56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14.0 (20.2, 9.2)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CE503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182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A7D7A" w14:textId="430356D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14.1 (17.2, 11.4)</w:t>
            </w:r>
          </w:p>
        </w:tc>
      </w:tr>
      <w:tr w:rsidR="009B157C" w:rsidRPr="00F1093A" w14:paraId="50F3DD23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AD3F1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Never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1B1180A5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214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10759" w14:textId="72274886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58.8 (66.6, 50.6)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7130E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950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2DCD8" w14:textId="68163563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58.6 (63.0, 54.1)</w:t>
            </w:r>
          </w:p>
        </w:tc>
      </w:tr>
      <w:tr w:rsidR="009B157C" w:rsidRPr="00F1093A" w14:paraId="1E3CE283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76394" w14:textId="77777777" w:rsidR="009B157C" w:rsidRPr="00F1093A" w:rsidRDefault="009B157C" w:rsidP="009B157C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 xml:space="preserve">Education 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1D33F2C5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52669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1CCAB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57BCF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</w:tr>
      <w:tr w:rsidR="009B157C" w:rsidRPr="00F1093A" w14:paraId="6F7C7BE3" w14:textId="77777777" w:rsidTr="00E44150">
        <w:trPr>
          <w:trHeight w:val="276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A84A6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No high school diploma or GED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144F8B9B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96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B6EBB" w14:textId="370B08C8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20.7 (26.3, 15.8)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B1CD9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405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E88CD" w14:textId="3D5CB720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17.0 (19.2, 14.9)</w:t>
            </w:r>
          </w:p>
        </w:tc>
      </w:tr>
      <w:tr w:rsidR="009B157C" w:rsidRPr="00F1093A" w14:paraId="67C8982F" w14:textId="77777777" w:rsidTr="00E44150">
        <w:trPr>
          <w:trHeight w:val="276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9B0E6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High school diploma or GED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29F41DBB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79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54EED" w14:textId="28EA11A1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24.2 (31.7, 17.7)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34A0D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352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CE184" w14:textId="36B32082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25.3 (29.0, 21.9)</w:t>
            </w:r>
          </w:p>
        </w:tc>
      </w:tr>
      <w:tr w:rsidR="009B157C" w:rsidRPr="00F1093A" w14:paraId="3A40D2BE" w14:textId="77777777" w:rsidTr="00E44150">
        <w:trPr>
          <w:trHeight w:val="276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32562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Some college, no bachelor’s degree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633DE010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85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9C03F" w14:textId="10F2FEF6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28.9 (35.4, 22.9)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0206F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469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91A11" w14:textId="552BCDC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33.8 (37.3, 30.5)</w:t>
            </w:r>
          </w:p>
        </w:tc>
      </w:tr>
      <w:tr w:rsidR="009B157C" w:rsidRPr="00F1093A" w14:paraId="4CDB3E63" w14:textId="77777777" w:rsidTr="00E44150">
        <w:trPr>
          <w:trHeight w:val="276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1A4A7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Bachelor’s degree or higher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62768E81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65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5E405" w14:textId="0C821DCB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26.3 (34.2, 19.4)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9C87F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275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DA7E0" w14:textId="76BDA7B2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23.9 (28.8, 19.5)</w:t>
            </w:r>
          </w:p>
        </w:tc>
      </w:tr>
      <w:tr w:rsidR="009B157C" w:rsidRPr="00F1093A" w14:paraId="0345D5F5" w14:textId="77777777" w:rsidTr="00E44150">
        <w:trPr>
          <w:trHeight w:val="276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5361B" w14:textId="77777777" w:rsidR="009B157C" w:rsidRPr="00F1093A" w:rsidRDefault="009B157C" w:rsidP="009B157C">
            <w:pPr>
              <w:spacing w:before="0" w:after="0" w:line="240" w:lineRule="auto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Percentage of poverty level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072970FF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0892D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E7B5A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F1858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</w:p>
        </w:tc>
      </w:tr>
      <w:tr w:rsidR="009B157C" w:rsidRPr="00F1093A" w14:paraId="20832637" w14:textId="77777777" w:rsidTr="00E44150">
        <w:trPr>
          <w:trHeight w:val="276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DBC92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Less than 100%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5AA7F918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67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BE635" w14:textId="64D74548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18.8 (25.1, 13.4)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F7D1E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329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FD5BE" w14:textId="3189D178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19.9 (23.1, 17.0)</w:t>
            </w:r>
          </w:p>
        </w:tc>
      </w:tr>
      <w:tr w:rsidR="009B157C" w:rsidRPr="00F1093A" w14:paraId="11B56C40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DC4ED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100%—199%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425893BC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88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872C1" w14:textId="0F35BB2B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29.7 (37.8, 22.5)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31A28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340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F347E" w14:textId="1B5A1A8B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21.4 (24.7, 18.3)</w:t>
            </w:r>
          </w:p>
        </w:tc>
      </w:tr>
      <w:tr w:rsidR="009B157C" w:rsidRPr="00F1093A" w14:paraId="133B52A1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069782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200%—399%</w:t>
            </w:r>
          </w:p>
        </w:tc>
        <w:tc>
          <w:tcPr>
            <w:tcW w:w="401" w:type="pct"/>
            <w:tcBorders>
              <w:left w:val="nil"/>
              <w:right w:val="nil"/>
            </w:tcBorders>
          </w:tcPr>
          <w:p w14:paraId="2FEF4246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74</w:t>
            </w:r>
          </w:p>
        </w:tc>
        <w:tc>
          <w:tcPr>
            <w:tcW w:w="106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CE4E93" w14:textId="6AB909A1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27.8 (35.1, 21.3)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right w:val="nil"/>
            </w:tcBorders>
          </w:tcPr>
          <w:p w14:paraId="0B6668FD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397</w:t>
            </w:r>
          </w:p>
        </w:tc>
        <w:tc>
          <w:tcPr>
            <w:tcW w:w="10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D672B8" w14:textId="57B35C19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29.8 (32.8, 26.9)</w:t>
            </w:r>
          </w:p>
        </w:tc>
      </w:tr>
      <w:tr w:rsidR="009B157C" w:rsidRPr="00F1093A" w14:paraId="16040A50" w14:textId="77777777" w:rsidTr="00E44150">
        <w:trPr>
          <w:trHeight w:val="304"/>
        </w:trPr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DA934" w14:textId="77777777" w:rsidR="009B157C" w:rsidRPr="00F1093A" w:rsidRDefault="009B157C" w:rsidP="009B157C">
            <w:pPr>
              <w:spacing w:before="0" w:after="0" w:line="240" w:lineRule="auto"/>
              <w:ind w:firstLine="432"/>
              <w:contextualSpacing/>
              <w:rPr>
                <w:rFonts w:asciiTheme="minorHAnsi" w:hAnsiTheme="minorHAnsi"/>
                <w:color w:val="000000"/>
              </w:rPr>
            </w:pPr>
            <w:r w:rsidRPr="00F1093A">
              <w:rPr>
                <w:rFonts w:asciiTheme="minorHAnsi" w:hAnsiTheme="minorHAnsi"/>
                <w:color w:val="000000"/>
              </w:rPr>
              <w:t>400% or more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nil"/>
            </w:tcBorders>
          </w:tcPr>
          <w:p w14:paraId="03B10B02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55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FFA68" w14:textId="16E1198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23.7 (33.7, 15.4)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6ED7B3" w14:textId="7777777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 w:rsidRPr="007A4D48">
              <w:t>324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5CAA3" w14:textId="549D1FD7" w:rsidR="009B157C" w:rsidRPr="007A4D48" w:rsidRDefault="009B157C" w:rsidP="009B157C">
            <w:pPr>
              <w:spacing w:before="0" w:after="0" w:line="240" w:lineRule="auto"/>
              <w:contextualSpacing/>
              <w:jc w:val="center"/>
            </w:pPr>
            <w:r>
              <w:rPr>
                <w:color w:val="000000"/>
              </w:rPr>
              <w:t>28.9 (32.9, 25.2)</w:t>
            </w:r>
          </w:p>
        </w:tc>
      </w:tr>
    </w:tbl>
    <w:p w14:paraId="70551287" w14:textId="77777777" w:rsidR="00D61F07" w:rsidRDefault="00D61F07">
      <w:pPr>
        <w:spacing w:before="0" w:after="200" w:line="276" w:lineRule="auto"/>
      </w:pPr>
      <w:r>
        <w:t>NHANES, National Health and Nutrition Examination Survey; CI, confidence interval; GED, g</w:t>
      </w:r>
      <w:r w:rsidR="00402B34">
        <w:t>eneral educational development</w:t>
      </w:r>
    </w:p>
    <w:p w14:paraId="0AB4ADDF" w14:textId="77777777" w:rsidR="00D61F07" w:rsidRDefault="00D61F07" w:rsidP="00061FE0">
      <w:pPr>
        <w:spacing w:before="0" w:after="200" w:line="240" w:lineRule="auto"/>
        <w:contextualSpacing/>
      </w:pPr>
      <w:r w:rsidRPr="00613FAE">
        <w:rPr>
          <w:vertAlign w:val="superscript"/>
        </w:rPr>
        <w:t>a</w:t>
      </w:r>
      <w:r w:rsidRPr="00613FAE">
        <w:t>Excludes 552 women aged 20-44 years who were known to be pregnant at exam (108 without telomere data and 444 with telomere data).  Includes 140 women aged 20-44 years with unknown pregnancy status (63 without telomere data and 77 with telomere data).</w:t>
      </w:r>
    </w:p>
    <w:p w14:paraId="507EFBFC" w14:textId="77777777" w:rsidR="00D61F07" w:rsidRPr="00025714" w:rsidRDefault="00D61F07" w:rsidP="00061FE0">
      <w:pPr>
        <w:spacing w:before="0" w:after="200" w:line="240" w:lineRule="auto"/>
        <w:contextualSpacing/>
      </w:pPr>
      <w:r w:rsidRPr="009D7E1E">
        <w:rPr>
          <w:rFonts w:asciiTheme="minorHAnsi" w:hAnsiTheme="minorHAnsi"/>
          <w:vertAlign w:val="superscript"/>
        </w:rPr>
        <w:t>b</w:t>
      </w:r>
      <w:r w:rsidRPr="006D5B23">
        <w:t xml:space="preserve"> </w:t>
      </w:r>
      <w:r>
        <w:t>Includes Hispanic or Latina women other than Mexican American and non-Hispanic women of races other than black or white, including multiracial women.</w:t>
      </w:r>
    </w:p>
    <w:p w14:paraId="3295C053" w14:textId="77777777" w:rsidR="00D61F07" w:rsidRPr="009D7E1E" w:rsidRDefault="00D61F07" w:rsidP="00061FE0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t>c</w:t>
      </w:r>
      <w:r w:rsidRPr="009D7E1E">
        <w:rPr>
          <w:rFonts w:asciiTheme="minorHAnsi" w:hAnsiTheme="minorHAnsi"/>
        </w:rPr>
        <w:t xml:space="preserve">Current </w:t>
      </w:r>
      <w:r>
        <w:rPr>
          <w:rFonts w:asciiTheme="minorHAnsi" w:hAnsiTheme="minorHAnsi"/>
        </w:rPr>
        <w:t>smoking includes any reported cigarette smoking at the time of interview. Former smoking includes no current cigarette smoking, but reported smoking at least 100 cigarettes over her lifetime.</w:t>
      </w:r>
    </w:p>
    <w:p w14:paraId="6E8F0F88" w14:textId="6F4D9B2C" w:rsidR="00DB71B0" w:rsidRDefault="00DB71B0">
      <w:pPr>
        <w:spacing w:before="0" w:after="200" w:line="276" w:lineRule="auto"/>
        <w:contextualSpacing/>
      </w:pPr>
      <w:r>
        <w:br w:type="page"/>
      </w:r>
    </w:p>
    <w:p w14:paraId="6DD6B1BE" w14:textId="77777777" w:rsidR="00FC401C" w:rsidRDefault="00FC401C" w:rsidP="00FC401C">
      <w:pPr>
        <w:spacing w:line="240" w:lineRule="auto"/>
        <w:contextualSpacing/>
        <w:rPr>
          <w:color w:val="000000"/>
        </w:rPr>
      </w:pPr>
      <w:r>
        <w:rPr>
          <w:color w:val="000000"/>
        </w:rPr>
        <w:t>Supplemental figure 1: Percent difference in mean telomere length per 1 unit increase in allostatic load score</w:t>
      </w:r>
      <w:r>
        <w:rPr>
          <w:rFonts w:asciiTheme="minorHAnsi" w:hAnsiTheme="minorHAnsi"/>
        </w:rPr>
        <w:t xml:space="preserve"> not adjusted for age among </w:t>
      </w:r>
      <w:r w:rsidRPr="007621A8">
        <w:rPr>
          <w:rFonts w:asciiTheme="minorHAnsi" w:hAnsiTheme="minorHAnsi"/>
          <w:color w:val="000000"/>
        </w:rPr>
        <w:t>non-pregnant reproductive aged</w:t>
      </w:r>
      <w:r>
        <w:rPr>
          <w:rFonts w:asciiTheme="minorHAnsi" w:hAnsiTheme="minorHAnsi"/>
        </w:rPr>
        <w:t xml:space="preserve"> </w:t>
      </w:r>
      <w:r w:rsidRPr="007621A8">
        <w:rPr>
          <w:rFonts w:asciiTheme="minorHAnsi" w:hAnsiTheme="minorHAnsi"/>
          <w:color w:val="000000"/>
        </w:rPr>
        <w:t>women</w:t>
      </w:r>
      <w:r>
        <w:rPr>
          <w:rFonts w:asciiTheme="minorHAnsi" w:hAnsiTheme="minorHAnsi"/>
          <w:color w:val="000000"/>
        </w:rPr>
        <w:t xml:space="preserve"> (20</w:t>
      </w:r>
      <w:r w:rsidRPr="007621A8">
        <w:rPr>
          <w:rFonts w:asciiTheme="minorHAnsi" w:hAnsiTheme="minorHAnsi"/>
        </w:rPr>
        <w:t>–</w:t>
      </w:r>
      <w:r>
        <w:rPr>
          <w:rFonts w:asciiTheme="minorHAnsi" w:hAnsiTheme="minorHAnsi"/>
        </w:rPr>
        <w:t>44 years old)</w:t>
      </w:r>
      <w:r w:rsidRPr="007621A8">
        <w:rPr>
          <w:rFonts w:asciiTheme="minorHAnsi" w:hAnsiTheme="minorHAnsi"/>
          <w:color w:val="000000"/>
        </w:rPr>
        <w:t xml:space="preserve"> in NHANES, 1999-2002</w:t>
      </w:r>
    </w:p>
    <w:p w14:paraId="606DA94D" w14:textId="77777777" w:rsidR="00FC401C" w:rsidRDefault="00FC401C" w:rsidP="00FC401C">
      <w:pPr>
        <w:spacing w:before="0" w:after="200" w:line="276" w:lineRule="auto"/>
      </w:pPr>
      <w:r w:rsidRPr="009B157C">
        <w:rPr>
          <w:noProof/>
        </w:rPr>
        <w:drawing>
          <wp:inline distT="0" distB="0" distL="0" distR="0" wp14:anchorId="0A32E65C" wp14:editId="5DBC0DD1">
            <wp:extent cx="7214616" cy="5486400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616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4E2BC" w14:textId="77777777" w:rsidR="00FC401C" w:rsidRDefault="00FC401C" w:rsidP="00FC401C">
      <w:pPr>
        <w:spacing w:before="0" w:after="200" w:line="276" w:lineRule="auto"/>
      </w:pPr>
    </w:p>
    <w:p w14:paraId="587B387D" w14:textId="77777777" w:rsidR="00FC401C" w:rsidRDefault="00FC401C" w:rsidP="00FC401C">
      <w:pPr>
        <w:spacing w:before="0" w:after="200" w:line="276" w:lineRule="auto"/>
      </w:pPr>
      <w:r>
        <w:rPr>
          <w:rFonts w:asciiTheme="minorHAnsi" w:hAnsiTheme="minorHAnsi"/>
        </w:rPr>
        <w:t>Allostatic load scores were constructed using biomarkers and cut-point methods previously implemented.  See text, supplemental table and reference list for details.</w:t>
      </w:r>
      <w:r>
        <w:rPr>
          <w:color w:val="000000"/>
        </w:rPr>
        <w:t xml:space="preserve"> </w:t>
      </w:r>
      <w:r w:rsidRPr="007621A8">
        <w:rPr>
          <w:rFonts w:asciiTheme="minorHAnsi" w:hAnsiTheme="minorHAnsi"/>
          <w:i/>
        </w:rPr>
        <w:t>P</w:t>
      </w:r>
      <w:r w:rsidRPr="007621A8">
        <w:rPr>
          <w:rFonts w:asciiTheme="minorHAnsi" w:hAnsiTheme="minorHAnsi"/>
        </w:rPr>
        <w:t xml:space="preserve">-value </w:t>
      </w:r>
      <w:r>
        <w:rPr>
          <w:rFonts w:asciiTheme="minorHAnsi" w:hAnsiTheme="minorHAnsi"/>
        </w:rPr>
        <w:t xml:space="preserve">for slopes from Wald test </w:t>
      </w:r>
      <w:r w:rsidRPr="007621A8">
        <w:rPr>
          <w:rFonts w:asciiTheme="minorHAnsi" w:hAnsiTheme="minorHAnsi"/>
        </w:rPr>
        <w:t>using linear regression</w:t>
      </w:r>
      <w:r>
        <w:rPr>
          <w:rFonts w:asciiTheme="minorHAnsi" w:hAnsiTheme="minorHAnsi"/>
        </w:rPr>
        <w:t xml:space="preserve"> model not adjusted for age. Of the 1503 observations with telomere data, the following biomarkers and number of observations were used for allostatic load score construction for each method: scoring method 1—</w:t>
      </w:r>
      <w:r w:rsidRPr="00D178EC">
        <w:rPr>
          <w:rFonts w:asciiTheme="minorHAnsi" w:hAnsiTheme="minorHAnsi"/>
        </w:rPr>
        <w:t>SBP, DBP, BMI, A1C, ALB, CRU, TRI, CRP, HOM, TC</w:t>
      </w:r>
      <w:r>
        <w:rPr>
          <w:rFonts w:asciiTheme="minorHAnsi" w:hAnsiTheme="minorHAnsi"/>
        </w:rPr>
        <w:t xml:space="preserve"> (n=627); scoring method 2—</w:t>
      </w:r>
      <w:r w:rsidRPr="00D178EC">
        <w:rPr>
          <w:rFonts w:asciiTheme="minorHAnsi" w:hAnsiTheme="minorHAnsi"/>
        </w:rPr>
        <w:t>SBP, DBP, BMI, A1C, ALB, CRP, TC</w:t>
      </w:r>
      <w:r>
        <w:rPr>
          <w:rFonts w:asciiTheme="minorHAnsi" w:hAnsiTheme="minorHAnsi"/>
        </w:rPr>
        <w:t>, HDL, PLS (n=1417); scoring method 3—</w:t>
      </w:r>
      <w:r w:rsidRPr="00D178EC">
        <w:rPr>
          <w:rFonts w:asciiTheme="minorHAnsi" w:hAnsiTheme="minorHAnsi"/>
        </w:rPr>
        <w:t>SBP, DBP, BMI, A1C, ALB</w:t>
      </w:r>
      <w:r>
        <w:rPr>
          <w:rFonts w:asciiTheme="minorHAnsi" w:hAnsiTheme="minorHAnsi"/>
        </w:rPr>
        <w:t>,</w:t>
      </w:r>
      <w:r w:rsidRPr="00D178EC">
        <w:rPr>
          <w:rFonts w:asciiTheme="minorHAnsi" w:hAnsiTheme="minorHAnsi"/>
        </w:rPr>
        <w:t xml:space="preserve"> CRP, HOM, TC</w:t>
      </w:r>
      <w:r>
        <w:rPr>
          <w:rFonts w:asciiTheme="minorHAnsi" w:hAnsiTheme="minorHAnsi"/>
        </w:rPr>
        <w:t>, HDL, PLS (n=1416); scoring method 4—</w:t>
      </w:r>
      <w:r w:rsidRPr="00D178EC">
        <w:rPr>
          <w:rFonts w:asciiTheme="minorHAnsi" w:hAnsiTheme="minorHAnsi"/>
        </w:rPr>
        <w:t>SBP, DBP, BMI, A1C, ALB, CRP, TC</w:t>
      </w:r>
      <w:r>
        <w:rPr>
          <w:rFonts w:asciiTheme="minorHAnsi" w:hAnsiTheme="minorHAnsi"/>
        </w:rPr>
        <w:t>, HDL, PLS (n=1417); scoring method 5—</w:t>
      </w:r>
      <w:r w:rsidRPr="00D178EC">
        <w:rPr>
          <w:rFonts w:asciiTheme="minorHAnsi" w:hAnsiTheme="minorHAnsi"/>
        </w:rPr>
        <w:t>SBP, DBP, A1C, ALB, CR</w:t>
      </w:r>
      <w:r>
        <w:rPr>
          <w:rFonts w:asciiTheme="minorHAnsi" w:hAnsiTheme="minorHAnsi"/>
        </w:rPr>
        <w:t>S</w:t>
      </w:r>
      <w:r w:rsidRPr="00D178EC">
        <w:rPr>
          <w:rFonts w:asciiTheme="minorHAnsi" w:hAnsiTheme="minorHAnsi"/>
        </w:rPr>
        <w:t>, CRP, HOM, TC</w:t>
      </w:r>
      <w:r>
        <w:rPr>
          <w:rFonts w:asciiTheme="minorHAnsi" w:hAnsiTheme="minorHAnsi"/>
        </w:rPr>
        <w:t>, HDL, PLS (n=1428); and scoring method 6—</w:t>
      </w:r>
      <w:r w:rsidRPr="00D178EC">
        <w:rPr>
          <w:rFonts w:asciiTheme="minorHAnsi" w:hAnsiTheme="minorHAnsi"/>
        </w:rPr>
        <w:t xml:space="preserve">SBP, DBP, </w:t>
      </w:r>
      <w:r>
        <w:rPr>
          <w:rFonts w:asciiTheme="minorHAnsi" w:hAnsiTheme="minorHAnsi"/>
        </w:rPr>
        <w:t xml:space="preserve">BMI, </w:t>
      </w:r>
      <w:r w:rsidRPr="00D178EC">
        <w:rPr>
          <w:rFonts w:asciiTheme="minorHAnsi" w:hAnsiTheme="minorHAnsi"/>
        </w:rPr>
        <w:t>A1C, ALB, CR</w:t>
      </w:r>
      <w:r>
        <w:rPr>
          <w:rFonts w:asciiTheme="minorHAnsi" w:hAnsiTheme="minorHAnsi"/>
        </w:rPr>
        <w:t>C</w:t>
      </w:r>
      <w:r w:rsidRPr="00D178EC">
        <w:rPr>
          <w:rFonts w:asciiTheme="minorHAnsi" w:hAnsiTheme="minorHAnsi"/>
        </w:rPr>
        <w:t>, CRP, TC</w:t>
      </w:r>
      <w:r>
        <w:rPr>
          <w:rFonts w:asciiTheme="minorHAnsi" w:hAnsiTheme="minorHAnsi"/>
        </w:rPr>
        <w:t xml:space="preserve">, HDL (n=1422). Abbreviations: </w:t>
      </w:r>
      <w:r w:rsidRPr="00D178EC">
        <w:rPr>
          <w:rFonts w:asciiTheme="minorHAnsi" w:hAnsiTheme="minorHAnsi"/>
        </w:rPr>
        <w:t>SBP,</w:t>
      </w:r>
      <w:r>
        <w:rPr>
          <w:rFonts w:asciiTheme="minorHAnsi" w:hAnsiTheme="minorHAnsi"/>
        </w:rPr>
        <w:t xml:space="preserve"> systolic blood pressure;</w:t>
      </w:r>
      <w:r w:rsidRPr="00D178EC">
        <w:rPr>
          <w:rFonts w:asciiTheme="minorHAnsi" w:hAnsiTheme="minorHAnsi"/>
        </w:rPr>
        <w:t xml:space="preserve"> DBP, </w:t>
      </w:r>
      <w:r>
        <w:rPr>
          <w:rFonts w:asciiTheme="minorHAnsi" w:hAnsiTheme="minorHAnsi"/>
        </w:rPr>
        <w:t xml:space="preserve">diastolic blood pressure; </w:t>
      </w:r>
      <w:r w:rsidRPr="00D178EC">
        <w:rPr>
          <w:rFonts w:asciiTheme="minorHAnsi" w:hAnsiTheme="minorHAnsi"/>
        </w:rPr>
        <w:t xml:space="preserve">BMI, </w:t>
      </w:r>
      <w:r>
        <w:rPr>
          <w:rFonts w:asciiTheme="minorHAnsi" w:hAnsiTheme="minorHAnsi"/>
        </w:rPr>
        <w:t>body mass index; A1C, glycosylated hemoglobin;</w:t>
      </w:r>
      <w:r w:rsidRPr="00D178EC">
        <w:rPr>
          <w:rFonts w:asciiTheme="minorHAnsi" w:hAnsiTheme="minorHAnsi"/>
        </w:rPr>
        <w:t xml:space="preserve"> ALB,</w:t>
      </w:r>
      <w:r>
        <w:rPr>
          <w:rFonts w:asciiTheme="minorHAnsi" w:hAnsiTheme="minorHAnsi"/>
        </w:rPr>
        <w:t xml:space="preserve"> serum albumin; </w:t>
      </w:r>
      <w:r w:rsidRPr="00D178EC">
        <w:rPr>
          <w:rFonts w:asciiTheme="minorHAnsi" w:hAnsiTheme="minorHAnsi"/>
        </w:rPr>
        <w:t xml:space="preserve">TRI, </w:t>
      </w:r>
      <w:r>
        <w:rPr>
          <w:rFonts w:asciiTheme="minorHAnsi" w:hAnsiTheme="minorHAnsi"/>
        </w:rPr>
        <w:t xml:space="preserve">triglycerides; </w:t>
      </w:r>
      <w:r w:rsidRPr="00D178EC">
        <w:rPr>
          <w:rFonts w:asciiTheme="minorHAnsi" w:hAnsiTheme="minorHAnsi"/>
        </w:rPr>
        <w:t xml:space="preserve">CRP, </w:t>
      </w:r>
      <w:r>
        <w:rPr>
          <w:rFonts w:asciiTheme="minorHAnsi" w:hAnsiTheme="minorHAnsi"/>
        </w:rPr>
        <w:t xml:space="preserve">c-reactive protein; </w:t>
      </w:r>
      <w:r w:rsidRPr="00D178EC">
        <w:rPr>
          <w:rFonts w:asciiTheme="minorHAnsi" w:hAnsiTheme="minorHAnsi"/>
        </w:rPr>
        <w:t xml:space="preserve">HOM, </w:t>
      </w:r>
      <w:r>
        <w:rPr>
          <w:rFonts w:asciiTheme="minorHAnsi" w:hAnsiTheme="minorHAnsi"/>
        </w:rPr>
        <w:t xml:space="preserve">homocysteine; </w:t>
      </w:r>
      <w:r w:rsidRPr="00D178EC">
        <w:rPr>
          <w:rFonts w:asciiTheme="minorHAnsi" w:hAnsiTheme="minorHAnsi"/>
        </w:rPr>
        <w:t>TC</w:t>
      </w:r>
      <w:r>
        <w:rPr>
          <w:rFonts w:asciiTheme="minorHAnsi" w:hAnsiTheme="minorHAnsi"/>
        </w:rPr>
        <w:t>, total cholesterol; HDL, high-density lipoprotein cholesterol; PLS, pulse; CRU, urine creatinine; CRS, serum creatinine; CRC, creatinine clearance.</w:t>
      </w:r>
    </w:p>
    <w:p w14:paraId="2ED90B32" w14:textId="77777777" w:rsidR="00FC401C" w:rsidRDefault="00FC401C">
      <w:pPr>
        <w:spacing w:before="0"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77589941" w14:textId="126B0630" w:rsidR="00D61F07" w:rsidRPr="00DE391D" w:rsidRDefault="007E5EBE" w:rsidP="00E44150">
      <w:pPr>
        <w:spacing w:line="240" w:lineRule="auto"/>
        <w:contextualSpacing/>
      </w:pPr>
      <w:r>
        <w:rPr>
          <w:color w:val="000000"/>
        </w:rPr>
        <w:t>Supplemental figure</w:t>
      </w:r>
      <w:r w:rsidR="00FC401C">
        <w:rPr>
          <w:color w:val="000000"/>
        </w:rPr>
        <w:t xml:space="preserve"> 2</w:t>
      </w:r>
      <w:r w:rsidR="00693CC7">
        <w:rPr>
          <w:color w:val="000000"/>
        </w:rPr>
        <w:t xml:space="preserve">: </w:t>
      </w:r>
      <w:r w:rsidR="009B157C">
        <w:rPr>
          <w:color w:val="000000"/>
        </w:rPr>
        <w:t xml:space="preserve">Percent difference </w:t>
      </w:r>
      <w:r w:rsidR="00693CC7">
        <w:rPr>
          <w:color w:val="000000"/>
        </w:rPr>
        <w:t>in mean telomere length per 1 unit increase in allostatic load score</w:t>
      </w:r>
      <w:r w:rsidR="00693CC7">
        <w:rPr>
          <w:rFonts w:asciiTheme="minorHAnsi" w:hAnsiTheme="minorHAnsi"/>
        </w:rPr>
        <w:t xml:space="preserve"> </w:t>
      </w:r>
      <w:r w:rsidR="00E357D2">
        <w:rPr>
          <w:rFonts w:asciiTheme="minorHAnsi" w:hAnsiTheme="minorHAnsi"/>
        </w:rPr>
        <w:t xml:space="preserve">based on imputed values </w:t>
      </w:r>
      <w:r w:rsidR="00402B34">
        <w:rPr>
          <w:rFonts w:asciiTheme="minorHAnsi" w:hAnsiTheme="minorHAnsi"/>
        </w:rPr>
        <w:t xml:space="preserve">and </w:t>
      </w:r>
      <w:r w:rsidR="00693CC7">
        <w:rPr>
          <w:rFonts w:asciiTheme="minorHAnsi" w:hAnsiTheme="minorHAnsi"/>
        </w:rPr>
        <w:t xml:space="preserve">adjusted for age </w:t>
      </w:r>
      <w:r w:rsidR="0091743E">
        <w:rPr>
          <w:rFonts w:asciiTheme="minorHAnsi" w:hAnsiTheme="minorHAnsi"/>
        </w:rPr>
        <w:t>among</w:t>
      </w:r>
      <w:r w:rsidR="00693CC7">
        <w:rPr>
          <w:rFonts w:asciiTheme="minorHAnsi" w:hAnsiTheme="minorHAnsi"/>
        </w:rPr>
        <w:t xml:space="preserve"> </w:t>
      </w:r>
      <w:r w:rsidR="00693CC7" w:rsidRPr="007621A8">
        <w:rPr>
          <w:rFonts w:asciiTheme="minorHAnsi" w:hAnsiTheme="minorHAnsi"/>
          <w:color w:val="000000"/>
        </w:rPr>
        <w:t>non-pregnant reproductive aged</w:t>
      </w:r>
      <w:r w:rsidR="00693CC7">
        <w:rPr>
          <w:rFonts w:asciiTheme="minorHAnsi" w:hAnsiTheme="minorHAnsi"/>
        </w:rPr>
        <w:t xml:space="preserve"> </w:t>
      </w:r>
      <w:r w:rsidR="00693CC7" w:rsidRPr="007621A8">
        <w:rPr>
          <w:rFonts w:asciiTheme="minorHAnsi" w:hAnsiTheme="minorHAnsi"/>
          <w:color w:val="000000"/>
        </w:rPr>
        <w:t>women</w:t>
      </w:r>
      <w:r w:rsidR="00693CC7">
        <w:rPr>
          <w:rFonts w:asciiTheme="minorHAnsi" w:hAnsiTheme="minorHAnsi"/>
          <w:color w:val="000000"/>
        </w:rPr>
        <w:t xml:space="preserve"> (20</w:t>
      </w:r>
      <w:r w:rsidR="00693CC7" w:rsidRPr="007621A8">
        <w:rPr>
          <w:rFonts w:asciiTheme="minorHAnsi" w:hAnsiTheme="minorHAnsi"/>
        </w:rPr>
        <w:t>–</w:t>
      </w:r>
      <w:r w:rsidR="00693CC7">
        <w:rPr>
          <w:rFonts w:asciiTheme="minorHAnsi" w:hAnsiTheme="minorHAnsi"/>
        </w:rPr>
        <w:t>44 years old)</w:t>
      </w:r>
      <w:r w:rsidR="00693CC7" w:rsidRPr="007621A8">
        <w:rPr>
          <w:rFonts w:asciiTheme="minorHAnsi" w:hAnsiTheme="minorHAnsi"/>
          <w:color w:val="000000"/>
        </w:rPr>
        <w:t xml:space="preserve"> in NHANES, 1999-2002</w:t>
      </w:r>
    </w:p>
    <w:p w14:paraId="1CFC4CE6" w14:textId="20B38B24" w:rsidR="00D61F07" w:rsidRPr="003337AD" w:rsidRDefault="00790687" w:rsidP="00061FE0">
      <w:pPr>
        <w:pStyle w:val="EndNoteBibliography"/>
        <w:spacing w:before="0" w:after="0" w:line="240" w:lineRule="auto"/>
        <w:ind w:left="720" w:hanging="720"/>
        <w:contextualSpacing/>
        <w:rPr>
          <w:sz w:val="20"/>
          <w:szCs w:val="20"/>
        </w:rPr>
      </w:pPr>
      <w:r w:rsidRPr="009B157C">
        <w:drawing>
          <wp:anchor distT="0" distB="0" distL="114300" distR="114300" simplePos="0" relativeHeight="251662336" behindDoc="0" locked="0" layoutInCell="1" allowOverlap="1" wp14:anchorId="687BB4A1" wp14:editId="22EDB946">
            <wp:simplePos x="0" y="0"/>
            <wp:positionH relativeFrom="column">
              <wp:posOffset>3810</wp:posOffset>
            </wp:positionH>
            <wp:positionV relativeFrom="paragraph">
              <wp:posOffset>168275</wp:posOffset>
            </wp:positionV>
            <wp:extent cx="7214616" cy="5486690"/>
            <wp:effectExtent l="0" t="0" r="5715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616" cy="54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0"/>
          <w:szCs w:val="20"/>
        </w:rPr>
        <w:t xml:space="preserve"> </w:t>
      </w:r>
      <w:r w:rsidR="00D61F07">
        <w:rPr>
          <w:sz w:val="20"/>
          <w:szCs w:val="20"/>
        </w:rPr>
        <w:fldChar w:fldCharType="begin"/>
      </w:r>
      <w:r w:rsidR="00D61F07">
        <w:rPr>
          <w:sz w:val="20"/>
          <w:szCs w:val="20"/>
        </w:rPr>
        <w:instrText xml:space="preserve"> ADDIN </w:instrText>
      </w:r>
      <w:r w:rsidR="00D61F07">
        <w:rPr>
          <w:sz w:val="20"/>
          <w:szCs w:val="20"/>
        </w:rPr>
        <w:fldChar w:fldCharType="end"/>
      </w:r>
    </w:p>
    <w:p w14:paraId="161ED7D1" w14:textId="77777777" w:rsidR="007E5EBE" w:rsidRDefault="00693CC7" w:rsidP="00D04B12">
      <w:pPr>
        <w:spacing w:before="0"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Allostatic load scores were constructed using biomarkers and cut-point methods previously implemented.  See text, supplemental table and reference list for details.</w:t>
      </w:r>
      <w:r>
        <w:rPr>
          <w:color w:val="000000"/>
        </w:rPr>
        <w:t xml:space="preserve"> </w:t>
      </w:r>
      <w:r w:rsidRPr="007621A8">
        <w:rPr>
          <w:rFonts w:asciiTheme="minorHAnsi" w:hAnsiTheme="minorHAnsi"/>
          <w:i/>
        </w:rPr>
        <w:t>P</w:t>
      </w:r>
      <w:r w:rsidRPr="007621A8">
        <w:rPr>
          <w:rFonts w:asciiTheme="minorHAnsi" w:hAnsiTheme="minorHAnsi"/>
        </w:rPr>
        <w:t xml:space="preserve">-value </w:t>
      </w:r>
      <w:r>
        <w:rPr>
          <w:rFonts w:asciiTheme="minorHAnsi" w:hAnsiTheme="minorHAnsi"/>
        </w:rPr>
        <w:t xml:space="preserve">for slopes from Wald test </w:t>
      </w:r>
      <w:r w:rsidRPr="007621A8">
        <w:rPr>
          <w:rFonts w:asciiTheme="minorHAnsi" w:hAnsiTheme="minorHAnsi"/>
        </w:rPr>
        <w:t>using linear regression</w:t>
      </w:r>
      <w:r>
        <w:rPr>
          <w:rFonts w:asciiTheme="minorHAnsi" w:hAnsiTheme="minorHAnsi"/>
        </w:rPr>
        <w:t xml:space="preserve"> model adjusted for age. Of the 1503 observations with telomere data, the following biomarkers</w:t>
      </w:r>
      <w:r w:rsidR="00E357D2">
        <w:rPr>
          <w:rFonts w:asciiTheme="minorHAnsi" w:hAnsiTheme="minorHAnsi"/>
        </w:rPr>
        <w:t xml:space="preserve"> (including imputed values)</w:t>
      </w:r>
      <w:r>
        <w:rPr>
          <w:rFonts w:asciiTheme="minorHAnsi" w:hAnsiTheme="minorHAnsi"/>
        </w:rPr>
        <w:t xml:space="preserve"> and number of observations were used for allostatic load score construction for each method: scoring method 1—</w:t>
      </w:r>
      <w:r w:rsidRPr="00D178EC">
        <w:rPr>
          <w:rFonts w:asciiTheme="minorHAnsi" w:hAnsiTheme="minorHAnsi"/>
        </w:rPr>
        <w:t>SBP, DBP, BMI, A1C, ALB, CRU, TRI, CRP, HOM, TC</w:t>
      </w:r>
      <w:r>
        <w:rPr>
          <w:rFonts w:asciiTheme="minorHAnsi" w:hAnsiTheme="minorHAnsi"/>
        </w:rPr>
        <w:t xml:space="preserve"> (n=656); scoring method 2—</w:t>
      </w:r>
      <w:r w:rsidRPr="00D178EC">
        <w:rPr>
          <w:rFonts w:asciiTheme="minorHAnsi" w:hAnsiTheme="minorHAnsi"/>
        </w:rPr>
        <w:t>SBP, DBP, BMI, A1C, ALB, CRP, TC</w:t>
      </w:r>
      <w:r>
        <w:rPr>
          <w:rFonts w:asciiTheme="minorHAnsi" w:hAnsiTheme="minorHAnsi"/>
        </w:rPr>
        <w:t>, HDL, PLS (n=1503); scoring method 3—</w:t>
      </w:r>
      <w:r w:rsidRPr="00D178EC">
        <w:rPr>
          <w:rFonts w:asciiTheme="minorHAnsi" w:hAnsiTheme="minorHAnsi"/>
        </w:rPr>
        <w:t>SBP, DBP, BMI, A1C, ALB</w:t>
      </w:r>
      <w:r>
        <w:rPr>
          <w:rFonts w:asciiTheme="minorHAnsi" w:hAnsiTheme="minorHAnsi"/>
        </w:rPr>
        <w:t>,</w:t>
      </w:r>
      <w:r w:rsidRPr="00D178EC">
        <w:rPr>
          <w:rFonts w:asciiTheme="minorHAnsi" w:hAnsiTheme="minorHAnsi"/>
        </w:rPr>
        <w:t xml:space="preserve"> CRP, HOM, TC</w:t>
      </w:r>
      <w:r>
        <w:rPr>
          <w:rFonts w:asciiTheme="minorHAnsi" w:hAnsiTheme="minorHAnsi"/>
        </w:rPr>
        <w:t>, HDL, PLS (n=1503); scoring method 4—</w:t>
      </w:r>
      <w:r w:rsidRPr="00D178EC">
        <w:rPr>
          <w:rFonts w:asciiTheme="minorHAnsi" w:hAnsiTheme="minorHAnsi"/>
        </w:rPr>
        <w:t>SBP, DBP, BMI, A1C, ALB, CRP, TC</w:t>
      </w:r>
      <w:r>
        <w:rPr>
          <w:rFonts w:asciiTheme="minorHAnsi" w:hAnsiTheme="minorHAnsi"/>
        </w:rPr>
        <w:t>, HDL, PLS (n=1503); scoring method 5—</w:t>
      </w:r>
      <w:r w:rsidRPr="00D178EC">
        <w:rPr>
          <w:rFonts w:asciiTheme="minorHAnsi" w:hAnsiTheme="minorHAnsi"/>
        </w:rPr>
        <w:t>SBP, DBP, A1C, ALB, CR</w:t>
      </w:r>
      <w:r>
        <w:rPr>
          <w:rFonts w:asciiTheme="minorHAnsi" w:hAnsiTheme="minorHAnsi"/>
        </w:rPr>
        <w:t>S</w:t>
      </w:r>
      <w:r w:rsidRPr="00D178EC">
        <w:rPr>
          <w:rFonts w:asciiTheme="minorHAnsi" w:hAnsiTheme="minorHAnsi"/>
        </w:rPr>
        <w:t>, CRP, HOM, TC</w:t>
      </w:r>
      <w:r>
        <w:rPr>
          <w:rFonts w:asciiTheme="minorHAnsi" w:hAnsiTheme="minorHAnsi"/>
        </w:rPr>
        <w:t>, HDL, PLS (n=1503); and scoring method 6—</w:t>
      </w:r>
      <w:r w:rsidRPr="00D178EC">
        <w:rPr>
          <w:rFonts w:asciiTheme="minorHAnsi" w:hAnsiTheme="minorHAnsi"/>
        </w:rPr>
        <w:t xml:space="preserve">SBP, DBP, </w:t>
      </w:r>
      <w:r>
        <w:rPr>
          <w:rFonts w:asciiTheme="minorHAnsi" w:hAnsiTheme="minorHAnsi"/>
        </w:rPr>
        <w:t xml:space="preserve">BMI, </w:t>
      </w:r>
      <w:r w:rsidRPr="00D178EC">
        <w:rPr>
          <w:rFonts w:asciiTheme="minorHAnsi" w:hAnsiTheme="minorHAnsi"/>
        </w:rPr>
        <w:t>A1C, ALB, CR</w:t>
      </w:r>
      <w:r>
        <w:rPr>
          <w:rFonts w:asciiTheme="minorHAnsi" w:hAnsiTheme="minorHAnsi"/>
        </w:rPr>
        <w:t>C</w:t>
      </w:r>
      <w:r w:rsidRPr="00D178EC">
        <w:rPr>
          <w:rFonts w:asciiTheme="minorHAnsi" w:hAnsiTheme="minorHAnsi"/>
        </w:rPr>
        <w:t>, CRP, TC</w:t>
      </w:r>
      <w:r>
        <w:rPr>
          <w:rFonts w:asciiTheme="minorHAnsi" w:hAnsiTheme="minorHAnsi"/>
        </w:rPr>
        <w:t xml:space="preserve">, HDL (n=1503). Abbreviations: </w:t>
      </w:r>
      <w:r w:rsidRPr="00D178EC">
        <w:rPr>
          <w:rFonts w:asciiTheme="minorHAnsi" w:hAnsiTheme="minorHAnsi"/>
        </w:rPr>
        <w:t>SBP,</w:t>
      </w:r>
      <w:r>
        <w:rPr>
          <w:rFonts w:asciiTheme="minorHAnsi" w:hAnsiTheme="minorHAnsi"/>
        </w:rPr>
        <w:t xml:space="preserve"> systolic blood pressure;</w:t>
      </w:r>
      <w:r w:rsidRPr="00D178EC">
        <w:rPr>
          <w:rFonts w:asciiTheme="minorHAnsi" w:hAnsiTheme="minorHAnsi"/>
        </w:rPr>
        <w:t xml:space="preserve"> DBP, </w:t>
      </w:r>
      <w:r>
        <w:rPr>
          <w:rFonts w:asciiTheme="minorHAnsi" w:hAnsiTheme="minorHAnsi"/>
        </w:rPr>
        <w:t xml:space="preserve">diastolic blood pressure; </w:t>
      </w:r>
      <w:r w:rsidRPr="00D178EC">
        <w:rPr>
          <w:rFonts w:asciiTheme="minorHAnsi" w:hAnsiTheme="minorHAnsi"/>
        </w:rPr>
        <w:t xml:space="preserve">BMI, </w:t>
      </w:r>
      <w:r>
        <w:rPr>
          <w:rFonts w:asciiTheme="minorHAnsi" w:hAnsiTheme="minorHAnsi"/>
        </w:rPr>
        <w:t>body mass index; A1C, glycosylated hemoglobin;</w:t>
      </w:r>
      <w:r w:rsidRPr="00D178EC">
        <w:rPr>
          <w:rFonts w:asciiTheme="minorHAnsi" w:hAnsiTheme="minorHAnsi"/>
        </w:rPr>
        <w:t xml:space="preserve"> ALB,</w:t>
      </w:r>
      <w:r>
        <w:rPr>
          <w:rFonts w:asciiTheme="minorHAnsi" w:hAnsiTheme="minorHAnsi"/>
        </w:rPr>
        <w:t xml:space="preserve"> serum albumin; </w:t>
      </w:r>
      <w:r w:rsidRPr="00D178EC">
        <w:rPr>
          <w:rFonts w:asciiTheme="minorHAnsi" w:hAnsiTheme="minorHAnsi"/>
        </w:rPr>
        <w:t xml:space="preserve">TRI, </w:t>
      </w:r>
      <w:r>
        <w:rPr>
          <w:rFonts w:asciiTheme="minorHAnsi" w:hAnsiTheme="minorHAnsi"/>
        </w:rPr>
        <w:t xml:space="preserve">triglycerides; </w:t>
      </w:r>
      <w:r w:rsidRPr="00D178EC">
        <w:rPr>
          <w:rFonts w:asciiTheme="minorHAnsi" w:hAnsiTheme="minorHAnsi"/>
        </w:rPr>
        <w:t xml:space="preserve">CRP, </w:t>
      </w:r>
      <w:r>
        <w:rPr>
          <w:rFonts w:asciiTheme="minorHAnsi" w:hAnsiTheme="minorHAnsi"/>
        </w:rPr>
        <w:t xml:space="preserve">c-reactive protein; </w:t>
      </w:r>
      <w:r w:rsidRPr="00D178EC">
        <w:rPr>
          <w:rFonts w:asciiTheme="minorHAnsi" w:hAnsiTheme="minorHAnsi"/>
        </w:rPr>
        <w:t xml:space="preserve">HOM, </w:t>
      </w:r>
      <w:r>
        <w:rPr>
          <w:rFonts w:asciiTheme="minorHAnsi" w:hAnsiTheme="minorHAnsi"/>
        </w:rPr>
        <w:t xml:space="preserve">homocysteine; </w:t>
      </w:r>
      <w:r w:rsidRPr="00D178EC">
        <w:rPr>
          <w:rFonts w:asciiTheme="minorHAnsi" w:hAnsiTheme="minorHAnsi"/>
        </w:rPr>
        <w:t>TC</w:t>
      </w:r>
      <w:r>
        <w:rPr>
          <w:rFonts w:asciiTheme="minorHAnsi" w:hAnsiTheme="minorHAnsi"/>
        </w:rPr>
        <w:t>, total cholesterol; HDL, high-density lipoprotein cholesterol; PLS, pulse; CRU, urine creatinine; CRS, serum creatinine; CRC, creatinine clearance.</w:t>
      </w:r>
    </w:p>
    <w:p w14:paraId="384A329C" w14:textId="69153672" w:rsidR="007E5EBE" w:rsidRDefault="007E5EBE">
      <w:pPr>
        <w:spacing w:before="0" w:after="200" w:line="276" w:lineRule="auto"/>
        <w:rPr>
          <w:rFonts w:asciiTheme="minorHAnsi" w:hAnsiTheme="minorHAnsi"/>
        </w:rPr>
      </w:pPr>
    </w:p>
    <w:sectPr w:rsidR="007E5EBE" w:rsidSect="001F0F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D56D4" w14:textId="77777777" w:rsidR="00E44150" w:rsidRDefault="00E44150" w:rsidP="008B5D54">
      <w:pPr>
        <w:spacing w:after="0" w:line="240" w:lineRule="auto"/>
      </w:pPr>
      <w:r>
        <w:separator/>
      </w:r>
    </w:p>
  </w:endnote>
  <w:endnote w:type="continuationSeparator" w:id="0">
    <w:p w14:paraId="1D8D8915" w14:textId="77777777" w:rsidR="00E44150" w:rsidRDefault="00E44150" w:rsidP="008B5D54">
      <w:pPr>
        <w:spacing w:after="0" w:line="240" w:lineRule="auto"/>
      </w:pPr>
      <w:r>
        <w:continuationSeparator/>
      </w:r>
    </w:p>
  </w:endnote>
  <w:endnote w:type="continuationNotice" w:id="1">
    <w:p w14:paraId="35060FB2" w14:textId="77777777" w:rsidR="00E44150" w:rsidRDefault="00E4415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F6D9" w14:textId="77777777" w:rsidR="00E44150" w:rsidRDefault="00E44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811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C7557" w14:textId="7F95A6E2" w:rsidR="00E44150" w:rsidRDefault="00E441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3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6E6856" w14:textId="77777777" w:rsidR="00E44150" w:rsidRDefault="00E44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6C0BD" w14:textId="77777777" w:rsidR="00E44150" w:rsidRDefault="00E44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B011F" w14:textId="77777777" w:rsidR="00E44150" w:rsidRDefault="00E44150" w:rsidP="008B5D54">
      <w:pPr>
        <w:spacing w:after="0" w:line="240" w:lineRule="auto"/>
      </w:pPr>
      <w:r>
        <w:separator/>
      </w:r>
    </w:p>
  </w:footnote>
  <w:footnote w:type="continuationSeparator" w:id="0">
    <w:p w14:paraId="45431B6F" w14:textId="77777777" w:rsidR="00E44150" w:rsidRDefault="00E44150" w:rsidP="008B5D54">
      <w:pPr>
        <w:spacing w:after="0" w:line="240" w:lineRule="auto"/>
      </w:pPr>
      <w:r>
        <w:continuationSeparator/>
      </w:r>
    </w:p>
  </w:footnote>
  <w:footnote w:type="continuationNotice" w:id="1">
    <w:p w14:paraId="653B0E2A" w14:textId="77777777" w:rsidR="00E44150" w:rsidRDefault="00E4415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64084" w14:textId="77777777" w:rsidR="00E44150" w:rsidRDefault="00E44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D5279" w14:textId="77777777" w:rsidR="00E44150" w:rsidRDefault="00E441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516D9" w14:textId="77777777" w:rsidR="00E44150" w:rsidRDefault="00E44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E1089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7D1108F"/>
    <w:multiLevelType w:val="hybridMultilevel"/>
    <w:tmpl w:val="F6EECF9A"/>
    <w:lvl w:ilvl="0" w:tplc="08224BE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7F94"/>
    <w:multiLevelType w:val="hybridMultilevel"/>
    <w:tmpl w:val="39CC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00F8"/>
    <w:multiLevelType w:val="hybridMultilevel"/>
    <w:tmpl w:val="9F3A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354F1"/>
    <w:multiLevelType w:val="hybridMultilevel"/>
    <w:tmpl w:val="E01C1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36317"/>
    <w:multiLevelType w:val="hybridMultilevel"/>
    <w:tmpl w:val="2D3830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396F95"/>
    <w:multiLevelType w:val="hybridMultilevel"/>
    <w:tmpl w:val="E4F2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61F07"/>
    <w:rsid w:val="000000CF"/>
    <w:rsid w:val="00061FE0"/>
    <w:rsid w:val="0008629E"/>
    <w:rsid w:val="00087BFF"/>
    <w:rsid w:val="000D20B3"/>
    <w:rsid w:val="000F2BE1"/>
    <w:rsid w:val="001255B9"/>
    <w:rsid w:val="00167806"/>
    <w:rsid w:val="001759E4"/>
    <w:rsid w:val="00183293"/>
    <w:rsid w:val="001E2E9B"/>
    <w:rsid w:val="001F0F87"/>
    <w:rsid w:val="00210221"/>
    <w:rsid w:val="00246FAE"/>
    <w:rsid w:val="00251412"/>
    <w:rsid w:val="002629D1"/>
    <w:rsid w:val="00262A0E"/>
    <w:rsid w:val="002A78D3"/>
    <w:rsid w:val="002C65E5"/>
    <w:rsid w:val="002D78B4"/>
    <w:rsid w:val="002F754C"/>
    <w:rsid w:val="00301142"/>
    <w:rsid w:val="00324280"/>
    <w:rsid w:val="00340E8A"/>
    <w:rsid w:val="003432E5"/>
    <w:rsid w:val="00360B22"/>
    <w:rsid w:val="00360E73"/>
    <w:rsid w:val="003623A8"/>
    <w:rsid w:val="00402B34"/>
    <w:rsid w:val="004256FF"/>
    <w:rsid w:val="004A6A16"/>
    <w:rsid w:val="004F00C4"/>
    <w:rsid w:val="00506CEA"/>
    <w:rsid w:val="00510D1A"/>
    <w:rsid w:val="00523316"/>
    <w:rsid w:val="00547901"/>
    <w:rsid w:val="00557158"/>
    <w:rsid w:val="005670FC"/>
    <w:rsid w:val="00574A52"/>
    <w:rsid w:val="005A135A"/>
    <w:rsid w:val="005D689D"/>
    <w:rsid w:val="00680E83"/>
    <w:rsid w:val="00693CC7"/>
    <w:rsid w:val="006C6578"/>
    <w:rsid w:val="007612D4"/>
    <w:rsid w:val="00766C6D"/>
    <w:rsid w:val="007778F2"/>
    <w:rsid w:val="00790687"/>
    <w:rsid w:val="007B4575"/>
    <w:rsid w:val="007B5573"/>
    <w:rsid w:val="007E318B"/>
    <w:rsid w:val="007E5EBE"/>
    <w:rsid w:val="00855776"/>
    <w:rsid w:val="008759EF"/>
    <w:rsid w:val="00886C42"/>
    <w:rsid w:val="00896C72"/>
    <w:rsid w:val="008B5D54"/>
    <w:rsid w:val="008B5F99"/>
    <w:rsid w:val="008B75F1"/>
    <w:rsid w:val="008C57B7"/>
    <w:rsid w:val="008D5C1E"/>
    <w:rsid w:val="008E2D4D"/>
    <w:rsid w:val="00901BF5"/>
    <w:rsid w:val="00903616"/>
    <w:rsid w:val="0091743E"/>
    <w:rsid w:val="00930975"/>
    <w:rsid w:val="00941492"/>
    <w:rsid w:val="0095693A"/>
    <w:rsid w:val="00960B91"/>
    <w:rsid w:val="009643C9"/>
    <w:rsid w:val="009842C1"/>
    <w:rsid w:val="009B157C"/>
    <w:rsid w:val="00A40B34"/>
    <w:rsid w:val="00A43268"/>
    <w:rsid w:val="00A62A42"/>
    <w:rsid w:val="00A96A38"/>
    <w:rsid w:val="00AA2AE1"/>
    <w:rsid w:val="00AF0BAC"/>
    <w:rsid w:val="00B4799B"/>
    <w:rsid w:val="00B541BF"/>
    <w:rsid w:val="00B55735"/>
    <w:rsid w:val="00B608AC"/>
    <w:rsid w:val="00B8647A"/>
    <w:rsid w:val="00BE3E40"/>
    <w:rsid w:val="00C36A66"/>
    <w:rsid w:val="00C64AC8"/>
    <w:rsid w:val="00C9383E"/>
    <w:rsid w:val="00CF12E3"/>
    <w:rsid w:val="00D04B12"/>
    <w:rsid w:val="00D056E3"/>
    <w:rsid w:val="00D46324"/>
    <w:rsid w:val="00D61F07"/>
    <w:rsid w:val="00DB71B0"/>
    <w:rsid w:val="00DC57CC"/>
    <w:rsid w:val="00DE391D"/>
    <w:rsid w:val="00DE4C30"/>
    <w:rsid w:val="00E15AD7"/>
    <w:rsid w:val="00E21603"/>
    <w:rsid w:val="00E357D2"/>
    <w:rsid w:val="00E44150"/>
    <w:rsid w:val="00E81229"/>
    <w:rsid w:val="00E8326D"/>
    <w:rsid w:val="00E8430C"/>
    <w:rsid w:val="00E92029"/>
    <w:rsid w:val="00F16390"/>
    <w:rsid w:val="00F747C2"/>
    <w:rsid w:val="00F81A91"/>
    <w:rsid w:val="00FB5279"/>
    <w:rsid w:val="00FC401C"/>
    <w:rsid w:val="00FD08C1"/>
    <w:rsid w:val="00FE4109"/>
    <w:rsid w:val="00FF08A8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5AAAD8"/>
  <w15:docId w15:val="{05DCDE9E-02AA-4D1C-8CA4-942BF04D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07"/>
    <w:pPr>
      <w:spacing w:before="240" w:after="120" w:line="48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61F07"/>
    <w:pPr>
      <w:spacing w:before="0" w:after="0" w:line="240" w:lineRule="auto"/>
      <w:contextualSpacing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61F07"/>
    <w:pPr>
      <w:keepNext/>
      <w:keepLines/>
      <w:spacing w:before="0" w:after="0" w:line="240" w:lineRule="auto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61F07"/>
    <w:pPr>
      <w:keepNext/>
      <w:spacing w:before="0" w:after="0" w:line="276" w:lineRule="auto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1F0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1F0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1F0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1F0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1F0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1F0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rsid w:val="00D61F07"/>
    <w:pPr>
      <w:tabs>
        <w:tab w:val="center" w:pos="4680"/>
        <w:tab w:val="right" w:pos="9360"/>
      </w:tabs>
      <w:spacing w:before="0"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D61F07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D61F07"/>
    <w:rPr>
      <w:rFonts w:ascii="Calibri" w:eastAsia="Times New Roman" w:hAnsi="Calibri" w:cs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61F07"/>
    <w:rPr>
      <w:rFonts w:ascii="Calibri" w:eastAsia="Times New Roman" w:hAnsi="Calibri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61F07"/>
    <w:rPr>
      <w:rFonts w:ascii="Calibri" w:eastAsia="Times New Roman" w:hAnsi="Calibri" w:cs="Times New Roman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61F0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D61F0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D61F0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D61F0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D61F0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D61F0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D61F07"/>
    <w:pPr>
      <w:spacing w:before="360" w:after="0" w:line="360" w:lineRule="auto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99"/>
    <w:rsid w:val="00D61F07"/>
    <w:pPr>
      <w:spacing w:after="0" w:line="360" w:lineRule="auto"/>
    </w:pPr>
    <w:rPr>
      <w:b/>
      <w:bCs/>
      <w:szCs w:val="20"/>
    </w:rPr>
  </w:style>
  <w:style w:type="paragraph" w:styleId="TOC3">
    <w:name w:val="toc 3"/>
    <w:basedOn w:val="Normal"/>
    <w:next w:val="Normal"/>
    <w:autoRedefine/>
    <w:uiPriority w:val="99"/>
    <w:rsid w:val="00D61F07"/>
    <w:pPr>
      <w:spacing w:before="0" w:after="0" w:line="360" w:lineRule="auto"/>
      <w:ind w:left="220"/>
    </w:pPr>
    <w:rPr>
      <w:szCs w:val="20"/>
    </w:rPr>
  </w:style>
  <w:style w:type="paragraph" w:styleId="TOCHeading">
    <w:name w:val="TOC Heading"/>
    <w:basedOn w:val="Heading1"/>
    <w:next w:val="Normal"/>
    <w:uiPriority w:val="99"/>
    <w:qFormat/>
    <w:rsid w:val="00D61F07"/>
    <w:pPr>
      <w:keepNext/>
      <w:keepLines/>
      <w:spacing w:line="276" w:lineRule="auto"/>
      <w:contextualSpacing w:val="0"/>
      <w:outlineLvl w:val="9"/>
    </w:pPr>
    <w:rPr>
      <w:color w:val="365F91"/>
    </w:rPr>
  </w:style>
  <w:style w:type="paragraph" w:styleId="Title">
    <w:name w:val="Title"/>
    <w:basedOn w:val="Normal"/>
    <w:next w:val="Normal"/>
    <w:link w:val="TitleChar"/>
    <w:uiPriority w:val="99"/>
    <w:qFormat/>
    <w:rsid w:val="00D61F0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D61F0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1F0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61F0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D61F0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D61F07"/>
    <w:rPr>
      <w:rFonts w:cs="Times New Roman"/>
      <w:b/>
      <w:bCs/>
    </w:rPr>
  </w:style>
  <w:style w:type="paragraph" w:styleId="NoSpacing">
    <w:name w:val="No Spacing"/>
    <w:basedOn w:val="Normal"/>
    <w:uiPriority w:val="99"/>
    <w:qFormat/>
    <w:rsid w:val="00D61F0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D61F07"/>
    <w:pPr>
      <w:spacing w:before="0" w:after="0"/>
      <w:ind w:left="720"/>
      <w:contextualSpacing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99"/>
    <w:qFormat/>
    <w:rsid w:val="00D61F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D61F07"/>
    <w:rPr>
      <w:rFonts w:ascii="Calibri" w:eastAsia="Times New Roman" w:hAnsi="Calibri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61F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61F07"/>
    <w:rPr>
      <w:rFonts w:ascii="Calibri" w:eastAsia="Times New Roman" w:hAnsi="Calibri"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D61F07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D61F07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D61F07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D61F07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61F07"/>
    <w:rPr>
      <w:rFonts w:cs="Times New Roman"/>
      <w:i/>
      <w:smallCaps/>
      <w:spacing w:val="5"/>
    </w:rPr>
  </w:style>
  <w:style w:type="paragraph" w:styleId="ListNumber">
    <w:name w:val="List Number"/>
    <w:basedOn w:val="Normal"/>
    <w:uiPriority w:val="99"/>
    <w:rsid w:val="00D61F07"/>
    <w:pPr>
      <w:numPr>
        <w:numId w:val="1"/>
      </w:numPr>
      <w:spacing w:after="240" w:line="240" w:lineRule="auto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1F0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61F07"/>
    <w:rPr>
      <w:rFonts w:cs="Times New Roman"/>
      <w:color w:val="0000FF"/>
      <w:u w:val="single"/>
    </w:rPr>
  </w:style>
  <w:style w:type="paragraph" w:customStyle="1" w:styleId="NormalCRI">
    <w:name w:val="Normal CRI"/>
    <w:link w:val="NormalCRIChar"/>
    <w:uiPriority w:val="99"/>
    <w:rsid w:val="00D61F07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RIChar">
    <w:name w:val="Normal CRI Char"/>
    <w:basedOn w:val="DefaultParagraphFont"/>
    <w:link w:val="NormalCRI"/>
    <w:uiPriority w:val="99"/>
    <w:locked/>
    <w:rsid w:val="00D61F0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61F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1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F0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1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F07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1F07"/>
    <w:pPr>
      <w:spacing w:after="0" w:line="240" w:lineRule="auto"/>
    </w:pPr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uiPriority w:val="99"/>
    <w:semiHidden/>
    <w:rsid w:val="00D61F07"/>
    <w:rPr>
      <w:rFonts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D61F0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61F07"/>
    <w:rPr>
      <w:rFonts w:ascii="Calibri" w:eastAsia="Times New Roman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D61F07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61F07"/>
    <w:rPr>
      <w:rFonts w:ascii="Calibri" w:eastAsia="Times New Roman" w:hAnsi="Calibri" w:cs="Times New Roman"/>
      <w:noProof/>
    </w:rPr>
  </w:style>
  <w:style w:type="character" w:styleId="PlaceholderText">
    <w:name w:val="Placeholder Text"/>
    <w:basedOn w:val="DefaultParagraphFont"/>
    <w:uiPriority w:val="99"/>
    <w:semiHidden/>
    <w:rsid w:val="00D61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2D5CE-8C2C-4278-9508-698BC330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2781</Words>
  <Characters>15858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Katherine (CDC/OPHSS/NCHS)</dc:creator>
  <cp:lastModifiedBy>Rossen, Lauren M. (CDC/DDPHSS/NCHS/DRM)</cp:lastModifiedBy>
  <cp:revision>2</cp:revision>
  <dcterms:created xsi:type="dcterms:W3CDTF">2019-08-12T14:41:00Z</dcterms:created>
  <dcterms:modified xsi:type="dcterms:W3CDTF">2019-08-12T14:41:00Z</dcterms:modified>
</cp:coreProperties>
</file>