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2FE43" w14:textId="08D342BC" w:rsidR="00FC70C6" w:rsidRPr="001A6DA1" w:rsidRDefault="001B642E" w:rsidP="001B642E">
      <w:pPr>
        <w:spacing w:after="0" w:line="480" w:lineRule="auto"/>
        <w:rPr>
          <w:rFonts w:ascii="Times New Roman" w:hAnsi="Times New Roman"/>
          <w:b/>
          <w:sz w:val="24"/>
        </w:rPr>
      </w:pPr>
      <w:r w:rsidRPr="001A6DA1">
        <w:rPr>
          <w:rFonts w:ascii="Times New Roman" w:hAnsi="Times New Roman"/>
          <w:b/>
          <w:sz w:val="24"/>
        </w:rPr>
        <w:t>Appendix</w:t>
      </w:r>
      <w:r w:rsidR="00DD51CA" w:rsidRPr="001A6DA1">
        <w:rPr>
          <w:rFonts w:ascii="Times New Roman" w:hAnsi="Times New Roman"/>
          <w:b/>
          <w:sz w:val="24"/>
        </w:rPr>
        <w:t>: Differences in methods and data sources between Grosse et al. (2009) and present study</w:t>
      </w:r>
      <w:r w:rsidR="00DD51CA" w:rsidRPr="001A6DA1" w:rsidDel="00126795">
        <w:rPr>
          <w:rFonts w:ascii="Times New Roman" w:hAnsi="Times New Roman"/>
          <w:b/>
          <w:sz w:val="24"/>
        </w:rPr>
        <w:t xml:space="preserve"> </w:t>
      </w:r>
    </w:p>
    <w:p w14:paraId="7843287B" w14:textId="0A4D61D6" w:rsidR="00CC28F7" w:rsidRDefault="004A1CE4" w:rsidP="000F600B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Grosse et al. (2009)</w:t>
      </w:r>
      <w:r w:rsidR="001B642E">
        <w:rPr>
          <w:rFonts w:ascii="Times New Roman" w:hAnsi="Times New Roman"/>
          <w:sz w:val="24"/>
        </w:rPr>
        <w:t xml:space="preserve"> </w:t>
      </w:r>
      <w:r w:rsidR="001B642E" w:rsidRPr="001B642E">
        <w:rPr>
          <w:rFonts w:ascii="Times New Roman" w:hAnsi="Times New Roman"/>
          <w:sz w:val="24"/>
        </w:rPr>
        <w:t>estimate</w:t>
      </w:r>
      <w:r w:rsidR="007913A4">
        <w:rPr>
          <w:rFonts w:ascii="Times New Roman" w:hAnsi="Times New Roman"/>
          <w:sz w:val="24"/>
        </w:rPr>
        <w:t>d</w:t>
      </w:r>
      <w:r w:rsidR="001B642E" w:rsidRPr="001B642E">
        <w:rPr>
          <w:rFonts w:ascii="Times New Roman" w:hAnsi="Times New Roman"/>
          <w:sz w:val="24"/>
        </w:rPr>
        <w:t xml:space="preserve"> 2007-dollar annual productivity values </w:t>
      </w:r>
      <w:r w:rsidR="007913A4">
        <w:rPr>
          <w:rFonts w:ascii="Times New Roman" w:hAnsi="Times New Roman"/>
          <w:sz w:val="24"/>
        </w:rPr>
        <w:t xml:space="preserve">for both market and household production. They </w:t>
      </w:r>
      <w:r w:rsidR="005C50ED">
        <w:rPr>
          <w:rFonts w:ascii="Times New Roman" w:hAnsi="Times New Roman"/>
          <w:sz w:val="24"/>
        </w:rPr>
        <w:t xml:space="preserve">separately </w:t>
      </w:r>
      <w:r w:rsidR="007913A4">
        <w:rPr>
          <w:rFonts w:ascii="Times New Roman" w:hAnsi="Times New Roman"/>
          <w:sz w:val="24"/>
        </w:rPr>
        <w:t xml:space="preserve">estimated </w:t>
      </w:r>
      <w:r w:rsidR="001B642E" w:rsidRPr="001B642E">
        <w:rPr>
          <w:rFonts w:ascii="Times New Roman" w:hAnsi="Times New Roman"/>
          <w:sz w:val="24"/>
        </w:rPr>
        <w:t>average daily hours of market</w:t>
      </w:r>
      <w:r w:rsidR="005C50ED">
        <w:rPr>
          <w:rFonts w:ascii="Times New Roman" w:hAnsi="Times New Roman"/>
          <w:sz w:val="24"/>
        </w:rPr>
        <w:t xml:space="preserve"> and household</w:t>
      </w:r>
      <w:r w:rsidR="001B642E" w:rsidRPr="001B642E">
        <w:rPr>
          <w:rFonts w:ascii="Times New Roman" w:hAnsi="Times New Roman"/>
          <w:sz w:val="24"/>
        </w:rPr>
        <w:t xml:space="preserve"> work</w:t>
      </w:r>
      <w:r w:rsidR="005C50ED">
        <w:rPr>
          <w:rFonts w:ascii="Times New Roman" w:hAnsi="Times New Roman"/>
          <w:sz w:val="24"/>
        </w:rPr>
        <w:t xml:space="preserve"> (including weekends and holidays)</w:t>
      </w:r>
      <w:r w:rsidR="001B642E" w:rsidRPr="001B642E">
        <w:rPr>
          <w:rFonts w:ascii="Times New Roman" w:hAnsi="Times New Roman"/>
          <w:sz w:val="24"/>
        </w:rPr>
        <w:t xml:space="preserve"> by </w:t>
      </w:r>
      <w:r w:rsidR="00B678A5">
        <w:rPr>
          <w:rFonts w:ascii="Times New Roman" w:hAnsi="Times New Roman"/>
          <w:sz w:val="24"/>
        </w:rPr>
        <w:t>gender</w:t>
      </w:r>
      <w:r w:rsidR="001B642E" w:rsidRPr="001B642E">
        <w:rPr>
          <w:rFonts w:ascii="Times New Roman" w:hAnsi="Times New Roman"/>
          <w:sz w:val="24"/>
        </w:rPr>
        <w:t xml:space="preserve"> and age in the U.S. non-institutional population</w:t>
      </w:r>
      <w:r w:rsidR="001B642E">
        <w:rPr>
          <w:rFonts w:ascii="Times New Roman" w:hAnsi="Times New Roman"/>
          <w:sz w:val="24"/>
        </w:rPr>
        <w:t xml:space="preserve"> </w:t>
      </w:r>
      <w:r w:rsidR="007913A4">
        <w:rPr>
          <w:rFonts w:ascii="Times New Roman" w:hAnsi="Times New Roman"/>
          <w:sz w:val="24"/>
        </w:rPr>
        <w:t xml:space="preserve">using </w:t>
      </w:r>
      <w:r w:rsidR="007913A4" w:rsidRPr="001B642E">
        <w:rPr>
          <w:rFonts w:ascii="Times New Roman" w:hAnsi="Times New Roman"/>
          <w:sz w:val="24"/>
        </w:rPr>
        <w:t>American Time Use Survey (ATUS)</w:t>
      </w:r>
      <w:r w:rsidR="007913A4">
        <w:rPr>
          <w:rFonts w:ascii="Times New Roman" w:hAnsi="Times New Roman"/>
          <w:sz w:val="24"/>
        </w:rPr>
        <w:t xml:space="preserve"> data from 2003 to 2007. </w:t>
      </w:r>
    </w:p>
    <w:p w14:paraId="7477A670" w14:textId="6DB457EE" w:rsidR="00DD51CA" w:rsidRDefault="005C50ED" w:rsidP="00DD51CA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 calculate market productivity, </w:t>
      </w:r>
      <w:r w:rsidR="00CC28F7">
        <w:rPr>
          <w:rFonts w:ascii="Times New Roman" w:hAnsi="Times New Roman"/>
          <w:sz w:val="24"/>
        </w:rPr>
        <w:t>Grosse et al.</w:t>
      </w:r>
      <w:r w:rsidR="00C4488B">
        <w:rPr>
          <w:rFonts w:ascii="Times New Roman" w:hAnsi="Times New Roman"/>
          <w:sz w:val="24"/>
        </w:rPr>
        <w:t xml:space="preserve"> (2009)</w:t>
      </w:r>
      <w:r w:rsidR="00CC28F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first estimated a</w:t>
      </w:r>
      <w:r w:rsidR="007913A4" w:rsidRPr="00216589">
        <w:rPr>
          <w:rFonts w:ascii="Times New Roman" w:hAnsi="Times New Roman"/>
          <w:sz w:val="24"/>
        </w:rPr>
        <w:t xml:space="preserve">verage hourly </w:t>
      </w:r>
      <w:r>
        <w:rPr>
          <w:rFonts w:ascii="Times New Roman" w:hAnsi="Times New Roman"/>
          <w:sz w:val="24"/>
        </w:rPr>
        <w:t xml:space="preserve">money </w:t>
      </w:r>
      <w:r w:rsidR="007913A4" w:rsidRPr="00216589">
        <w:rPr>
          <w:rFonts w:ascii="Times New Roman" w:hAnsi="Times New Roman"/>
          <w:sz w:val="24"/>
        </w:rPr>
        <w:t>earnings for wage and salary workers</w:t>
      </w:r>
      <w:r w:rsidR="007913A4">
        <w:rPr>
          <w:rFonts w:ascii="Times New Roman" w:hAnsi="Times New Roman"/>
          <w:sz w:val="24"/>
        </w:rPr>
        <w:t xml:space="preserve"> </w:t>
      </w:r>
      <w:r w:rsidR="00E358B8">
        <w:rPr>
          <w:rFonts w:ascii="Times New Roman" w:hAnsi="Times New Roman"/>
          <w:sz w:val="24"/>
        </w:rPr>
        <w:t>reported in the Current Population Survey (CPS)</w:t>
      </w:r>
      <w:r w:rsidR="00E358B8" w:rsidRPr="00E358B8">
        <w:rPr>
          <w:rFonts w:ascii="Times New Roman" w:hAnsi="Times New Roman"/>
          <w:sz w:val="24"/>
        </w:rPr>
        <w:t xml:space="preserve"> </w:t>
      </w:r>
      <w:r w:rsidR="007913A4" w:rsidRPr="00216589">
        <w:rPr>
          <w:rFonts w:ascii="Times New Roman" w:hAnsi="Times New Roman"/>
          <w:sz w:val="24"/>
        </w:rPr>
        <w:t>as usual weekly earnings divided by usual weekly hours worked</w:t>
      </w:r>
      <w:r w:rsidR="007913A4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Second</w:t>
      </w:r>
      <w:r w:rsidR="001B642E">
        <w:rPr>
          <w:rFonts w:ascii="Times New Roman" w:hAnsi="Times New Roman"/>
          <w:sz w:val="24"/>
        </w:rPr>
        <w:t xml:space="preserve">, hourly wages were increased by </w:t>
      </w:r>
      <w:r w:rsidR="001B642E" w:rsidRPr="001B642E">
        <w:rPr>
          <w:rFonts w:ascii="Times New Roman" w:hAnsi="Times New Roman"/>
          <w:sz w:val="24"/>
        </w:rPr>
        <w:t>a 30.9% fringe benefit rate</w:t>
      </w:r>
      <w:r>
        <w:rPr>
          <w:rFonts w:ascii="Times New Roman" w:hAnsi="Times New Roman"/>
          <w:sz w:val="24"/>
        </w:rPr>
        <w:t xml:space="preserve"> to calculate hourly compensation. </w:t>
      </w:r>
      <w:r w:rsidR="00126795">
        <w:rPr>
          <w:rFonts w:ascii="Times New Roman" w:hAnsi="Times New Roman"/>
          <w:sz w:val="24"/>
        </w:rPr>
        <w:t xml:space="preserve">Grosse et al. (2009) </w:t>
      </w:r>
      <w:r w:rsidR="00CC28F7">
        <w:rPr>
          <w:rFonts w:ascii="Times New Roman" w:hAnsi="Times New Roman"/>
          <w:sz w:val="24"/>
        </w:rPr>
        <w:t xml:space="preserve">stated </w:t>
      </w:r>
      <w:r w:rsidR="0012679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hat the </w:t>
      </w:r>
      <w:r w:rsidR="004E662E" w:rsidRPr="001B642E">
        <w:rPr>
          <w:rFonts w:ascii="Times New Roman" w:hAnsi="Times New Roman"/>
          <w:sz w:val="24"/>
        </w:rPr>
        <w:t>fringe benefit rate</w:t>
      </w:r>
      <w:r w:rsidR="00126795">
        <w:rPr>
          <w:rFonts w:ascii="Times New Roman" w:hAnsi="Times New Roman"/>
          <w:sz w:val="24"/>
        </w:rPr>
        <w:t xml:space="preserve"> was calculated as</w:t>
      </w:r>
      <w:r>
        <w:rPr>
          <w:rFonts w:ascii="Times New Roman" w:hAnsi="Times New Roman"/>
          <w:sz w:val="24"/>
        </w:rPr>
        <w:t xml:space="preserve"> the total </w:t>
      </w:r>
      <w:r w:rsidRPr="00216589">
        <w:rPr>
          <w:rFonts w:ascii="Times New Roman" w:hAnsi="Times New Roman"/>
          <w:sz w:val="24"/>
        </w:rPr>
        <w:t xml:space="preserve">employer cost of insurance, retirement, and legally required benefits </w:t>
      </w:r>
      <w:r>
        <w:rPr>
          <w:rFonts w:ascii="Times New Roman" w:hAnsi="Times New Roman"/>
          <w:sz w:val="24"/>
        </w:rPr>
        <w:t>to the sum of</w:t>
      </w:r>
      <w:r w:rsidRPr="00216589">
        <w:rPr>
          <w:rFonts w:ascii="Times New Roman" w:hAnsi="Times New Roman"/>
          <w:sz w:val="24"/>
        </w:rPr>
        <w:t xml:space="preserve"> cash wages, salaries, and supplemental pay earned per hour </w:t>
      </w:r>
      <w:r>
        <w:rPr>
          <w:rFonts w:ascii="Times New Roman" w:hAnsi="Times New Roman"/>
          <w:sz w:val="24"/>
        </w:rPr>
        <w:t xml:space="preserve">of </w:t>
      </w:r>
      <w:r w:rsidRPr="00216589">
        <w:rPr>
          <w:rFonts w:ascii="Times New Roman" w:hAnsi="Times New Roman"/>
          <w:sz w:val="24"/>
        </w:rPr>
        <w:t>work</w:t>
      </w:r>
      <w:r>
        <w:rPr>
          <w:rFonts w:ascii="Times New Roman" w:hAnsi="Times New Roman"/>
          <w:sz w:val="24"/>
        </w:rPr>
        <w:t xml:space="preserve"> </w:t>
      </w:r>
      <w:r w:rsidR="000F600B">
        <w:rPr>
          <w:rFonts w:ascii="Times New Roman" w:hAnsi="Times New Roman"/>
          <w:sz w:val="24"/>
        </w:rPr>
        <w:t xml:space="preserve">for all civilian workers </w:t>
      </w:r>
      <w:r>
        <w:rPr>
          <w:rFonts w:ascii="Times New Roman" w:hAnsi="Times New Roman"/>
          <w:sz w:val="24"/>
        </w:rPr>
        <w:t>from</w:t>
      </w:r>
      <w:r w:rsidR="001B642E">
        <w:rPr>
          <w:rFonts w:ascii="Times New Roman" w:hAnsi="Times New Roman"/>
          <w:sz w:val="24"/>
        </w:rPr>
        <w:t xml:space="preserve"> </w:t>
      </w:r>
      <w:r w:rsidR="0000091D">
        <w:rPr>
          <w:rFonts w:ascii="Times New Roman" w:hAnsi="Times New Roman"/>
          <w:sz w:val="24"/>
        </w:rPr>
        <w:t>the Bureau of Labor Statistics (BLS) Employer Cost of Employee Compensation survey</w:t>
      </w:r>
      <w:r>
        <w:rPr>
          <w:rFonts w:ascii="Times New Roman" w:hAnsi="Times New Roman"/>
          <w:sz w:val="24"/>
        </w:rPr>
        <w:t xml:space="preserve"> of June 2007</w:t>
      </w:r>
      <w:r w:rsidR="001B642E">
        <w:rPr>
          <w:rFonts w:ascii="Times New Roman" w:hAnsi="Times New Roman"/>
          <w:sz w:val="24"/>
        </w:rPr>
        <w:t xml:space="preserve">. </w:t>
      </w:r>
      <w:r w:rsidR="00126795">
        <w:rPr>
          <w:rFonts w:ascii="Times New Roman" w:hAnsi="Times New Roman"/>
          <w:sz w:val="24"/>
        </w:rPr>
        <w:t>However</w:t>
      </w:r>
      <w:r w:rsidR="000F600B">
        <w:rPr>
          <w:rFonts w:ascii="Times New Roman" w:hAnsi="Times New Roman"/>
          <w:sz w:val="24"/>
        </w:rPr>
        <w:t xml:space="preserve">, the calculation </w:t>
      </w:r>
      <w:r w:rsidR="00CC28F7">
        <w:rPr>
          <w:rFonts w:ascii="Times New Roman" w:hAnsi="Times New Roman"/>
          <w:sz w:val="24"/>
        </w:rPr>
        <w:t xml:space="preserve">appears to have </w:t>
      </w:r>
      <w:r w:rsidR="000F600B">
        <w:rPr>
          <w:rFonts w:ascii="Times New Roman" w:hAnsi="Times New Roman"/>
          <w:sz w:val="24"/>
        </w:rPr>
        <w:t xml:space="preserve">mistakenly included supplemental pay under benefits; </w:t>
      </w:r>
      <w:r w:rsidR="00CC28F7">
        <w:rPr>
          <w:rFonts w:ascii="Times New Roman" w:hAnsi="Times New Roman"/>
          <w:sz w:val="24"/>
        </w:rPr>
        <w:t>when calculated as specified</w:t>
      </w:r>
      <w:r w:rsidR="00635DDB">
        <w:rPr>
          <w:rFonts w:ascii="Times New Roman" w:hAnsi="Times New Roman"/>
          <w:sz w:val="24"/>
        </w:rPr>
        <w:t xml:space="preserve"> in Grosse et al. (2009)</w:t>
      </w:r>
      <w:r w:rsidR="004E662E">
        <w:rPr>
          <w:rFonts w:ascii="Times New Roman" w:hAnsi="Times New Roman"/>
          <w:sz w:val="24"/>
        </w:rPr>
        <w:t xml:space="preserve"> (removing supplemental pay)</w:t>
      </w:r>
      <w:r w:rsidR="00CC28F7">
        <w:rPr>
          <w:rFonts w:ascii="Times New Roman" w:hAnsi="Times New Roman"/>
          <w:sz w:val="24"/>
        </w:rPr>
        <w:t xml:space="preserve">, </w:t>
      </w:r>
      <w:r w:rsidR="000F600B">
        <w:rPr>
          <w:rFonts w:ascii="Times New Roman" w:hAnsi="Times New Roman"/>
          <w:sz w:val="24"/>
        </w:rPr>
        <w:t xml:space="preserve">the </w:t>
      </w:r>
      <w:r w:rsidR="00CC28F7">
        <w:rPr>
          <w:rFonts w:ascii="Times New Roman" w:hAnsi="Times New Roman"/>
          <w:sz w:val="24"/>
        </w:rPr>
        <w:t xml:space="preserve">average </w:t>
      </w:r>
      <w:r w:rsidR="000F600B">
        <w:rPr>
          <w:rFonts w:ascii="Times New Roman" w:hAnsi="Times New Roman"/>
          <w:sz w:val="24"/>
        </w:rPr>
        <w:t>fringe benefit rate in th</w:t>
      </w:r>
      <w:r w:rsidR="00635DDB">
        <w:rPr>
          <w:rFonts w:ascii="Times New Roman" w:hAnsi="Times New Roman"/>
          <w:sz w:val="24"/>
        </w:rPr>
        <w:t>e 2007 BLS</w:t>
      </w:r>
      <w:r w:rsidR="000F600B">
        <w:rPr>
          <w:rFonts w:ascii="Times New Roman" w:hAnsi="Times New Roman"/>
          <w:sz w:val="24"/>
        </w:rPr>
        <w:t xml:space="preserve"> data was</w:t>
      </w:r>
      <w:r w:rsidR="00635DDB">
        <w:rPr>
          <w:rFonts w:ascii="Times New Roman" w:hAnsi="Times New Roman"/>
          <w:sz w:val="24"/>
        </w:rPr>
        <w:t xml:space="preserve"> found to be</w:t>
      </w:r>
      <w:r w:rsidR="000F600B">
        <w:rPr>
          <w:rFonts w:ascii="Times New Roman" w:hAnsi="Times New Roman"/>
          <w:sz w:val="24"/>
        </w:rPr>
        <w:t xml:space="preserve"> 28.4%</w:t>
      </w:r>
      <w:r w:rsidR="004E662E">
        <w:rPr>
          <w:rFonts w:ascii="Times New Roman" w:hAnsi="Times New Roman"/>
          <w:sz w:val="24"/>
        </w:rPr>
        <w:t xml:space="preserve"> rather than the reported 30.9%</w:t>
      </w:r>
      <w:r w:rsidR="000F600B">
        <w:rPr>
          <w:rFonts w:ascii="Times New Roman" w:hAnsi="Times New Roman"/>
          <w:sz w:val="24"/>
        </w:rPr>
        <w:t xml:space="preserve">. </w:t>
      </w:r>
      <w:r w:rsidR="00DD51CA">
        <w:rPr>
          <w:rFonts w:ascii="Times New Roman" w:hAnsi="Times New Roman"/>
          <w:sz w:val="24"/>
        </w:rPr>
        <w:t>A</w:t>
      </w:r>
      <w:r w:rsidR="00DD51CA" w:rsidRPr="00367689">
        <w:rPr>
          <w:rFonts w:ascii="Times New Roman" w:hAnsi="Times New Roman"/>
          <w:sz w:val="24"/>
        </w:rPr>
        <w:t xml:space="preserve">nnual earnings </w:t>
      </w:r>
      <w:r w:rsidR="00DD51CA">
        <w:rPr>
          <w:rFonts w:ascii="Times New Roman" w:hAnsi="Times New Roman"/>
          <w:sz w:val="24"/>
        </w:rPr>
        <w:t>were calculated as</w:t>
      </w:r>
      <w:r w:rsidR="00DD51CA" w:rsidRPr="00367689">
        <w:rPr>
          <w:rFonts w:ascii="Times New Roman" w:hAnsi="Times New Roman"/>
          <w:sz w:val="24"/>
        </w:rPr>
        <w:t xml:space="preserve"> the product of hourly </w:t>
      </w:r>
      <w:r w:rsidR="00DD51CA">
        <w:rPr>
          <w:rFonts w:ascii="Times New Roman" w:hAnsi="Times New Roman"/>
          <w:sz w:val="24"/>
        </w:rPr>
        <w:t>compensation</w:t>
      </w:r>
      <w:r w:rsidR="00DD51CA" w:rsidRPr="00367689">
        <w:rPr>
          <w:rFonts w:ascii="Times New Roman" w:hAnsi="Times New Roman"/>
          <w:sz w:val="24"/>
        </w:rPr>
        <w:t xml:space="preserve"> by the average </w:t>
      </w:r>
      <w:r w:rsidR="00B678A5">
        <w:rPr>
          <w:rFonts w:ascii="Times New Roman" w:hAnsi="Times New Roman"/>
          <w:sz w:val="24"/>
        </w:rPr>
        <w:t xml:space="preserve">daily </w:t>
      </w:r>
      <w:r w:rsidR="00DD51CA" w:rsidRPr="00367689">
        <w:rPr>
          <w:rFonts w:ascii="Times New Roman" w:hAnsi="Times New Roman"/>
          <w:sz w:val="24"/>
        </w:rPr>
        <w:t xml:space="preserve">number of hours of paid work in a </w:t>
      </w:r>
      <w:r w:rsidR="00B678A5">
        <w:rPr>
          <w:rFonts w:ascii="Times New Roman" w:hAnsi="Times New Roman"/>
          <w:sz w:val="24"/>
        </w:rPr>
        <w:t>week</w:t>
      </w:r>
      <w:bookmarkStart w:id="0" w:name="_GoBack"/>
      <w:bookmarkEnd w:id="0"/>
      <w:r w:rsidR="00B678A5" w:rsidRPr="00367689">
        <w:rPr>
          <w:rFonts w:ascii="Times New Roman" w:hAnsi="Times New Roman"/>
          <w:sz w:val="24"/>
        </w:rPr>
        <w:t xml:space="preserve"> </w:t>
      </w:r>
      <w:r w:rsidR="00DD51CA" w:rsidRPr="00367689">
        <w:rPr>
          <w:rFonts w:ascii="Times New Roman" w:hAnsi="Times New Roman"/>
          <w:sz w:val="24"/>
        </w:rPr>
        <w:t>multiplied by 365.</w:t>
      </w:r>
      <w:r w:rsidR="00DD51CA">
        <w:rPr>
          <w:rFonts w:ascii="Times New Roman" w:hAnsi="Times New Roman"/>
          <w:sz w:val="24"/>
        </w:rPr>
        <w:t xml:space="preserve"> </w:t>
      </w:r>
    </w:p>
    <w:p w14:paraId="3FD69665" w14:textId="0C250C76" w:rsidR="005C50ED" w:rsidRDefault="00DD51CA" w:rsidP="000F600B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other component of market productivity is the earnings for persons with self-employment income. </w:t>
      </w:r>
      <w:r w:rsidR="00CC51A5" w:rsidRPr="00CC51A5">
        <w:rPr>
          <w:rFonts w:ascii="Times New Roman" w:hAnsi="Times New Roman"/>
          <w:sz w:val="24"/>
        </w:rPr>
        <w:t xml:space="preserve">Grosse et al. (2009) </w:t>
      </w:r>
      <w:r>
        <w:rPr>
          <w:rFonts w:ascii="Times New Roman" w:hAnsi="Times New Roman"/>
          <w:sz w:val="24"/>
        </w:rPr>
        <w:t>chose not to use</w:t>
      </w:r>
      <w:r w:rsidR="00E358B8">
        <w:rPr>
          <w:rFonts w:ascii="Times New Roman" w:hAnsi="Times New Roman"/>
          <w:sz w:val="24"/>
        </w:rPr>
        <w:t xml:space="preserve"> </w:t>
      </w:r>
      <w:r w:rsidR="00216589">
        <w:rPr>
          <w:rFonts w:ascii="Times New Roman" w:hAnsi="Times New Roman"/>
          <w:sz w:val="24"/>
        </w:rPr>
        <w:t xml:space="preserve">total </w:t>
      </w:r>
      <w:r w:rsidR="00E358B8">
        <w:rPr>
          <w:rFonts w:ascii="Times New Roman" w:hAnsi="Times New Roman"/>
          <w:sz w:val="24"/>
        </w:rPr>
        <w:t>earnings reported in the CPS for self-employed persons</w:t>
      </w:r>
      <w:r>
        <w:rPr>
          <w:rFonts w:ascii="Times New Roman" w:hAnsi="Times New Roman"/>
          <w:sz w:val="24"/>
        </w:rPr>
        <w:t xml:space="preserve"> because s</w:t>
      </w:r>
      <w:r w:rsidR="005C50ED">
        <w:rPr>
          <w:rFonts w:ascii="Times New Roman" w:hAnsi="Times New Roman"/>
          <w:sz w:val="24"/>
        </w:rPr>
        <w:t>elf-employment income reflect</w:t>
      </w:r>
      <w:r w:rsidR="004E662E">
        <w:rPr>
          <w:rFonts w:ascii="Times New Roman" w:hAnsi="Times New Roman"/>
          <w:sz w:val="24"/>
        </w:rPr>
        <w:t>s</w:t>
      </w:r>
      <w:r w:rsidR="005C50ED">
        <w:rPr>
          <w:rFonts w:ascii="Times New Roman" w:hAnsi="Times New Roman"/>
          <w:sz w:val="24"/>
        </w:rPr>
        <w:t xml:space="preserve"> returns to both labor and business assets</w:t>
      </w:r>
      <w:r>
        <w:rPr>
          <w:rFonts w:ascii="Times New Roman" w:hAnsi="Times New Roman"/>
          <w:sz w:val="24"/>
        </w:rPr>
        <w:t xml:space="preserve">. They argued that </w:t>
      </w:r>
      <w:r w:rsidR="004C366F">
        <w:rPr>
          <w:rFonts w:ascii="Times New Roman" w:hAnsi="Times New Roman"/>
          <w:sz w:val="24"/>
        </w:rPr>
        <w:t xml:space="preserve">mean annual earnings </w:t>
      </w:r>
      <w:r w:rsidR="00216589">
        <w:rPr>
          <w:rFonts w:ascii="Times New Roman" w:hAnsi="Times New Roman"/>
          <w:sz w:val="24"/>
        </w:rPr>
        <w:t xml:space="preserve">(self-employment income plus wages and salaries) </w:t>
      </w:r>
      <w:r w:rsidR="004C366F">
        <w:rPr>
          <w:rFonts w:ascii="Times New Roman" w:hAnsi="Times New Roman"/>
          <w:sz w:val="24"/>
        </w:rPr>
        <w:t xml:space="preserve">reported in the CPS was one-third higher for self-employed persons in 2005 than for </w:t>
      </w:r>
      <w:r w:rsidR="00216589">
        <w:rPr>
          <w:rFonts w:ascii="Times New Roman" w:hAnsi="Times New Roman"/>
          <w:sz w:val="24"/>
        </w:rPr>
        <w:t>workers with only wage and salary income</w:t>
      </w:r>
      <w:r w:rsidR="005C50ED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Consequently, they </w:t>
      </w:r>
      <w:r w:rsidRPr="001B642E">
        <w:rPr>
          <w:rFonts w:ascii="Times New Roman" w:hAnsi="Times New Roman"/>
          <w:sz w:val="24"/>
        </w:rPr>
        <w:t>equated self-employed persons</w:t>
      </w:r>
      <w:r>
        <w:rPr>
          <w:rFonts w:ascii="Times New Roman" w:hAnsi="Times New Roman"/>
          <w:sz w:val="24"/>
        </w:rPr>
        <w:t>’</w:t>
      </w:r>
      <w:r w:rsidRPr="001B642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mean </w:t>
      </w:r>
      <w:r w:rsidRPr="001B642E">
        <w:rPr>
          <w:rFonts w:ascii="Times New Roman" w:hAnsi="Times New Roman"/>
          <w:sz w:val="24"/>
        </w:rPr>
        <w:t xml:space="preserve">hourly </w:t>
      </w:r>
      <w:r>
        <w:rPr>
          <w:rFonts w:ascii="Times New Roman" w:hAnsi="Times New Roman"/>
          <w:sz w:val="24"/>
        </w:rPr>
        <w:t>compensation</w:t>
      </w:r>
      <w:r w:rsidRPr="001B642E">
        <w:rPr>
          <w:rFonts w:ascii="Times New Roman" w:hAnsi="Times New Roman"/>
          <w:sz w:val="24"/>
        </w:rPr>
        <w:t xml:space="preserve"> with </w:t>
      </w:r>
      <w:r>
        <w:rPr>
          <w:rFonts w:ascii="Times New Roman" w:hAnsi="Times New Roman"/>
          <w:sz w:val="24"/>
        </w:rPr>
        <w:t>that</w:t>
      </w:r>
      <w:r w:rsidRPr="001B642E">
        <w:rPr>
          <w:rFonts w:ascii="Times New Roman" w:hAnsi="Times New Roman"/>
          <w:sz w:val="24"/>
        </w:rPr>
        <w:t xml:space="preserve"> of </w:t>
      </w:r>
      <w:r>
        <w:rPr>
          <w:rFonts w:ascii="Times New Roman" w:hAnsi="Times New Roman"/>
          <w:sz w:val="24"/>
        </w:rPr>
        <w:t xml:space="preserve">employees. </w:t>
      </w:r>
    </w:p>
    <w:p w14:paraId="61FA3887" w14:textId="3520140B" w:rsidR="0000091D" w:rsidRDefault="00CC51A5" w:rsidP="000E75E3">
      <w:pPr>
        <w:spacing w:after="0" w:line="480" w:lineRule="auto"/>
        <w:ind w:firstLine="720"/>
        <w:rPr>
          <w:rFonts w:ascii="Times New Roman" w:hAnsi="Times New Roman"/>
          <w:sz w:val="24"/>
        </w:rPr>
      </w:pPr>
      <w:r w:rsidRPr="00CC51A5">
        <w:rPr>
          <w:rFonts w:ascii="Times New Roman" w:hAnsi="Times New Roman"/>
          <w:sz w:val="24"/>
        </w:rPr>
        <w:t xml:space="preserve">Grosse et al. (2009) </w:t>
      </w:r>
      <w:r w:rsidR="000E75E3">
        <w:rPr>
          <w:rFonts w:ascii="Times New Roman" w:hAnsi="Times New Roman"/>
          <w:sz w:val="24"/>
        </w:rPr>
        <w:t xml:space="preserve">estimated hours of household services as the sum of time spent caring for household members and time spent in </w:t>
      </w:r>
      <w:r w:rsidR="000E75E3" w:rsidRPr="00367689">
        <w:rPr>
          <w:rFonts w:ascii="Times New Roman" w:hAnsi="Times New Roman"/>
          <w:sz w:val="24"/>
        </w:rPr>
        <w:t>activities</w:t>
      </w:r>
      <w:r w:rsidR="00A416E2">
        <w:rPr>
          <w:rFonts w:ascii="Times New Roman" w:hAnsi="Times New Roman"/>
          <w:sz w:val="24"/>
        </w:rPr>
        <w:t>,</w:t>
      </w:r>
      <w:r w:rsidR="000E75E3" w:rsidRPr="00367689">
        <w:rPr>
          <w:rFonts w:ascii="Times New Roman" w:hAnsi="Times New Roman"/>
          <w:sz w:val="24"/>
        </w:rPr>
        <w:t xml:space="preserve"> such as inside housework, food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 xml:space="preserve">cooking and clean-up, </w:t>
      </w:r>
      <w:r w:rsidR="000E75E3" w:rsidRPr="00367689">
        <w:rPr>
          <w:rFonts w:ascii="Times New Roman" w:hAnsi="Times New Roman"/>
          <w:sz w:val="24"/>
        </w:rPr>
        <w:lastRenderedPageBreak/>
        <w:t>household management, shopping,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obtaining services, and travel for household activity</w:t>
      </w:r>
      <w:r w:rsidR="000E75E3">
        <w:rPr>
          <w:rFonts w:ascii="Times New Roman" w:hAnsi="Times New Roman"/>
          <w:sz w:val="24"/>
        </w:rPr>
        <w:t xml:space="preserve">. The </w:t>
      </w:r>
      <w:r w:rsidR="000E75E3" w:rsidRPr="00367689">
        <w:rPr>
          <w:rFonts w:ascii="Times New Roman" w:hAnsi="Times New Roman"/>
          <w:sz w:val="24"/>
        </w:rPr>
        <w:t xml:space="preserve">value of </w:t>
      </w:r>
      <w:r w:rsidR="000E75E3">
        <w:rPr>
          <w:rFonts w:ascii="Times New Roman" w:hAnsi="Times New Roman"/>
          <w:sz w:val="24"/>
        </w:rPr>
        <w:t xml:space="preserve">household productive </w:t>
      </w:r>
      <w:r w:rsidR="000E75E3" w:rsidRPr="00367689">
        <w:rPr>
          <w:rFonts w:ascii="Times New Roman" w:hAnsi="Times New Roman"/>
          <w:sz w:val="24"/>
        </w:rPr>
        <w:t>time was</w:t>
      </w:r>
      <w:r w:rsidR="000E75E3">
        <w:rPr>
          <w:rFonts w:ascii="Times New Roman" w:hAnsi="Times New Roman"/>
          <w:sz w:val="24"/>
        </w:rPr>
        <w:t xml:space="preserve"> assessed</w:t>
      </w:r>
      <w:r w:rsidR="000E75E3" w:rsidRPr="00367689">
        <w:rPr>
          <w:rFonts w:ascii="Times New Roman" w:hAnsi="Times New Roman"/>
          <w:sz w:val="24"/>
        </w:rPr>
        <w:t xml:space="preserve"> using the replacement </w:t>
      </w:r>
      <w:r w:rsidR="000E75E3">
        <w:rPr>
          <w:rFonts w:ascii="Times New Roman" w:hAnsi="Times New Roman"/>
          <w:sz w:val="24"/>
        </w:rPr>
        <w:t xml:space="preserve">cost </w:t>
      </w:r>
      <w:r w:rsidR="000E75E3" w:rsidRPr="00367689">
        <w:rPr>
          <w:rFonts w:ascii="Times New Roman" w:hAnsi="Times New Roman"/>
          <w:sz w:val="24"/>
        </w:rPr>
        <w:t>method</w:t>
      </w:r>
      <w:r w:rsidR="00126795">
        <w:rPr>
          <w:rFonts w:ascii="Times New Roman" w:hAnsi="Times New Roman"/>
          <w:sz w:val="24"/>
        </w:rPr>
        <w:t>; s</w:t>
      </w:r>
      <w:r w:rsidR="000E75E3">
        <w:rPr>
          <w:rFonts w:ascii="Times New Roman" w:hAnsi="Times New Roman"/>
          <w:sz w:val="24"/>
        </w:rPr>
        <w:t>pecifically</w:t>
      </w:r>
      <w:r w:rsidR="00126795">
        <w:rPr>
          <w:rFonts w:ascii="Times New Roman" w:hAnsi="Times New Roman"/>
          <w:sz w:val="24"/>
        </w:rPr>
        <w:t>,</w:t>
      </w:r>
      <w:r w:rsidR="000E75E3" w:rsidRPr="00367689">
        <w:rPr>
          <w:rFonts w:ascii="Times New Roman" w:hAnsi="Times New Roman"/>
          <w:sz w:val="24"/>
        </w:rPr>
        <w:t xml:space="preserve"> the May 2007 mean hourly wage of workers </w:t>
      </w:r>
      <w:r w:rsidR="000E75E3">
        <w:rPr>
          <w:rFonts w:ascii="Times New Roman" w:hAnsi="Times New Roman"/>
          <w:sz w:val="24"/>
        </w:rPr>
        <w:t>for occupations</w:t>
      </w:r>
      <w:r w:rsidR="00A416E2">
        <w:rPr>
          <w:rFonts w:ascii="Times New Roman" w:hAnsi="Times New Roman"/>
          <w:sz w:val="24"/>
        </w:rPr>
        <w:t>,</w:t>
      </w:r>
      <w:r w:rsidR="000E75E3">
        <w:rPr>
          <w:rFonts w:ascii="Times New Roman" w:hAnsi="Times New Roman"/>
          <w:sz w:val="24"/>
        </w:rPr>
        <w:t xml:space="preserve"> such as</w:t>
      </w:r>
      <w:r w:rsidR="000E75E3" w:rsidRPr="00367689">
        <w:rPr>
          <w:rFonts w:ascii="Times New Roman" w:hAnsi="Times New Roman"/>
          <w:sz w:val="24"/>
        </w:rPr>
        <w:t xml:space="preserve"> cooks, janitors, maids, landscaping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workers, taxi drivers, child care workers, home care aides,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etc</w:t>
      </w:r>
      <w:r w:rsidR="000E75E3">
        <w:rPr>
          <w:rFonts w:ascii="Times New Roman" w:hAnsi="Times New Roman"/>
          <w:sz w:val="24"/>
        </w:rPr>
        <w:t>.</w:t>
      </w:r>
      <w:r w:rsidR="00A416E2">
        <w:rPr>
          <w:rFonts w:ascii="Times New Roman" w:hAnsi="Times New Roman"/>
          <w:sz w:val="24"/>
        </w:rPr>
        <w:t>,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in the Occupational Employment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0E75E3">
        <w:rPr>
          <w:rFonts w:ascii="Times New Roman" w:hAnsi="Times New Roman"/>
          <w:sz w:val="24"/>
        </w:rPr>
        <w:t>Statistics survey.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0E75E3">
        <w:rPr>
          <w:rFonts w:ascii="Times New Roman" w:hAnsi="Times New Roman"/>
          <w:sz w:val="24"/>
        </w:rPr>
        <w:t xml:space="preserve"> The average wage </w:t>
      </w:r>
      <w:r w:rsidR="000E75E3">
        <w:rPr>
          <w:rFonts w:ascii="Times New Roman" w:hAnsi="Times New Roman"/>
          <w:sz w:val="24"/>
        </w:rPr>
        <w:t>of</w:t>
      </w:r>
      <w:r w:rsidR="000E75E3" w:rsidRPr="00367689">
        <w:rPr>
          <w:rFonts w:ascii="Times New Roman" w:hAnsi="Times New Roman"/>
          <w:sz w:val="24"/>
        </w:rPr>
        <w:t xml:space="preserve"> $10.48 </w:t>
      </w:r>
      <w:r w:rsidR="000E75E3">
        <w:rPr>
          <w:rFonts w:ascii="Times New Roman" w:hAnsi="Times New Roman"/>
          <w:sz w:val="24"/>
        </w:rPr>
        <w:t xml:space="preserve">was multiplied by 1.189 </w:t>
      </w:r>
      <w:r w:rsidR="000A41E0">
        <w:rPr>
          <w:rFonts w:ascii="Times New Roman" w:hAnsi="Times New Roman"/>
          <w:sz w:val="24"/>
        </w:rPr>
        <w:t xml:space="preserve">for a total of </w:t>
      </w:r>
      <w:r w:rsidR="000A41E0" w:rsidRPr="00367689">
        <w:rPr>
          <w:rFonts w:ascii="Times New Roman" w:hAnsi="Times New Roman"/>
          <w:sz w:val="24"/>
        </w:rPr>
        <w:t>$12.46 per hour</w:t>
      </w:r>
      <w:r w:rsidR="000A41E0">
        <w:rPr>
          <w:rFonts w:ascii="Times New Roman" w:hAnsi="Times New Roman"/>
          <w:sz w:val="24"/>
        </w:rPr>
        <w:t xml:space="preserve"> in order </w:t>
      </w:r>
      <w:r w:rsidR="000E75E3">
        <w:rPr>
          <w:rFonts w:ascii="Times New Roman" w:hAnsi="Times New Roman"/>
          <w:sz w:val="24"/>
        </w:rPr>
        <w:t>to adjust for b</w:t>
      </w:r>
      <w:r w:rsidR="000E75E3" w:rsidRPr="00367689">
        <w:rPr>
          <w:rFonts w:ascii="Times New Roman" w:hAnsi="Times New Roman"/>
          <w:sz w:val="24"/>
        </w:rPr>
        <w:t>enefits paid to part-time service occupation workers, including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payroll taxes, in the June 2007</w:t>
      </w:r>
      <w:r w:rsidR="000E75E3">
        <w:rPr>
          <w:rFonts w:ascii="Times New Roman" w:hAnsi="Times New Roman"/>
          <w:sz w:val="24"/>
        </w:rPr>
        <w:t xml:space="preserve"> </w:t>
      </w:r>
      <w:r w:rsidR="000E75E3" w:rsidRPr="00367689">
        <w:rPr>
          <w:rFonts w:ascii="Times New Roman" w:hAnsi="Times New Roman"/>
          <w:sz w:val="24"/>
        </w:rPr>
        <w:t>Employer Cost for Employee Compensation survey.</w:t>
      </w:r>
      <w:r w:rsidR="000E75E3">
        <w:rPr>
          <w:rFonts w:ascii="Times New Roman" w:hAnsi="Times New Roman"/>
          <w:sz w:val="24"/>
        </w:rPr>
        <w:t xml:space="preserve"> </w:t>
      </w:r>
    </w:p>
    <w:p w14:paraId="19F23D15" w14:textId="287F938D" w:rsidR="00DD51CA" w:rsidRDefault="00192172" w:rsidP="000F600B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F5154F">
        <w:rPr>
          <w:rFonts w:ascii="Times New Roman" w:hAnsi="Times New Roman"/>
          <w:sz w:val="24"/>
        </w:rPr>
        <w:t>he present study</w:t>
      </w:r>
      <w:r>
        <w:rPr>
          <w:rFonts w:ascii="Times New Roman" w:hAnsi="Times New Roman"/>
          <w:sz w:val="24"/>
        </w:rPr>
        <w:t xml:space="preserve"> differs from that of </w:t>
      </w:r>
      <w:r w:rsidR="00126795">
        <w:rPr>
          <w:rFonts w:ascii="Times New Roman" w:hAnsi="Times New Roman"/>
          <w:sz w:val="24"/>
        </w:rPr>
        <w:t>Grosse et al. (2009)</w:t>
      </w:r>
      <w:r>
        <w:rPr>
          <w:rFonts w:ascii="Times New Roman" w:hAnsi="Times New Roman"/>
          <w:sz w:val="24"/>
        </w:rPr>
        <w:t xml:space="preserve"> in both data sources and methods. In terms of market productivity, instead of estimating hourly earnings and daily hours of work, then multiplying by 365 to calculate annual earnings, </w:t>
      </w:r>
      <w:r w:rsidR="0059656D">
        <w:rPr>
          <w:rFonts w:ascii="Times New Roman" w:hAnsi="Times New Roman"/>
          <w:sz w:val="24"/>
        </w:rPr>
        <w:t>the present study</w:t>
      </w:r>
      <w:r>
        <w:rPr>
          <w:rFonts w:ascii="Times New Roman" w:hAnsi="Times New Roman"/>
          <w:sz w:val="24"/>
        </w:rPr>
        <w:t xml:space="preserve"> </w:t>
      </w:r>
      <w:r w:rsidR="00635DDB">
        <w:rPr>
          <w:rFonts w:ascii="Times New Roman" w:hAnsi="Times New Roman"/>
          <w:sz w:val="24"/>
        </w:rPr>
        <w:t xml:space="preserve">used </w:t>
      </w:r>
      <w:r w:rsidR="0000091D">
        <w:rPr>
          <w:rFonts w:ascii="Times New Roman" w:hAnsi="Times New Roman"/>
          <w:sz w:val="24"/>
        </w:rPr>
        <w:t xml:space="preserve">ACS data to </w:t>
      </w:r>
      <w:r>
        <w:rPr>
          <w:rFonts w:ascii="Times New Roman" w:hAnsi="Times New Roman"/>
          <w:sz w:val="24"/>
        </w:rPr>
        <w:t xml:space="preserve">directly </w:t>
      </w:r>
      <w:r w:rsidR="0000091D">
        <w:rPr>
          <w:rFonts w:ascii="Times New Roman" w:hAnsi="Times New Roman"/>
          <w:sz w:val="24"/>
        </w:rPr>
        <w:t>estimate annual earnings</w:t>
      </w:r>
      <w:r>
        <w:rPr>
          <w:rFonts w:ascii="Times New Roman" w:hAnsi="Times New Roman"/>
          <w:sz w:val="24"/>
        </w:rPr>
        <w:t xml:space="preserve">. Second, </w:t>
      </w:r>
      <w:r w:rsidR="0059656D">
        <w:rPr>
          <w:rFonts w:ascii="Times New Roman" w:hAnsi="Times New Roman"/>
          <w:sz w:val="24"/>
        </w:rPr>
        <w:t>the present study</w:t>
      </w:r>
      <w:r>
        <w:rPr>
          <w:rFonts w:ascii="Times New Roman" w:hAnsi="Times New Roman"/>
          <w:sz w:val="24"/>
        </w:rPr>
        <w:t xml:space="preserve"> </w:t>
      </w:r>
      <w:r w:rsidR="00635DDB">
        <w:rPr>
          <w:rFonts w:ascii="Times New Roman" w:hAnsi="Times New Roman"/>
          <w:sz w:val="24"/>
        </w:rPr>
        <w:t xml:space="preserve">used </w:t>
      </w:r>
      <w:r w:rsidR="0000091D">
        <w:rPr>
          <w:rFonts w:ascii="Times New Roman" w:hAnsi="Times New Roman"/>
          <w:sz w:val="24"/>
        </w:rPr>
        <w:t>the Bureau of Economic Analysis (BEA) index of employee supplements</w:t>
      </w:r>
      <w:r w:rsidR="00034DD7">
        <w:rPr>
          <w:rFonts w:ascii="Times New Roman" w:hAnsi="Times New Roman"/>
          <w:sz w:val="24"/>
        </w:rPr>
        <w:t>, which varied by year from 23.4-24.8% of money earnings,</w:t>
      </w:r>
      <w:r>
        <w:rPr>
          <w:rFonts w:ascii="Times New Roman" w:hAnsi="Times New Roman"/>
          <w:sz w:val="24"/>
        </w:rPr>
        <w:t xml:space="preserve"> to adjust money earnings for total compensation. </w:t>
      </w:r>
      <w:r w:rsidR="00DF74AA">
        <w:rPr>
          <w:rFonts w:ascii="Times New Roman" w:hAnsi="Times New Roman"/>
          <w:sz w:val="24"/>
        </w:rPr>
        <w:t>More than one-third</w:t>
      </w:r>
      <w:r w:rsidR="000F600B">
        <w:rPr>
          <w:rFonts w:ascii="Times New Roman" w:hAnsi="Times New Roman"/>
          <w:sz w:val="24"/>
        </w:rPr>
        <w:t xml:space="preserve"> of the </w:t>
      </w:r>
      <w:r w:rsidR="00034DD7">
        <w:rPr>
          <w:rFonts w:ascii="Times New Roman" w:hAnsi="Times New Roman"/>
          <w:sz w:val="24"/>
        </w:rPr>
        <w:t>difference relative to the</w:t>
      </w:r>
      <w:r w:rsidR="000F600B">
        <w:rPr>
          <w:rFonts w:ascii="Times New Roman" w:hAnsi="Times New Roman"/>
          <w:sz w:val="24"/>
        </w:rPr>
        <w:t xml:space="preserve"> rate used in the</w:t>
      </w:r>
      <w:r w:rsidR="00034DD7">
        <w:rPr>
          <w:rFonts w:ascii="Times New Roman" w:hAnsi="Times New Roman"/>
          <w:sz w:val="24"/>
        </w:rPr>
        <w:t xml:space="preserve"> </w:t>
      </w:r>
      <w:r w:rsidR="00126795" w:rsidRPr="00126795">
        <w:rPr>
          <w:rFonts w:ascii="Times New Roman" w:hAnsi="Times New Roman"/>
          <w:sz w:val="24"/>
        </w:rPr>
        <w:t xml:space="preserve">Grosse et al. (2009) </w:t>
      </w:r>
      <w:r w:rsidR="00034DD7">
        <w:rPr>
          <w:rFonts w:ascii="Times New Roman" w:hAnsi="Times New Roman"/>
          <w:sz w:val="24"/>
        </w:rPr>
        <w:t>estimates</w:t>
      </w:r>
      <w:r w:rsidR="000F600B">
        <w:rPr>
          <w:rFonts w:ascii="Times New Roman" w:hAnsi="Times New Roman"/>
          <w:sz w:val="24"/>
        </w:rPr>
        <w:t xml:space="preserve"> </w:t>
      </w:r>
      <w:r w:rsidR="00DF74AA">
        <w:rPr>
          <w:rFonts w:ascii="Times New Roman" w:hAnsi="Times New Roman"/>
          <w:sz w:val="24"/>
        </w:rPr>
        <w:t>was accounted for b</w:t>
      </w:r>
      <w:r w:rsidR="000F600B">
        <w:rPr>
          <w:rFonts w:ascii="Times New Roman" w:hAnsi="Times New Roman"/>
          <w:sz w:val="24"/>
        </w:rPr>
        <w:t xml:space="preserve">y </w:t>
      </w:r>
      <w:r w:rsidR="00CC28F7">
        <w:rPr>
          <w:rFonts w:ascii="Times New Roman" w:hAnsi="Times New Roman"/>
          <w:sz w:val="24"/>
        </w:rPr>
        <w:t xml:space="preserve">the </w:t>
      </w:r>
      <w:r w:rsidR="00DF74AA">
        <w:rPr>
          <w:rFonts w:ascii="Times New Roman" w:hAnsi="Times New Roman"/>
          <w:sz w:val="24"/>
        </w:rPr>
        <w:t xml:space="preserve">calculation </w:t>
      </w:r>
      <w:r w:rsidR="000F600B">
        <w:rPr>
          <w:rFonts w:ascii="Times New Roman" w:hAnsi="Times New Roman"/>
          <w:sz w:val="24"/>
        </w:rPr>
        <w:t xml:space="preserve">mistake by </w:t>
      </w:r>
      <w:r w:rsidR="00126795">
        <w:rPr>
          <w:rFonts w:ascii="Times New Roman" w:hAnsi="Times New Roman"/>
          <w:sz w:val="24"/>
        </w:rPr>
        <w:t>Grosse et al. (2009)</w:t>
      </w:r>
      <w:r w:rsidR="000F600B">
        <w:rPr>
          <w:rFonts w:ascii="Times New Roman" w:hAnsi="Times New Roman"/>
          <w:sz w:val="24"/>
        </w:rPr>
        <w:t xml:space="preserve"> noted above</w:t>
      </w:r>
      <w:r w:rsidR="00034DD7">
        <w:rPr>
          <w:rFonts w:ascii="Times New Roman" w:hAnsi="Times New Roman"/>
          <w:sz w:val="24"/>
        </w:rPr>
        <w:t xml:space="preserve">. </w:t>
      </w:r>
      <w:r w:rsidR="000F600B">
        <w:rPr>
          <w:rFonts w:ascii="Times New Roman" w:hAnsi="Times New Roman"/>
          <w:sz w:val="24"/>
        </w:rPr>
        <w:t xml:space="preserve">The remaining difference is presumably accounted </w:t>
      </w:r>
      <w:r w:rsidR="00964DD6">
        <w:rPr>
          <w:rFonts w:ascii="Times New Roman" w:hAnsi="Times New Roman"/>
          <w:sz w:val="24"/>
        </w:rPr>
        <w:t xml:space="preserve">for </w:t>
      </w:r>
      <w:r w:rsidR="000F600B">
        <w:rPr>
          <w:rFonts w:ascii="Times New Roman" w:hAnsi="Times New Roman"/>
          <w:sz w:val="24"/>
        </w:rPr>
        <w:t xml:space="preserve">by the difference in the BLS estimates reported per hour worked and the BEA estimates reported per year. </w:t>
      </w:r>
    </w:p>
    <w:p w14:paraId="72C60C48" w14:textId="65F70928" w:rsidR="00DD51CA" w:rsidRDefault="00DD51CA" w:rsidP="000F600B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 w:rsidR="00192172">
        <w:rPr>
          <w:rFonts w:ascii="Times New Roman" w:hAnsi="Times New Roman"/>
          <w:sz w:val="24"/>
        </w:rPr>
        <w:t xml:space="preserve">nstead of assuming that self-employed persons have the same </w:t>
      </w:r>
      <w:r w:rsidR="00C51E19">
        <w:rPr>
          <w:rFonts w:ascii="Times New Roman" w:hAnsi="Times New Roman"/>
          <w:sz w:val="24"/>
        </w:rPr>
        <w:t xml:space="preserve">hourly </w:t>
      </w:r>
      <w:r w:rsidR="00216589">
        <w:rPr>
          <w:rFonts w:ascii="Times New Roman" w:hAnsi="Times New Roman"/>
          <w:sz w:val="24"/>
        </w:rPr>
        <w:t xml:space="preserve">labor </w:t>
      </w:r>
      <w:r w:rsidR="00192172">
        <w:rPr>
          <w:rFonts w:ascii="Times New Roman" w:hAnsi="Times New Roman"/>
          <w:sz w:val="24"/>
        </w:rPr>
        <w:t>productivity</w:t>
      </w:r>
      <w:r w:rsidR="00C51E19">
        <w:rPr>
          <w:rFonts w:ascii="Times New Roman" w:hAnsi="Times New Roman"/>
          <w:sz w:val="24"/>
        </w:rPr>
        <w:t xml:space="preserve"> as persons relying solely on wages and salaries</w:t>
      </w:r>
      <w:r w:rsidR="00964DD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as in Grosse et al. (2009)</w:t>
      </w:r>
      <w:r w:rsidR="00192172">
        <w:rPr>
          <w:rFonts w:ascii="Times New Roman" w:hAnsi="Times New Roman"/>
          <w:sz w:val="24"/>
        </w:rPr>
        <w:t>, the</w:t>
      </w:r>
      <w:r w:rsidR="00034DD7">
        <w:rPr>
          <w:rFonts w:ascii="Times New Roman" w:hAnsi="Times New Roman"/>
          <w:sz w:val="24"/>
        </w:rPr>
        <w:t xml:space="preserve"> </w:t>
      </w:r>
      <w:r w:rsidR="00C51E19">
        <w:rPr>
          <w:rFonts w:ascii="Times New Roman" w:hAnsi="Times New Roman"/>
          <w:sz w:val="24"/>
        </w:rPr>
        <w:t xml:space="preserve">present </w:t>
      </w:r>
      <w:r w:rsidR="00034DD7">
        <w:rPr>
          <w:rFonts w:ascii="Times New Roman" w:hAnsi="Times New Roman"/>
          <w:sz w:val="24"/>
        </w:rPr>
        <w:t>study</w:t>
      </w:r>
      <w:r w:rsidR="00192172">
        <w:rPr>
          <w:rFonts w:ascii="Times New Roman" w:hAnsi="Times New Roman"/>
          <w:sz w:val="24"/>
        </w:rPr>
        <w:t xml:space="preserve"> </w:t>
      </w:r>
      <w:r w:rsidR="00C51E19">
        <w:rPr>
          <w:rFonts w:ascii="Times New Roman" w:hAnsi="Times New Roman"/>
          <w:sz w:val="24"/>
        </w:rPr>
        <w:t xml:space="preserve">calculated total annual earnings from wages and salaries (adjusted for benefits) and self-employment. Unlike the CPS, the ACS reports </w:t>
      </w:r>
      <w:r w:rsidR="00192172">
        <w:rPr>
          <w:rFonts w:ascii="Times New Roman" w:hAnsi="Times New Roman"/>
          <w:sz w:val="24"/>
        </w:rPr>
        <w:t xml:space="preserve">self-employment </w:t>
      </w:r>
      <w:r w:rsidR="00034DD7">
        <w:rPr>
          <w:rFonts w:ascii="Times New Roman" w:hAnsi="Times New Roman"/>
          <w:sz w:val="24"/>
        </w:rPr>
        <w:t>income</w:t>
      </w:r>
      <w:r w:rsidR="00E358B8">
        <w:rPr>
          <w:rFonts w:ascii="Times New Roman" w:hAnsi="Times New Roman"/>
          <w:sz w:val="24"/>
        </w:rPr>
        <w:t xml:space="preserve"> </w:t>
      </w:r>
      <w:r w:rsidR="00216589">
        <w:rPr>
          <w:rFonts w:ascii="Times New Roman" w:hAnsi="Times New Roman"/>
          <w:sz w:val="24"/>
        </w:rPr>
        <w:t xml:space="preserve">separately from wage and salary income </w:t>
      </w:r>
      <w:r w:rsidR="00C51E19">
        <w:rPr>
          <w:rFonts w:ascii="Times New Roman" w:hAnsi="Times New Roman"/>
          <w:sz w:val="24"/>
        </w:rPr>
        <w:t>for individuals who have both types of income</w:t>
      </w:r>
      <w:r>
        <w:rPr>
          <w:rFonts w:ascii="Times New Roman" w:hAnsi="Times New Roman"/>
          <w:sz w:val="24"/>
        </w:rPr>
        <w:t>. M</w:t>
      </w:r>
      <w:r w:rsidR="00C51E19">
        <w:rPr>
          <w:rFonts w:ascii="Times New Roman" w:hAnsi="Times New Roman"/>
          <w:sz w:val="24"/>
        </w:rPr>
        <w:t xml:space="preserve">any individuals </w:t>
      </w:r>
      <w:r>
        <w:rPr>
          <w:rFonts w:ascii="Times New Roman" w:hAnsi="Times New Roman"/>
          <w:sz w:val="24"/>
        </w:rPr>
        <w:t xml:space="preserve">who </w:t>
      </w:r>
      <w:r w:rsidR="00C51E19">
        <w:rPr>
          <w:rFonts w:ascii="Times New Roman" w:hAnsi="Times New Roman"/>
          <w:sz w:val="24"/>
        </w:rPr>
        <w:t xml:space="preserve">own small businesses draw both a salary and profit from the business, with </w:t>
      </w:r>
      <w:r>
        <w:rPr>
          <w:rFonts w:ascii="Times New Roman" w:hAnsi="Times New Roman"/>
          <w:sz w:val="24"/>
        </w:rPr>
        <w:t xml:space="preserve">just </w:t>
      </w:r>
      <w:r w:rsidR="00C51E19">
        <w:rPr>
          <w:rFonts w:ascii="Times New Roman" w:hAnsi="Times New Roman"/>
          <w:sz w:val="24"/>
        </w:rPr>
        <w:t>the business profit reported as self-employment income</w:t>
      </w:r>
      <w:r w:rsidR="004C366F">
        <w:rPr>
          <w:rFonts w:ascii="Times New Roman" w:hAnsi="Times New Roman"/>
          <w:sz w:val="24"/>
        </w:rPr>
        <w:t xml:space="preserve">. </w:t>
      </w:r>
      <w:r w:rsidR="00593954">
        <w:rPr>
          <w:rFonts w:ascii="Times New Roman" w:hAnsi="Times New Roman"/>
          <w:sz w:val="24"/>
        </w:rPr>
        <w:t xml:space="preserve">Roughly one-third of individuals who report self-employment income in the CPS reported both salary and self-employment income. It could be argued that the reported self-employment income is a hybrid of returns to capital and labor and might thereby overstate earnings from labor. On the other hand, those who reported both types </w:t>
      </w:r>
      <w:r w:rsidR="00593954">
        <w:rPr>
          <w:rFonts w:ascii="Times New Roman" w:hAnsi="Times New Roman"/>
          <w:sz w:val="24"/>
        </w:rPr>
        <w:lastRenderedPageBreak/>
        <w:t>of income had above average annual wage and salary income</w:t>
      </w:r>
      <w:r w:rsidR="00CC2484">
        <w:rPr>
          <w:rFonts w:ascii="Times New Roman" w:hAnsi="Times New Roman"/>
          <w:sz w:val="24"/>
        </w:rPr>
        <w:t>,</w:t>
      </w:r>
      <w:r w:rsidR="00593954">
        <w:rPr>
          <w:rFonts w:ascii="Times New Roman" w:hAnsi="Times New Roman"/>
          <w:sz w:val="24"/>
        </w:rPr>
        <w:t xml:space="preserve"> whereas those who reported self-employment income alone had </w:t>
      </w:r>
      <w:r w:rsidR="006A5FF5">
        <w:rPr>
          <w:rFonts w:ascii="Times New Roman" w:hAnsi="Times New Roman"/>
          <w:sz w:val="24"/>
        </w:rPr>
        <w:t xml:space="preserve">substantially lower earnings than those who reported only wage and salary earnings. </w:t>
      </w:r>
      <w:r w:rsidR="00B047E4">
        <w:rPr>
          <w:rFonts w:ascii="Times New Roman" w:hAnsi="Times New Roman"/>
          <w:sz w:val="24"/>
        </w:rPr>
        <w:t>In addition</w:t>
      </w:r>
      <w:r w:rsidR="006A5FF5">
        <w:rPr>
          <w:rFonts w:ascii="Times New Roman" w:hAnsi="Times New Roman"/>
          <w:sz w:val="24"/>
        </w:rPr>
        <w:t xml:space="preserve">, among those who reported both types of earnings, self-employment income comprised roughly one-fourth of total reported earnings. </w:t>
      </w:r>
      <w:r w:rsidR="00593954">
        <w:rPr>
          <w:rFonts w:ascii="Times New Roman" w:hAnsi="Times New Roman"/>
          <w:sz w:val="24"/>
        </w:rPr>
        <w:t xml:space="preserve"> </w:t>
      </w:r>
    </w:p>
    <w:p w14:paraId="43189BE6" w14:textId="5127265C" w:rsidR="00192172" w:rsidRDefault="00CC28F7" w:rsidP="001B642E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Grosse et al. (2009)</w:t>
      </w:r>
      <w:r w:rsidRPr="001B642E">
        <w:rPr>
          <w:rFonts w:ascii="Times New Roman" w:hAnsi="Times New Roman"/>
          <w:sz w:val="24"/>
        </w:rPr>
        <w:t xml:space="preserve"> estimate</w:t>
      </w:r>
      <w:r>
        <w:rPr>
          <w:rFonts w:ascii="Times New Roman" w:hAnsi="Times New Roman"/>
          <w:sz w:val="24"/>
        </w:rPr>
        <w:t>d</w:t>
      </w:r>
      <w:r w:rsidRPr="001B642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household productivity as </w:t>
      </w:r>
      <w:r w:rsidRPr="001B642E">
        <w:rPr>
          <w:rFonts w:ascii="Times New Roman" w:hAnsi="Times New Roman"/>
          <w:sz w:val="24"/>
        </w:rPr>
        <w:t>household chore activities and direct care provide</w:t>
      </w:r>
      <w:r>
        <w:rPr>
          <w:rFonts w:ascii="Times New Roman" w:hAnsi="Times New Roman"/>
          <w:sz w:val="24"/>
        </w:rPr>
        <w:t>d</w:t>
      </w:r>
      <w:r w:rsidRPr="001B642E">
        <w:rPr>
          <w:rFonts w:ascii="Times New Roman" w:hAnsi="Times New Roman"/>
          <w:sz w:val="24"/>
        </w:rPr>
        <w:t xml:space="preserve"> for household members</w:t>
      </w:r>
      <w:r w:rsidR="00192172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including time spent in child care as the primary activity. T</w:t>
      </w:r>
      <w:r w:rsidR="00192172">
        <w:rPr>
          <w:rFonts w:ascii="Times New Roman" w:hAnsi="Times New Roman"/>
          <w:sz w:val="24"/>
        </w:rPr>
        <w:t xml:space="preserve">he present study </w:t>
      </w:r>
      <w:r>
        <w:rPr>
          <w:rFonts w:ascii="Times New Roman" w:hAnsi="Times New Roman"/>
          <w:sz w:val="24"/>
        </w:rPr>
        <w:t>estimates</w:t>
      </w:r>
      <w:r w:rsidR="00192172">
        <w:rPr>
          <w:rFonts w:ascii="Times New Roman" w:hAnsi="Times New Roman"/>
          <w:sz w:val="24"/>
        </w:rPr>
        <w:t xml:space="preserve"> the value of </w:t>
      </w:r>
      <w:r>
        <w:rPr>
          <w:rFonts w:ascii="Times New Roman" w:hAnsi="Times New Roman"/>
          <w:sz w:val="24"/>
        </w:rPr>
        <w:t xml:space="preserve">a broader metric of </w:t>
      </w:r>
      <w:r w:rsidR="00192172">
        <w:rPr>
          <w:rFonts w:ascii="Times New Roman" w:hAnsi="Times New Roman"/>
          <w:sz w:val="24"/>
        </w:rPr>
        <w:t>non-market productivity</w:t>
      </w:r>
      <w:r w:rsidR="00070DBC">
        <w:rPr>
          <w:rFonts w:ascii="Times New Roman" w:hAnsi="Times New Roman"/>
          <w:sz w:val="24"/>
        </w:rPr>
        <w:t>,</w:t>
      </w:r>
      <w:r w:rsidR="00192172">
        <w:rPr>
          <w:rFonts w:ascii="Times New Roman" w:hAnsi="Times New Roman"/>
          <w:sz w:val="24"/>
        </w:rPr>
        <w:t xml:space="preserve"> which includes</w:t>
      </w:r>
      <w:r>
        <w:rPr>
          <w:rFonts w:ascii="Times New Roman" w:hAnsi="Times New Roman"/>
          <w:sz w:val="24"/>
        </w:rPr>
        <w:t xml:space="preserve"> both</w:t>
      </w:r>
      <w:r w:rsidR="00192172">
        <w:rPr>
          <w:rFonts w:ascii="Times New Roman" w:hAnsi="Times New Roman"/>
          <w:sz w:val="24"/>
        </w:rPr>
        <w:t xml:space="preserve"> volunteer activities benefiting people outside the household</w:t>
      </w:r>
      <w:r>
        <w:rPr>
          <w:rFonts w:ascii="Times New Roman" w:hAnsi="Times New Roman"/>
          <w:sz w:val="24"/>
        </w:rPr>
        <w:t xml:space="preserve"> and </w:t>
      </w:r>
      <w:r w:rsidR="00192172">
        <w:rPr>
          <w:rFonts w:ascii="Times New Roman" w:hAnsi="Times New Roman"/>
          <w:sz w:val="24"/>
        </w:rPr>
        <w:t xml:space="preserve">time spent in primary activities other than household services in which someone monitored children under the age of 12 years as a secondary activity. </w:t>
      </w:r>
      <w:r w:rsidR="003567DC">
        <w:rPr>
          <w:rFonts w:ascii="Times New Roman" w:hAnsi="Times New Roman"/>
          <w:sz w:val="24"/>
        </w:rPr>
        <w:t>In addition</w:t>
      </w:r>
      <w:r w:rsidR="00192172">
        <w:rPr>
          <w:rFonts w:ascii="Times New Roman" w:hAnsi="Times New Roman"/>
          <w:sz w:val="24"/>
        </w:rPr>
        <w:t xml:space="preserve">, </w:t>
      </w:r>
      <w:r w:rsidR="004E06A1">
        <w:rPr>
          <w:rFonts w:ascii="Times New Roman" w:hAnsi="Times New Roman"/>
          <w:sz w:val="24"/>
        </w:rPr>
        <w:t xml:space="preserve">secondary </w:t>
      </w:r>
      <w:r w:rsidR="00192172">
        <w:rPr>
          <w:rFonts w:ascii="Times New Roman" w:hAnsi="Times New Roman"/>
          <w:sz w:val="24"/>
        </w:rPr>
        <w:t xml:space="preserve">eldercare </w:t>
      </w:r>
      <w:r w:rsidR="004E06A1">
        <w:rPr>
          <w:rFonts w:ascii="Times New Roman" w:hAnsi="Times New Roman"/>
          <w:sz w:val="24"/>
        </w:rPr>
        <w:t xml:space="preserve">activity </w:t>
      </w:r>
      <w:r w:rsidR="00070DBC">
        <w:rPr>
          <w:rFonts w:ascii="Times New Roman" w:hAnsi="Times New Roman"/>
          <w:sz w:val="24"/>
        </w:rPr>
        <w:t>i</w:t>
      </w:r>
      <w:r w:rsidR="00192172">
        <w:rPr>
          <w:rFonts w:ascii="Times New Roman" w:hAnsi="Times New Roman"/>
          <w:sz w:val="24"/>
        </w:rPr>
        <w:t xml:space="preserve">s separately recorded in the ATUS </w:t>
      </w:r>
      <w:r w:rsidR="004E06A1">
        <w:rPr>
          <w:rFonts w:ascii="Times New Roman" w:hAnsi="Times New Roman"/>
          <w:sz w:val="24"/>
        </w:rPr>
        <w:t xml:space="preserve">beginning in 2011. </w:t>
      </w:r>
      <w:r>
        <w:rPr>
          <w:rFonts w:ascii="Times New Roman" w:hAnsi="Times New Roman"/>
          <w:sz w:val="24"/>
        </w:rPr>
        <w:t>Consequently, a</w:t>
      </w:r>
      <w:r w:rsidR="00034DD7">
        <w:rPr>
          <w:rFonts w:ascii="Times New Roman" w:hAnsi="Times New Roman"/>
          <w:sz w:val="24"/>
        </w:rPr>
        <w:t xml:space="preserve">verage daily hours of non-market productivity increased from 3.10 in </w:t>
      </w:r>
      <w:r w:rsidR="00070DBC">
        <w:rPr>
          <w:rFonts w:ascii="Times New Roman" w:hAnsi="Times New Roman"/>
          <w:sz w:val="24"/>
        </w:rPr>
        <w:t>Grosse et al. (2009)</w:t>
      </w:r>
      <w:r w:rsidR="00034DD7">
        <w:rPr>
          <w:rFonts w:ascii="Times New Roman" w:hAnsi="Times New Roman"/>
          <w:sz w:val="24"/>
        </w:rPr>
        <w:t xml:space="preserve"> to 4.57 in the present study. </w:t>
      </w:r>
      <w:r w:rsidR="00070DBC">
        <w:rPr>
          <w:rFonts w:ascii="Times New Roman" w:hAnsi="Times New Roman"/>
          <w:sz w:val="24"/>
        </w:rPr>
        <w:t xml:space="preserve">The majority of </w:t>
      </w:r>
      <w:r w:rsidR="00034DD7">
        <w:rPr>
          <w:rFonts w:ascii="Times New Roman" w:hAnsi="Times New Roman"/>
          <w:sz w:val="24"/>
        </w:rPr>
        <w:t xml:space="preserve">that difference </w:t>
      </w:r>
      <w:r w:rsidR="00070DBC">
        <w:rPr>
          <w:rFonts w:ascii="Times New Roman" w:hAnsi="Times New Roman"/>
          <w:sz w:val="24"/>
        </w:rPr>
        <w:t>i</w:t>
      </w:r>
      <w:r w:rsidR="00034DD7">
        <w:rPr>
          <w:rFonts w:ascii="Times New Roman" w:hAnsi="Times New Roman"/>
          <w:sz w:val="24"/>
        </w:rPr>
        <w:t>s attributable to</w:t>
      </w:r>
      <w:r w:rsidR="008D0E33">
        <w:rPr>
          <w:rFonts w:ascii="Times New Roman" w:hAnsi="Times New Roman"/>
          <w:sz w:val="24"/>
        </w:rPr>
        <w:t xml:space="preserve"> the inclusion of</w:t>
      </w:r>
      <w:r w:rsidR="00034DD7">
        <w:rPr>
          <w:rFonts w:ascii="Times New Roman" w:hAnsi="Times New Roman"/>
          <w:sz w:val="24"/>
        </w:rPr>
        <w:t xml:space="preserve"> time spent in secondary child</w:t>
      </w:r>
      <w:r w:rsidR="0026232B">
        <w:rPr>
          <w:rFonts w:ascii="Times New Roman" w:hAnsi="Times New Roman"/>
          <w:sz w:val="24"/>
        </w:rPr>
        <w:t xml:space="preserve"> </w:t>
      </w:r>
      <w:r w:rsidR="00034DD7">
        <w:rPr>
          <w:rFonts w:ascii="Times New Roman" w:hAnsi="Times New Roman"/>
          <w:sz w:val="24"/>
        </w:rPr>
        <w:t xml:space="preserve">care, </w:t>
      </w:r>
      <w:r w:rsidR="008D0E33">
        <w:rPr>
          <w:rFonts w:ascii="Times New Roman" w:hAnsi="Times New Roman"/>
          <w:sz w:val="24"/>
        </w:rPr>
        <w:t xml:space="preserve">such as </w:t>
      </w:r>
      <w:r w:rsidR="00034DD7">
        <w:rPr>
          <w:rFonts w:ascii="Times New Roman" w:hAnsi="Times New Roman"/>
          <w:sz w:val="24"/>
        </w:rPr>
        <w:t xml:space="preserve">watching children while primarily </w:t>
      </w:r>
      <w:r w:rsidR="008D0E33">
        <w:rPr>
          <w:rFonts w:ascii="Times New Roman" w:hAnsi="Times New Roman"/>
          <w:sz w:val="24"/>
        </w:rPr>
        <w:t>engaged</w:t>
      </w:r>
      <w:r w:rsidR="00034DD7">
        <w:rPr>
          <w:rFonts w:ascii="Times New Roman" w:hAnsi="Times New Roman"/>
          <w:sz w:val="24"/>
        </w:rPr>
        <w:t xml:space="preserve"> in leisure activities</w:t>
      </w:r>
      <w:r w:rsidR="000F4FF9">
        <w:rPr>
          <w:rFonts w:ascii="Times New Roman" w:hAnsi="Times New Roman"/>
          <w:sz w:val="24"/>
        </w:rPr>
        <w:t>,</w:t>
      </w:r>
      <w:r w:rsidR="008D0E33">
        <w:rPr>
          <w:rFonts w:ascii="Times New Roman" w:hAnsi="Times New Roman"/>
          <w:sz w:val="24"/>
        </w:rPr>
        <w:t xml:space="preserve"> such as watching television</w:t>
      </w:r>
      <w:r w:rsidR="00034DD7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It is logically correct to include the replacement cost of time spent in secondary child</w:t>
      </w:r>
      <w:r w:rsidR="000F4F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care, as is done in the present study, because if the caregiver were sick or disabled</w:t>
      </w:r>
      <w:r w:rsidR="000F4FF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either a paid caregiver would be needed or another adult would have to take </w:t>
      </w:r>
      <w:r w:rsidR="000F4FF9">
        <w:rPr>
          <w:rFonts w:ascii="Times New Roman" w:hAnsi="Times New Roman"/>
          <w:sz w:val="24"/>
        </w:rPr>
        <w:t xml:space="preserve">his or her </w:t>
      </w:r>
      <w:r>
        <w:rPr>
          <w:rFonts w:ascii="Times New Roman" w:hAnsi="Times New Roman"/>
          <w:sz w:val="24"/>
        </w:rPr>
        <w:t xml:space="preserve">place. </w:t>
      </w:r>
    </w:p>
    <w:p w14:paraId="30EEED88" w14:textId="65F787AA" w:rsidR="00CC28F7" w:rsidRDefault="008D0E33" w:rsidP="008D0E33">
      <w:pPr>
        <w:spacing w:after="0" w:line="480" w:lineRule="auto"/>
        <w:ind w:firstLine="720"/>
        <w:rPr>
          <w:rFonts w:ascii="Times New Roman" w:hAnsi="Times New Roman"/>
          <w:sz w:val="24"/>
        </w:rPr>
      </w:pPr>
      <w:r w:rsidDel="008D0E33">
        <w:rPr>
          <w:rFonts w:ascii="Times New Roman" w:hAnsi="Times New Roman"/>
          <w:sz w:val="24"/>
        </w:rPr>
        <w:t xml:space="preserve"> </w:t>
      </w:r>
      <w:r w:rsidR="001B642E" w:rsidRPr="001B642E">
        <w:rPr>
          <w:rFonts w:ascii="Times New Roman" w:hAnsi="Times New Roman"/>
          <w:sz w:val="24"/>
        </w:rPr>
        <w:t xml:space="preserve">Deficiencies of solely using the ATUS for </w:t>
      </w:r>
      <w:r w:rsidR="00CC28F7">
        <w:rPr>
          <w:rFonts w:ascii="Times New Roman" w:hAnsi="Times New Roman"/>
          <w:sz w:val="24"/>
        </w:rPr>
        <w:t xml:space="preserve">market </w:t>
      </w:r>
      <w:r w:rsidR="001B642E" w:rsidRPr="001B642E">
        <w:rPr>
          <w:rFonts w:ascii="Times New Roman" w:hAnsi="Times New Roman"/>
          <w:sz w:val="24"/>
        </w:rPr>
        <w:t>productivity estimation</w:t>
      </w:r>
      <w:r>
        <w:rPr>
          <w:rFonts w:ascii="Times New Roman" w:hAnsi="Times New Roman"/>
          <w:sz w:val="24"/>
        </w:rPr>
        <w:t xml:space="preserve"> in </w:t>
      </w:r>
      <w:r w:rsidR="00070DBC">
        <w:rPr>
          <w:rFonts w:ascii="Times New Roman" w:hAnsi="Times New Roman"/>
          <w:sz w:val="24"/>
        </w:rPr>
        <w:t>Grosse et al. (2009)</w:t>
      </w:r>
      <w:r>
        <w:rPr>
          <w:rFonts w:ascii="Times New Roman" w:hAnsi="Times New Roman"/>
          <w:sz w:val="24"/>
        </w:rPr>
        <w:t xml:space="preserve"> </w:t>
      </w:r>
      <w:r w:rsidR="001B642E" w:rsidRPr="001B642E">
        <w:rPr>
          <w:rFonts w:ascii="Times New Roman" w:hAnsi="Times New Roman"/>
          <w:sz w:val="24"/>
        </w:rPr>
        <w:t>include limited wage-earnings data</w:t>
      </w:r>
      <w:r w:rsidR="00CC28F7">
        <w:rPr>
          <w:rFonts w:ascii="Times New Roman" w:hAnsi="Times New Roman"/>
          <w:sz w:val="24"/>
        </w:rPr>
        <w:t>. In addition</w:t>
      </w:r>
      <w:r w:rsidR="001B642E" w:rsidRPr="001B642E">
        <w:rPr>
          <w:rFonts w:ascii="Times New Roman" w:hAnsi="Times New Roman"/>
          <w:sz w:val="24"/>
        </w:rPr>
        <w:t>, because of its small sample size, daily respondent-level market work hours from the ATUS might not reliably extend to annual values for the entire US population. To minimize the small sample size issues with the ATUS</w:t>
      </w:r>
      <w:r w:rsidR="00070DBC">
        <w:rPr>
          <w:rFonts w:ascii="Times New Roman" w:hAnsi="Times New Roman"/>
          <w:sz w:val="24"/>
        </w:rPr>
        <w:t>,</w:t>
      </w:r>
      <w:r w:rsidR="001B642E" w:rsidRPr="001B642E">
        <w:rPr>
          <w:rFonts w:ascii="Times New Roman" w:hAnsi="Times New Roman"/>
          <w:sz w:val="24"/>
        </w:rPr>
        <w:t xml:space="preserve"> </w:t>
      </w:r>
      <w:r w:rsidR="00070DBC">
        <w:rPr>
          <w:rFonts w:ascii="Times New Roman" w:hAnsi="Times New Roman"/>
          <w:sz w:val="24"/>
        </w:rPr>
        <w:t>Grosse et al. (2009)</w:t>
      </w:r>
      <w:r w:rsidR="001B642E" w:rsidRPr="001B642E">
        <w:rPr>
          <w:rFonts w:ascii="Times New Roman" w:hAnsi="Times New Roman"/>
          <w:sz w:val="24"/>
        </w:rPr>
        <w:t xml:space="preserve"> followed the convention of combining several years of ATUS data together to produce estimates.</w:t>
      </w:r>
      <w:r w:rsidR="001B642E" w:rsidRPr="00216589">
        <w:rPr>
          <w:rFonts w:ascii="Times New Roman" w:hAnsi="Times New Roman"/>
          <w:sz w:val="24"/>
          <w:vertAlign w:val="superscript"/>
        </w:rPr>
        <w:footnoteReference w:id="1"/>
      </w:r>
      <w:r w:rsidR="001B642E" w:rsidRPr="001B642E">
        <w:rPr>
          <w:rFonts w:ascii="Times New Roman" w:hAnsi="Times New Roman"/>
          <w:sz w:val="24"/>
        </w:rPr>
        <w:t xml:space="preserve"> For example, while </w:t>
      </w:r>
      <w:r w:rsidR="001B642E" w:rsidRPr="001B642E">
        <w:rPr>
          <w:rFonts w:ascii="Times New Roman" w:hAnsi="Times New Roman"/>
          <w:sz w:val="24"/>
        </w:rPr>
        <w:lastRenderedPageBreak/>
        <w:t xml:space="preserve">the </w:t>
      </w:r>
      <w:r w:rsidR="00070DBC">
        <w:rPr>
          <w:rFonts w:ascii="Times New Roman" w:hAnsi="Times New Roman"/>
          <w:sz w:val="24"/>
        </w:rPr>
        <w:t>Grosse et al. (2009)</w:t>
      </w:r>
      <w:r w:rsidR="001B642E" w:rsidRPr="001B642E">
        <w:rPr>
          <w:rFonts w:ascii="Times New Roman" w:hAnsi="Times New Roman"/>
          <w:sz w:val="24"/>
        </w:rPr>
        <w:t xml:space="preserve"> estimates were built on 2007-dollar wage levels, the estimated hours of productive work were five-year 2003-</w:t>
      </w:r>
      <w:r w:rsidR="00CC28F7">
        <w:rPr>
          <w:rFonts w:ascii="Times New Roman" w:hAnsi="Times New Roman"/>
          <w:sz w:val="24"/>
        </w:rPr>
        <w:t>20</w:t>
      </w:r>
      <w:r w:rsidR="001B642E" w:rsidRPr="001B642E">
        <w:rPr>
          <w:rFonts w:ascii="Times New Roman" w:hAnsi="Times New Roman"/>
          <w:sz w:val="24"/>
        </w:rPr>
        <w:t xml:space="preserve">07 averages. </w:t>
      </w:r>
    </w:p>
    <w:p w14:paraId="4BBFBDDA" w14:textId="2940F762" w:rsidR="00593954" w:rsidRDefault="006A5FF5" w:rsidP="00593954">
      <w:pPr>
        <w:spacing w:after="0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593954">
        <w:rPr>
          <w:rFonts w:ascii="Times New Roman" w:hAnsi="Times New Roman"/>
          <w:sz w:val="24"/>
        </w:rPr>
        <w:t xml:space="preserve">nnual market productivity in 2007 dollars per individual aged 15 and over using ACS data from 2007 is estimated to have been $32,902, which is 2% higher than the equivalent estimate of $32,225 reported by Grosse et al. (2009) for the same year. Non-market productivity per person using ACS data from 2007 is estimated to have been </w:t>
      </w:r>
      <w:r>
        <w:rPr>
          <w:rFonts w:ascii="Times New Roman" w:hAnsi="Times New Roman"/>
          <w:sz w:val="24"/>
        </w:rPr>
        <w:t xml:space="preserve">$19,124, which is 40% higher than the estimate of annual household production of $13,613 in 2007 dollars by Grosse et al. (2009). Overall labor productivity for 2007 was $45,838 according to Grosse et al. (2009) and $52,026 in the present study, a difference of 13%. </w:t>
      </w:r>
    </w:p>
    <w:p w14:paraId="4AAC36D1" w14:textId="77777777" w:rsidR="00593954" w:rsidRDefault="00593954" w:rsidP="008D0E33">
      <w:pPr>
        <w:spacing w:after="0" w:line="480" w:lineRule="auto"/>
        <w:ind w:firstLine="720"/>
        <w:rPr>
          <w:rFonts w:ascii="Times New Roman" w:hAnsi="Times New Roman"/>
          <w:sz w:val="24"/>
        </w:rPr>
      </w:pPr>
    </w:p>
    <w:p w14:paraId="11101BE9" w14:textId="77777777" w:rsidR="001B642E" w:rsidRPr="001B642E" w:rsidRDefault="001B642E" w:rsidP="008A1BD6">
      <w:pPr>
        <w:spacing w:after="0" w:line="480" w:lineRule="auto"/>
        <w:rPr>
          <w:rFonts w:ascii="Times New Roman" w:hAnsi="Times New Roman"/>
          <w:sz w:val="24"/>
        </w:rPr>
      </w:pPr>
    </w:p>
    <w:sectPr w:rsidR="001B642E" w:rsidRPr="001B642E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50C3" w14:textId="77777777" w:rsidR="00A416E2" w:rsidRDefault="00A416E2" w:rsidP="001B642E">
      <w:pPr>
        <w:spacing w:after="0" w:line="240" w:lineRule="auto"/>
      </w:pPr>
      <w:r>
        <w:separator/>
      </w:r>
    </w:p>
  </w:endnote>
  <w:endnote w:type="continuationSeparator" w:id="0">
    <w:p w14:paraId="579CDA3E" w14:textId="77777777" w:rsidR="00A416E2" w:rsidRDefault="00A416E2" w:rsidP="001B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48DBB" w14:textId="77777777" w:rsidR="00A416E2" w:rsidRDefault="00A416E2" w:rsidP="001B642E">
      <w:pPr>
        <w:spacing w:after="0" w:line="240" w:lineRule="auto"/>
      </w:pPr>
      <w:r>
        <w:separator/>
      </w:r>
    </w:p>
  </w:footnote>
  <w:footnote w:type="continuationSeparator" w:id="0">
    <w:p w14:paraId="7C2AECF3" w14:textId="77777777" w:rsidR="00A416E2" w:rsidRDefault="00A416E2" w:rsidP="001B642E">
      <w:pPr>
        <w:spacing w:after="0" w:line="240" w:lineRule="auto"/>
      </w:pPr>
      <w:r>
        <w:continuationSeparator/>
      </w:r>
    </w:p>
  </w:footnote>
  <w:footnote w:id="1">
    <w:p w14:paraId="5372E209" w14:textId="37BEEDF3" w:rsidR="00A416E2" w:rsidRDefault="00A416E2" w:rsidP="001B642E">
      <w:pPr>
        <w:pStyle w:val="FootnoteText"/>
      </w:pPr>
      <w:r>
        <w:rPr>
          <w:rStyle w:val="FootnoteReference"/>
        </w:rPr>
        <w:footnoteRef/>
      </w:r>
      <w:r>
        <w:t xml:space="preserve"> From the Bureau of Labor Statistics: “</w:t>
      </w:r>
      <w:r w:rsidRPr="00DD5793">
        <w:t>The ATUS multi-year microdata files combine several years of previously-released and publicly-available ATUS microdata. Because changes in time use occur relatively slowly over time, it is possible to combine multiple years of ATUS data; doing so facilitates more detailed analyses about how Americans spend their time.</w:t>
      </w:r>
      <w:r>
        <w:t xml:space="preserve">” (See </w:t>
      </w:r>
      <w:hyperlink r:id="rId1" w:history="1">
        <w:r w:rsidRPr="00B87EE3">
          <w:rPr>
            <w:rStyle w:val="Hyperlink"/>
          </w:rPr>
          <w:t>https://www.bls.gov/tus/datafiles_my.htm</w:t>
        </w:r>
      </w:hyperlink>
      <w: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2E"/>
    <w:rsid w:val="0000091D"/>
    <w:rsid w:val="00034DD7"/>
    <w:rsid w:val="00065ACE"/>
    <w:rsid w:val="00070DBC"/>
    <w:rsid w:val="000A41E0"/>
    <w:rsid w:val="000E75E3"/>
    <w:rsid w:val="000F08AF"/>
    <w:rsid w:val="000F4FF9"/>
    <w:rsid w:val="000F600B"/>
    <w:rsid w:val="00112CEB"/>
    <w:rsid w:val="00126795"/>
    <w:rsid w:val="00192172"/>
    <w:rsid w:val="001A6DA1"/>
    <w:rsid w:val="001B642E"/>
    <w:rsid w:val="00216589"/>
    <w:rsid w:val="0026232B"/>
    <w:rsid w:val="002876D6"/>
    <w:rsid w:val="002F387C"/>
    <w:rsid w:val="0032541C"/>
    <w:rsid w:val="003567DC"/>
    <w:rsid w:val="003649C4"/>
    <w:rsid w:val="004A1CE4"/>
    <w:rsid w:val="004B2C40"/>
    <w:rsid w:val="004C366F"/>
    <w:rsid w:val="004E06A1"/>
    <w:rsid w:val="004E662E"/>
    <w:rsid w:val="0053419E"/>
    <w:rsid w:val="00593954"/>
    <w:rsid w:val="005950A3"/>
    <w:rsid w:val="0059656D"/>
    <w:rsid w:val="005C50ED"/>
    <w:rsid w:val="00635DDB"/>
    <w:rsid w:val="006A5FF5"/>
    <w:rsid w:val="006B66DD"/>
    <w:rsid w:val="007913A4"/>
    <w:rsid w:val="007D752B"/>
    <w:rsid w:val="007E48AB"/>
    <w:rsid w:val="008A1BD6"/>
    <w:rsid w:val="008D059D"/>
    <w:rsid w:val="008D0E33"/>
    <w:rsid w:val="0095031D"/>
    <w:rsid w:val="00964DD6"/>
    <w:rsid w:val="00A20F8E"/>
    <w:rsid w:val="00A26F64"/>
    <w:rsid w:val="00A416E2"/>
    <w:rsid w:val="00A80C5E"/>
    <w:rsid w:val="00A872D3"/>
    <w:rsid w:val="00B047E4"/>
    <w:rsid w:val="00B678A5"/>
    <w:rsid w:val="00B87EE3"/>
    <w:rsid w:val="00C4488B"/>
    <w:rsid w:val="00C51E19"/>
    <w:rsid w:val="00CC2484"/>
    <w:rsid w:val="00CC28F7"/>
    <w:rsid w:val="00CC51A5"/>
    <w:rsid w:val="00CE1AA0"/>
    <w:rsid w:val="00D004B3"/>
    <w:rsid w:val="00D26908"/>
    <w:rsid w:val="00D31BC8"/>
    <w:rsid w:val="00D450FA"/>
    <w:rsid w:val="00DD51CA"/>
    <w:rsid w:val="00DF74AA"/>
    <w:rsid w:val="00E20075"/>
    <w:rsid w:val="00E358B8"/>
    <w:rsid w:val="00E857BA"/>
    <w:rsid w:val="00EA7616"/>
    <w:rsid w:val="00F5154F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A5EB9"/>
  <w15:chartTrackingRefBased/>
  <w15:docId w15:val="{2E34ADCD-FCB3-45D3-9CFF-BAA6075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B642E"/>
    <w:pPr>
      <w:spacing w:after="0" w:line="240" w:lineRule="auto"/>
    </w:pPr>
    <w:rPr>
      <w:rFonts w:ascii="Times New Roman" w:eastAsiaTheme="minorEastAs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642E"/>
    <w:rPr>
      <w:rFonts w:ascii="Times New Roman" w:eastAsiaTheme="minorEastAsia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B642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95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0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0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0A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E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7E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ls.gov/tus/datafiles_m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F77BD-6878-4C38-B535-B8F380CC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Grosse, Scott (CDC/ONDIEH/NCBDDD)</dc:creator>
  <cp:keywords/>
  <dc:description/>
  <cp:lastModifiedBy>Grosse, Scott (CDC/ONDIEH/NCBDDD)</cp:lastModifiedBy>
  <cp:revision>2</cp:revision>
  <dcterms:created xsi:type="dcterms:W3CDTF">2018-07-25T14:23:00Z</dcterms:created>
  <dcterms:modified xsi:type="dcterms:W3CDTF">2018-07-25T14:23:00Z</dcterms:modified>
</cp:coreProperties>
</file>