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1BC3F" w14:textId="1325B423" w:rsidR="00AC42B4" w:rsidRPr="00BC6EEF" w:rsidRDefault="00E80CB5" w:rsidP="00AC42B4">
      <w:pPr>
        <w:widowControl w:val="0"/>
        <w:autoSpaceDE w:val="0"/>
        <w:autoSpaceDN w:val="0"/>
        <w:adjustRightInd w:val="0"/>
        <w:spacing w:line="480" w:lineRule="auto"/>
      </w:pPr>
      <w:r>
        <w:rPr>
          <w:noProof/>
        </w:rPr>
        <w:drawing>
          <wp:inline distT="0" distB="0" distL="0" distR="0" wp14:anchorId="2C511DED" wp14:editId="3DB63BEC">
            <wp:extent cx="5935345" cy="5969000"/>
            <wp:effectExtent l="0" t="0" r="8255" b="0"/>
            <wp:docPr id="1" name="Picture 1" descr="Macintosh HD:Users:aciernia:Box Sync:Ashwood lab collaboration:Experiments:MAA microglia P35:manuscript:GLIA_Resubmission:MAAnewfigs:VogelCiernia_FigureS1_RNAseq.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iernia:Box Sync:Ashwood lab collaboration:Experiments:MAA microglia P35:manuscript:GLIA_Resubmission:MAAnewfigs:VogelCiernia_FigureS1_RNAseq.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345" cy="5969000"/>
                    </a:xfrm>
                    <a:prstGeom prst="rect">
                      <a:avLst/>
                    </a:prstGeom>
                    <a:noFill/>
                    <a:ln>
                      <a:noFill/>
                    </a:ln>
                  </pic:spPr>
                </pic:pic>
              </a:graphicData>
            </a:graphic>
          </wp:inline>
        </w:drawing>
      </w:r>
      <w:r w:rsidR="00AC42B4" w:rsidRPr="00BC6EEF">
        <w:t>Figure S1. Quality Control of RNA sequencing</w:t>
      </w:r>
    </w:p>
    <w:p w14:paraId="6ADF9DFE" w14:textId="67E1C354" w:rsidR="00AC42B4" w:rsidRPr="00A307C6" w:rsidRDefault="00AC42B4" w:rsidP="00AC42B4">
      <w:pPr>
        <w:spacing w:line="480" w:lineRule="auto"/>
        <w:ind w:firstLine="360"/>
      </w:pPr>
      <w:r w:rsidRPr="00BC6EEF">
        <w:t xml:space="preserve">A. Average FastQ Screen output for PBS treated samples (100,000 sampled reads) indicates the vast majority of sampled reads align to the mouse genome. The only reads aligning to human are those that also align in mouse.  Minimal reads align to E. coli or PhiX (sequencing spike in).  B. Average FastQ Screen output for MAA treated samples for 100,000 sampled reads.  Similar to A, MAA samples show majority alignment to mm10 and minimal contamination. C. </w:t>
      </w:r>
      <w:r>
        <w:t xml:space="preserve">Principal </w:t>
      </w:r>
      <w:r>
        <w:lastRenderedPageBreak/>
        <w:t>component analysis (PCA) for the top 500 most variably expressed genes from RNAseq samples composed of subsampling reads from isolated microglia and neuronal samples</w:t>
      </w:r>
      <w:r>
        <w:fldChar w:fldCharType="begin" w:fldLock="1"/>
      </w:r>
      <w:r>
        <w:instrText>ADDIN CSL_CITATION { "citationItems" : [ { "id" : "ITEM-1", "itemData" : { "DOI" : "10.1523/JNEUROSCI.1860-14.2014", "ISBN" : "1529-2401 (Electronic)\\r0270-6474 (Linking)", "ISSN" : "1529-2401", "PMID" : "25186741", "abstract" : "The major cell classes of the brain differ in their developmental processes, metabolism, signaling, and function. To better understand the functions and interactions of the cell types that comprise these classes, we acutely purified representative populations of neurons, astrocytes, oligodendrocyte precursor cells, newly formed oligodendrocytes, myelinating oligodendrocytes, microglia, endothelial cells, and pericytes from mouse cerebral cortex. We generated a transcriptome database for these eight cell types by RNA sequencing and used a sensitive algorithm to detect alternative splicing events in each cell type. Bioinformatic analyses identified thousands of new cell type-enriched genes and splicing isoforms that will provide novel markers for cell identification, tools for genetic manipulation, and insights into the biology of the brain. For example, our data provide clues as to how neurons and astrocytes differ in their ability to dynamically regulate glycolytic flux and lactate generation attributable to unique splicing of PKM2, the gene encoding the glycolytic enzyme pyruvate kinase. This dataset will provide a powerful new resource for understanding the development and function of the brain. To ensure the widespread distribution of these datasets, we have created a user-friendly website (http://web.stanford.edu/group/barres_lab/brain_rnaseq.html) that provides a platform for analyzing and comparing transciption and alternative splicing profiles for various cell classes in the brain.", "author" : [ { "dropping-particle" : "", "family" : "Zhang", "given" : "Y", "non-dropping-particle" : "", "parse-names" : false, "suffix" : "" }, { "dropping-particle" : "", "family" : "Chen", "given" : "K", "non-dropping-particle" : "", "parse-names" : false, "suffix" : "" }, { "dropping-particle" : "", "family" : "Sloan", "given" : "S A", "non-dropping-particle" : "", "parse-names" : false, "suffix" : "" }, { "dropping-particle" : "", "family" : "Bennett", "given" : "M L", "non-dropping-particle" : "", "parse-names" : false, "suffix" : "" }, { "dropping-particle" : "", "family" : "Scholze", "given" : "A R", "non-dropping-particle" : "", "parse-names" : false, "suffix" : "" }, { "dropping-particle" : "", "family" : "O'Keeffe", "given" : "S", "non-dropping-particle" : "", "parse-names" : false, "suffix" : "" }, { "dropping-particle" : "", "family" : "Phatnani", "given" : "H P", "non-dropping-particle" : "", "parse-names" : false, "suffix" : "" }, { "dropping-particle" : "", "family" : "Guarnieri", "given" : "P", "non-dropping-particle" : "", "parse-names" : false, "suffix" : "" }, { "dropping-particle" : "", "family" : "Caneda", "given" : "C", "non-dropping-particle" : "", "parse-names" : false, "suffix" : "" }, { "dropping-particle" : "", "family" : "Ruderisch", "given" : "N", "non-dropping-particle" : "", "parse-names" : false, "suffix" : "" }, { "dropping-particle" : "", "family" : "Deng", "given" : "S", "non-dropping-particle" : "", "parse-names" : false, "suffix" : "" }, { "dropping-particle" : "", "family" : "Liddelow", "given" : "S A", "non-dropping-particle" : "", "parse-names" : false, "suffix" : "" }, { "dropping-particle" : "", "family" : "Zhang", "given" : "C", "non-dropping-particle" : "", "parse-names" : false, "suffix" : "" }, { "dropping-particle" : "", "family" : "Daneman", "given" : "R", "non-dropping-particle" : "", "parse-names" : false, "suffix" : "" }, { "dropping-particle" : "", "family" : "Maniatis", "given" : "T", "non-dropping-particle" : "", "parse-names" : false, "suffix" : "" }, { "dropping-particle" : "", "family" : "Barres", "given" : "B A", "non-dropping-particle" : "", "parse-names" : false, "suffix" : "" }, { "dropping-particle" : "", "family" : "Wu", "given" : "J Q", "non-dropping-particle" : "", "parse-names" : false, "suffix" : "" } ], "container-title" : "Journal of Neuroscience", "id" : "ITEM-1", "issue" : "36", "issued" : { "date-parts" : [ [ "2014" ] ] }, "page" : "11929-11947", "title" : "An RNA-sequencing transcriptome and splicing database of glia, neurons, and vascular cells of the cerebral cortex", "type" : "article-journal", "volume" : "34" }, "uris" : [ "http://www.mendeley.com/documents/?uuid=22726cf3-b8de-4c21-bf97-3c7160151617" ] } ], "mendeley" : { "formattedCitation" : "(Zhang et al. 2014)", "plainTextFormattedCitation" : "(Zhang et al. 2014)", "previouslyFormattedCitation" : "[128]" }, "properties" : { "noteIndex" : 0 }, "schema" : "https://github.com/citation-style-language/schema/raw/master/csl-citation.json" }</w:instrText>
      </w:r>
      <w:r>
        <w:fldChar w:fldCharType="separate"/>
      </w:r>
      <w:r w:rsidRPr="00F428EB">
        <w:rPr>
          <w:noProof/>
        </w:rPr>
        <w:t>(Zhang et al. 2014)</w:t>
      </w:r>
      <w:r>
        <w:fldChar w:fldCharType="end"/>
      </w:r>
      <w:r>
        <w:t xml:space="preserve"> (GEO </w:t>
      </w:r>
      <w:r w:rsidRPr="00BC6EEF">
        <w:t>GSE52564)</w:t>
      </w:r>
      <w:r>
        <w:t>. First purely microglial reads (MG100) were created by randomly sampling 30million reads (to match read numbers for MAA and PBS microglia) from microglial samples. Purely neuronal reads (30million randomly sampled, N100) were made similarly.  Mixed proportion samples were then made to simulate levels of neuronal contamination within microglial reads by combing the following percentages of neuronal reads with microglial reads (total reads all 30million/sample): 0.01% neuronal (N.01), 0.1% neuronal (N.1), 1% neuronal (N1), 5% neuronal (N.5), 10% neuronal (N.10), 20% neuronal (N.20), 30% neuronal (N.30), 40% neuronal (N.40), 50% neuronal (N.50). D.</w:t>
      </w:r>
      <w:r w:rsidRPr="00AD57D9">
        <w:t xml:space="preserve"> </w:t>
      </w:r>
      <w:r w:rsidRPr="00BC6EEF">
        <w:t>Microglia were isolated from P</w:t>
      </w:r>
      <w:r>
        <w:t>ND</w:t>
      </w:r>
      <w:r w:rsidRPr="00BC6EEF">
        <w:t>35 C57BL6/J mice using the described Percoll method and analyzed by flow cytometry.</w:t>
      </w:r>
      <w:r w:rsidRPr="00BC6EEF">
        <w:rPr>
          <w:i/>
        </w:rPr>
        <w:t> </w:t>
      </w:r>
      <w:r>
        <w:t xml:space="preserve">Gating was performed </w:t>
      </w:r>
      <w:r w:rsidR="00FC5F48">
        <w:t>on</w:t>
      </w:r>
      <w:r>
        <w:t xml:space="preserve"> live </w:t>
      </w:r>
      <w:r w:rsidR="00FC5F48">
        <w:t xml:space="preserve">single </w:t>
      </w:r>
      <w:r>
        <w:t>cells and highly granular myelin contamination was removed</w:t>
      </w:r>
      <w:r w:rsidR="00FC5F48">
        <w:t xml:space="preserve"> (92% remaining)</w:t>
      </w:r>
      <w:r>
        <w:t xml:space="preserve">.  Remaining </w:t>
      </w:r>
      <w:r w:rsidRPr="00BC6EEF">
        <w:t>CD45.2 and CD11b positive</w:t>
      </w:r>
      <w:r>
        <w:t xml:space="preserve"> microglial were estimated at  &gt;90% purity.  Color represents density with higher density shown in green/yellow. </w:t>
      </w:r>
    </w:p>
    <w:p w14:paraId="1FBD02B3" w14:textId="1E0A3B29" w:rsidR="00AC42B4" w:rsidRPr="0061435F" w:rsidRDefault="00FC5F48" w:rsidP="00AC42B4">
      <w:pPr>
        <w:spacing w:line="480" w:lineRule="auto"/>
      </w:pPr>
      <w:r>
        <w:rPr>
          <w:noProof/>
        </w:rPr>
        <w:drawing>
          <wp:inline distT="0" distB="0" distL="0" distR="0" wp14:anchorId="4C779FBC" wp14:editId="28CEBBE0">
            <wp:extent cx="5943600" cy="4081145"/>
            <wp:effectExtent l="0" t="0" r="0" b="8255"/>
            <wp:docPr id="9" name="Picture 9" descr="Macintosh HD:Users:aciernia:Box Sync:Ashwood lab collaboration:Experiments:MAA microglia P35:manuscript:GLIA_Resubmission:VogelCiernia_FigureS2_WG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iernia:Box Sync:Ashwood lab collaboration:Experiments:MAA microglia P35:manuscript:GLIA_Resubmission:VogelCiernia_FigureS2_WGB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81145"/>
                    </a:xfrm>
                    <a:prstGeom prst="rect">
                      <a:avLst/>
                    </a:prstGeom>
                    <a:noFill/>
                    <a:ln>
                      <a:noFill/>
                    </a:ln>
                  </pic:spPr>
                </pic:pic>
              </a:graphicData>
            </a:graphic>
          </wp:inline>
        </w:drawing>
      </w:r>
    </w:p>
    <w:p w14:paraId="496B8ED8" w14:textId="77777777" w:rsidR="0008085A" w:rsidRPr="00BC6EEF" w:rsidRDefault="0008085A" w:rsidP="0008085A">
      <w:pPr>
        <w:widowControl w:val="0"/>
        <w:autoSpaceDE w:val="0"/>
        <w:autoSpaceDN w:val="0"/>
        <w:adjustRightInd w:val="0"/>
        <w:spacing w:line="480" w:lineRule="auto"/>
      </w:pPr>
      <w:r w:rsidRPr="00BC6EEF">
        <w:t>Figure S</w:t>
      </w:r>
      <w:r>
        <w:t>2</w:t>
      </w:r>
      <w:r w:rsidRPr="00BC6EEF">
        <w:t xml:space="preserve">. CG Methylation Analysis. A. Principle component analysis of the %mCG/CG from the top 500 most variably methylated genebodies from multiple brain cell types including several specific types of neurons (excitatory, PV interneurons and VIP interneurons </w:t>
      </w:r>
      <w:r w:rsidRPr="00BC6EEF">
        <w:fldChar w:fldCharType="begin" w:fldLock="1"/>
      </w:r>
      <w:r>
        <w:instrText>ADDIN CSL_CITATION { "citationItems" : [ { "id" : "ITEM-1", "itemData" : { "DOI" : "10.1016/j.neuron.2015.05.018", "ISSN" : "08966273", "author" : [ { "dropping-particle" : "", "family" : "Mo", "given" : "Alisa", "non-dropping-particle" : "", "parse-names" : false, "suffix" : "" }, { "dropping-particle" : "", "family" : "Mukamel", "given" : "Eran\u00a0A.", "non-dropping-particle" : "", "parse-names" : false, "suffix" : "" }, { "dropping-particle" : "", "family" : "Davis", "given" : "Fred\u00a0P.", "non-dropping-particle" : "", "parse-names" : false, "suffix" : "" }, { "dropping-particle" : "", "family" : "Luo", "given" : "Chongyuan", "non-dropping-particle" : "", "parse-names" : false, "suffix" : "" }, { "dropping-particle" : "", "family" : "Henry", "given" : "Gilbert\u00a0L.", "non-dropping-particle" : "", "parse-names" : false, "suffix" : "" }, { "dropping-particle" : "", "family" : "Picard", "given" : "Serge", "non-dropping-particle" : "", "parse-names" : false, "suffix" : "" }, { "dropping-particle" : "", "family" : "Urich", "given" : "Mark\u00a0A.", "non-dropping-particle" : "", "parse-names" : false, "suffix" : "" }, { "dropping-particle" : "", "family" : "Nery", "given" : "Joseph\u00a0R.", "non-dropping-particle" : "", "parse-names" : false, "suffix" : "" }, { "dropping-particle" : "", "family" : "Sejnowski", "given" : "Terrence\u00a0J.", "non-dropping-particle" : "", "parse-names" : false, "suffix" : "" }, { "dropping-particle" : "", "family" : "Lister", "given" : "Ryan", "non-dropping-particle" : "", "parse-names" : false, "suffix" : "" }, { "dropping-particle" : "", "family" : "Eddy", "given" : "Sean\u00a0R.", "non-dropping-particle" : "", "parse-names" : false, "suffix" : "" }, { "dropping-particle" : "", "family" : "Ecker", "given" : "Joseph\u00a0R.", "non-dropping-particle" : "", "parse-names" : false, "suffix" : "" }, { "dropping-particle" : "", "family" : "Nathans", "given" : "Jeremy", "non-dropping-particle" : "", "parse-names" : false, "suffix" : "" } ], "container-title" : "Neuron", "id" : "ITEM-1", "issue" : "6", "issued" : { "date-parts" : [ [ "2015" ] ] }, "page" : "1369-1384", "publisher" : "Elsevier Inc.", "title" : "Epigenomic Signatures of Neuronal Diversity in the Mammalian Brain", "type" : "article-journal", "volume" : "86" }, "uris" : [ "http://www.mendeley.com/documents/?uuid=90fe8965-f7c4-48bf-97ef-41128d18b532" ] } ], "mendeley" : { "formattedCitation" : "(Mo et al. 2015)", "plainTextFormattedCitation" : "(Mo et al. 2015)", "previouslyFormattedCitation" : "[67]" }, "properties" : { "noteIndex" : 0 }, "schema" : "https://github.com/citation-style-language/schema/raw/master/csl-citation.json" }</w:instrText>
      </w:r>
      <w:r w:rsidRPr="00BC6EEF">
        <w:fldChar w:fldCharType="separate"/>
      </w:r>
      <w:r w:rsidRPr="00F428EB">
        <w:rPr>
          <w:noProof/>
        </w:rPr>
        <w:t>(Mo et al. 2015)</w:t>
      </w:r>
      <w:r w:rsidRPr="00BC6EEF">
        <w:fldChar w:fldCharType="end"/>
      </w:r>
      <w:r w:rsidRPr="00BC6EEF">
        <w:t>), astrocytes and total fetal cortex (P28)</w:t>
      </w:r>
      <w:r w:rsidRPr="00BC6EEF">
        <w:fldChar w:fldCharType="begin" w:fldLock="1"/>
      </w:r>
      <w:r>
        <w:instrText>ADDIN CSL_CITATION { "citationItems" : [ { "id" : "ITEM-1", "itemData" : { "DOI" : "10.1126/science.1237905", "ISBN" : "1095-9203 (Electronic) 0036-8075 (Linking)", "ISSN" : "0036-8075", "PMID" : "23828890", "author" : [ { "dropping-particle" : "", "family" : "Lister", "given" : "Ryan", "non-dropping-particle" : "", "parse-names" : false, "suffix" : "" }, { "dropping-particle" : "", "family" : "Mukamel", "given" : "Eran a", "non-dropping-particle" : "", "parse-names" : false, "suffix" : "" }, { "dropping-particle" : "", "family" : "Nery", "given" : "Joseph R", "non-dropping-particle" : "", "parse-names" : false, "suffix" : "" }, { "dropping-particle" : "", "family" : "Urich", "given" : "Mark", "non-dropping-particle" : "", "parse-names" : false, "suffix" : "" }, { "dropping-particle" : "", "family" : "Puddifoot", "given" : "Clare a", "non-dropping-particle" : "", "parse-names" : false, "suffix" : "" }, { "dropping-particle" : "", "family" : "Nicholas", "given" : "D", "non-dropping-particle" : "", "parse-names" : false, "suffix" : "" }, { "dropping-particle" : "", "family" : "Lucero", "given" : "Jacinta", "non-dropping-particle" : "", "parse-names" : false, "suffix" : "" }, { "dropping-particle" : "", "family" : "Huang", "given" : "Yun", "non-dropping-particle" : "", "parse-names" : false, "suffix" : "" }, { "dropping-particle" : "", "family" : "Dwork", "given" : "Andrew J", "non-dropping-particle" : "", "parse-names" : false, "suffix" : "" }, { "dropping-particle" : "", "family" : "Schultz", "given" : "Matthew D", "non-dropping-particle" : "", "parse-names" : false, "suffix" : "" }, { "dropping-particle" : "", "family" : "Yu", "given" : "Miao", "non-dropping-particle" : "", "parse-names" : false, "suffix" : "" }, { "dropping-particle" : "", "family" : "Heyn", "given" : "Holger", "non-dropping-particle" : "", "parse-names" : false, "suffix" : "" }, { "dropping-particle" : "", "family" : "Hu", "given" : "Shijun", "non-dropping-particle" : "", "parse-names" : false, "suffix" : "" }, { "dropping-particle" : "", "family" : "Wu", "given" : "Joseph C", "non-dropping-particle" : "", "parse-names" : false, "suffix" : "" }, { "dropping-particle" : "", "family" : "Rao", "given" : "Anjana", "non-dropping-particle" : "", "parse-names" : false, "suffix" : "" }, { "dropping-particle" : "", "family" : "Esteller", "given" : "Manel", "non-dropping-particle" : "", "parse-names" : false, "suffix" : "" }, { "dropping-particle" : "", "family" : "He", "given" : "Chuan", "non-dropping-particle" : "", "parse-names" : false, "suffix" : "" } ], "container-title" : "Science", "id" : "ITEM-1", "issued" : { "date-parts" : [ [ "2013" ] ] }, "page" : "629-643", "title" : "Global Epigenomic Reconfiguration During Mammalian Brain Development", "type" : "article-journal", "volume" : "341" }, "uris" : [ "http://www.mendeley.com/documents/?uuid=afb3771c-5521-4d21-a5f7-23b390206339" ] } ], "mendeley" : { "formattedCitation" : "(Lister et al. 2013)", "plainTextFormattedCitation" : "(Lister et al. 2013)", "previouslyFormattedCitation" : "[60]" }, "properties" : { "noteIndex" : 0 }, "schema" : "https://github.com/citation-style-language/schema/raw/master/csl-citation.json" }</w:instrText>
      </w:r>
      <w:r w:rsidRPr="00BC6EEF">
        <w:fldChar w:fldCharType="separate"/>
      </w:r>
      <w:r w:rsidRPr="00F428EB">
        <w:rPr>
          <w:noProof/>
        </w:rPr>
        <w:t>(Lister et al. 2013)</w:t>
      </w:r>
      <w:r w:rsidRPr="00BC6EEF">
        <w:fldChar w:fldCharType="end"/>
      </w:r>
      <w:r w:rsidRPr="00BC6EEF">
        <w:t>. CpG Islands were masked from the analysis. B. Same as A, except for CpG Islands C. MAA and PBS samples were showed no significant differences in % mCG/CG methylation at any of the assessed genomic features (2-way A</w:t>
      </w:r>
      <w:r>
        <w:t>NOV</w:t>
      </w:r>
      <w:r w:rsidRPr="00BC6EEF">
        <w:t>A, treatment F</w:t>
      </w:r>
      <w:r w:rsidRPr="00BC6EEF">
        <w:rPr>
          <w:vertAlign w:val="subscript"/>
        </w:rPr>
        <w:t>1,,6</w:t>
      </w:r>
      <w:r w:rsidRPr="00BC6EEF">
        <w:t xml:space="preserve"> = 0.55, p = 0.486, genomic feature F</w:t>
      </w:r>
      <w:r w:rsidRPr="00BC6EEF">
        <w:rPr>
          <w:vertAlign w:val="subscript"/>
        </w:rPr>
        <w:t>1,24</w:t>
      </w:r>
      <w:r w:rsidRPr="00BC6EEF">
        <w:t xml:space="preserve"> = 5489, p &lt; 0.001, interaction F</w:t>
      </w:r>
      <w:r w:rsidRPr="00BC6EEF">
        <w:rPr>
          <w:vertAlign w:val="subscript"/>
        </w:rPr>
        <w:t>4,24</w:t>
      </w:r>
      <w:r w:rsidRPr="00BC6EEF">
        <w:t xml:space="preserve"> = 0.07, p = 0.990</w:t>
      </w:r>
      <w:r>
        <w:t>). D</w:t>
      </w:r>
      <w:r w:rsidRPr="00BC6EEF">
        <w:t>. Three DMRs (highlighted in pink) that passed a significant family wise error rate cutoff of 0.05 by permutation test and their associated genes.</w:t>
      </w:r>
    </w:p>
    <w:p w14:paraId="7D6E1F3C" w14:textId="5EE76ED3" w:rsidR="0008085A" w:rsidRDefault="0008085A" w:rsidP="00210857">
      <w:pPr>
        <w:spacing w:line="480" w:lineRule="auto"/>
      </w:pPr>
    </w:p>
    <w:p w14:paraId="0A12CECE" w14:textId="77777777" w:rsidR="001D1415" w:rsidRDefault="001D1415" w:rsidP="00210857">
      <w:pPr>
        <w:spacing w:line="480" w:lineRule="auto"/>
      </w:pPr>
      <w:r>
        <w:rPr>
          <w:noProof/>
        </w:rPr>
        <w:drawing>
          <wp:inline distT="0" distB="0" distL="0" distR="0" wp14:anchorId="08782D20" wp14:editId="5A36D1C6">
            <wp:extent cx="4859655" cy="8229600"/>
            <wp:effectExtent l="0" t="0" r="0" b="0"/>
            <wp:docPr id="2" name="Picture 2" descr="Macintosh HD:Users:annieciernia:Box Sync:Ashwood lab collaboration:Experiments:MAA microglia P35:manuscript:GLIA_Resubmission:VogelCiernia_FigureS3_RNAseqGOte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ieciernia:Box Sync:Ashwood lab collaboration:Experiments:MAA microglia P35:manuscript:GLIA_Resubmission:VogelCiernia_FigureS3_RNAseqGOterm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9655" cy="8229600"/>
                    </a:xfrm>
                    <a:prstGeom prst="rect">
                      <a:avLst/>
                    </a:prstGeom>
                    <a:noFill/>
                    <a:ln>
                      <a:noFill/>
                    </a:ln>
                  </pic:spPr>
                </pic:pic>
              </a:graphicData>
            </a:graphic>
          </wp:inline>
        </w:drawing>
      </w:r>
    </w:p>
    <w:p w14:paraId="1F2B8DEB" w14:textId="0E946BE9" w:rsidR="0008085A" w:rsidRPr="00A307C6" w:rsidRDefault="00AC42B4" w:rsidP="00210857">
      <w:pPr>
        <w:spacing w:line="480" w:lineRule="auto"/>
      </w:pPr>
      <w:bookmarkStart w:id="0" w:name="_GoBack"/>
      <w:bookmarkEnd w:id="0"/>
      <w:r w:rsidRPr="00BC6EEF">
        <w:t xml:space="preserve">Figures </w:t>
      </w:r>
      <w:r w:rsidR="0008085A" w:rsidRPr="00BC6EEF">
        <w:t>S</w:t>
      </w:r>
      <w:r w:rsidR="0008085A">
        <w:t>3</w:t>
      </w:r>
      <w:r w:rsidRPr="00BC6EEF">
        <w:t>. Gene Ontology Enrichment for Differentially Expressed Genes A. Gene Ontology terms for Biological Process, Cellular Component, and Molecular Function by p-value</w:t>
      </w:r>
      <w:r w:rsidR="00E80CB5">
        <w:t xml:space="preserve"> (See Table S6) B. Fluidigm Delta Gene Expression Assay results for </w:t>
      </w:r>
      <w:r w:rsidR="00E80CB5" w:rsidRPr="00192C75">
        <w:rPr>
          <w:i/>
        </w:rPr>
        <w:t xml:space="preserve">Hspa1b </w:t>
      </w:r>
      <w:r w:rsidR="00E80CB5">
        <w:t xml:space="preserve">and </w:t>
      </w:r>
      <w:r w:rsidR="00E80CB5" w:rsidRPr="00192C75">
        <w:rPr>
          <w:i/>
        </w:rPr>
        <w:t>Ina</w:t>
      </w:r>
      <w:r w:rsidR="00E80CB5">
        <w:t xml:space="preserve"> expression relative to </w:t>
      </w:r>
      <w:r w:rsidR="00E80CB5" w:rsidRPr="00192C75">
        <w:rPr>
          <w:i/>
        </w:rPr>
        <w:t>Hprt</w:t>
      </w:r>
      <w:r w:rsidR="00E80CB5">
        <w:t xml:space="preserve">.  </w:t>
      </w:r>
      <w:r w:rsidR="00E80CB5" w:rsidRPr="00661C43">
        <w:rPr>
          <w:i/>
        </w:rPr>
        <w:t>Hspa1b</w:t>
      </w:r>
      <w:r w:rsidR="00E80CB5">
        <w:t xml:space="preserve"> is significantly higher in MAA microglia (t = 2.675, p = 0.025) and </w:t>
      </w:r>
      <w:r w:rsidR="00E80CB5" w:rsidRPr="00192C75">
        <w:rPr>
          <w:i/>
        </w:rPr>
        <w:t>Ina</w:t>
      </w:r>
      <w:r w:rsidR="00E80CB5">
        <w:t xml:space="preserve"> shows a strong trend for a similar pattern (t = 2.000, 0.067) (See Table S5).   </w:t>
      </w:r>
    </w:p>
    <w:p w14:paraId="6BFB373B" w14:textId="2DE3243F" w:rsidR="00AC42B4" w:rsidRPr="00BC6EEF" w:rsidRDefault="003D27C6" w:rsidP="00210857">
      <w:pPr>
        <w:spacing w:line="480" w:lineRule="auto"/>
      </w:pPr>
      <w:r>
        <w:rPr>
          <w:noProof/>
        </w:rPr>
        <w:drawing>
          <wp:inline distT="0" distB="0" distL="0" distR="0" wp14:anchorId="6ED1F3B5" wp14:editId="0E10B007">
            <wp:extent cx="5935345" cy="5605145"/>
            <wp:effectExtent l="0" t="0" r="0" b="0"/>
            <wp:docPr id="5" name="Picture 5" descr="Macintosh HD:Users:aciernia:Box Sync:Ashwood lab collaboration:Experiments:MAA microglia P35:manuscript:GLIA_Resubmission:MAAnewfigs:VogelCiernia_FigureS4_OverlapsOddsRati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iernia:Box Sync:Ashwood lab collaboration:Experiments:MAA microglia P35:manuscript:GLIA_Resubmission:MAAnewfigs:VogelCiernia_FigureS4_OverlapsOddsRatio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5605145"/>
                    </a:xfrm>
                    <a:prstGeom prst="rect">
                      <a:avLst/>
                    </a:prstGeom>
                    <a:noFill/>
                    <a:ln>
                      <a:noFill/>
                    </a:ln>
                  </pic:spPr>
                </pic:pic>
              </a:graphicData>
            </a:graphic>
          </wp:inline>
        </w:drawing>
      </w:r>
    </w:p>
    <w:p w14:paraId="1F82C154" w14:textId="5E594F95" w:rsidR="00AC42B4" w:rsidRDefault="00AC42B4" w:rsidP="00AC42B4">
      <w:pPr>
        <w:widowControl w:val="0"/>
        <w:autoSpaceDE w:val="0"/>
        <w:autoSpaceDN w:val="0"/>
        <w:adjustRightInd w:val="0"/>
        <w:spacing w:line="480" w:lineRule="auto"/>
      </w:pPr>
      <w:r>
        <w:t xml:space="preserve">Figures S4. MAA Gene List Overlaps. </w:t>
      </w:r>
      <w:r w:rsidR="003D27C6">
        <w:t>A. Gene list overlaps between MAA DE genes, MAA DMR associated genes and genes identified in differentially methylated 1kb windows in adult mouse prefrontal cortex (PFC) following PolyI:C MIA at either GD9 or GD17. B</w:t>
      </w:r>
      <w:r>
        <w:t xml:space="preserve">. Gene list overlaps between MAA DE genes, MAA DMR associated genes and genes regulated by MIA.  MIA gene list labels include agent used to induce MIA (LPS, influenza, recombinant IL-6, or PolyI:C), gestational day (GD) of MIA, time point of tissue harvest and tissue examined. </w:t>
      </w:r>
      <w:r w:rsidR="003D27C6">
        <w:t>C</w:t>
      </w:r>
      <w:r w:rsidR="00E52676">
        <w:t>. Gene list overlaps between MAA DE and MAA DMR associated genes and genes identified as differentially expressed in hippocampal microglia from male mice (P80) either treated with</w:t>
      </w:r>
      <w:r w:rsidR="00E52676" w:rsidRPr="00E52676">
        <w:t xml:space="preserve"> </w:t>
      </w:r>
      <w:r w:rsidR="00E52676">
        <w:t xml:space="preserve">PolyI:C MIA on GD15 or </w:t>
      </w:r>
      <w:r w:rsidR="00EC453D">
        <w:t xml:space="preserve">saline </w:t>
      </w:r>
      <w:r w:rsidR="00E52676">
        <w:t xml:space="preserve">controls. Half of the MIA mice were given oral minocycline as adults (P70-80) </w:t>
      </w:r>
      <w:r w:rsidR="00C47B23">
        <w:t xml:space="preserve">(MIAmino). </w:t>
      </w:r>
      <w:r>
        <w:t>* Fisher’s exact test with FDR corrected p-value &lt;0.05.  + Fisher’s exact test with FDR corrected p-value &lt;0.065. Gene lists, citations and individual statistics are listed in Table S7.</w:t>
      </w:r>
    </w:p>
    <w:p w14:paraId="763F86C2" w14:textId="77777777" w:rsidR="00AC42B4" w:rsidRDefault="00AC42B4" w:rsidP="00AC42B4">
      <w:pPr>
        <w:widowControl w:val="0"/>
        <w:autoSpaceDE w:val="0"/>
        <w:autoSpaceDN w:val="0"/>
        <w:adjustRightInd w:val="0"/>
        <w:spacing w:line="480" w:lineRule="auto"/>
      </w:pPr>
    </w:p>
    <w:p w14:paraId="7E21B91C" w14:textId="234EEE62" w:rsidR="00CC10EB" w:rsidRDefault="00767663" w:rsidP="00AC42B4">
      <w:pPr>
        <w:widowControl w:val="0"/>
        <w:autoSpaceDE w:val="0"/>
        <w:autoSpaceDN w:val="0"/>
        <w:adjustRightInd w:val="0"/>
        <w:spacing w:line="480" w:lineRule="auto"/>
      </w:pPr>
      <w:r>
        <w:br w:type="page"/>
      </w:r>
      <w:r w:rsidR="00CC10EB">
        <w:t>Supplemental Excel Documents: Table Legends</w:t>
      </w:r>
    </w:p>
    <w:p w14:paraId="6EC75218" w14:textId="77777777" w:rsidR="00AC42B4" w:rsidRPr="00BC6EEF" w:rsidRDefault="00CC10EB" w:rsidP="00AC42B4">
      <w:pPr>
        <w:widowControl w:val="0"/>
        <w:autoSpaceDE w:val="0"/>
        <w:autoSpaceDN w:val="0"/>
        <w:adjustRightInd w:val="0"/>
        <w:spacing w:line="480" w:lineRule="auto"/>
      </w:pPr>
      <w:r>
        <w:t>1</w:t>
      </w:r>
      <w:r w:rsidR="00AC42B4" w:rsidRPr="00BC6EEF">
        <w:t>. TableS1_MGisolation.xlsx</w:t>
      </w:r>
    </w:p>
    <w:p w14:paraId="6FA54459" w14:textId="77777777" w:rsidR="00AC42B4" w:rsidRPr="00BC6EEF" w:rsidRDefault="00AC42B4" w:rsidP="00AC42B4">
      <w:pPr>
        <w:widowControl w:val="0"/>
        <w:autoSpaceDE w:val="0"/>
        <w:autoSpaceDN w:val="0"/>
        <w:adjustRightInd w:val="0"/>
        <w:spacing w:line="480" w:lineRule="auto"/>
      </w:pPr>
      <w:r w:rsidRPr="00BC6EEF">
        <w:t>Table S1. Microglial Isolation. For each sample the litter identification number, total isolated microglia cell count, total RNA yield, RNA RIN number, total DNA and total DNA yield are reported. Unpaired t-tests (p-values shown) were conducted to compare each measure between conditions.</w:t>
      </w:r>
    </w:p>
    <w:p w14:paraId="323BFE3F" w14:textId="77777777" w:rsidR="00AC42B4" w:rsidRPr="00BC6EEF" w:rsidRDefault="00AC42B4" w:rsidP="00AC42B4">
      <w:pPr>
        <w:widowControl w:val="0"/>
        <w:autoSpaceDE w:val="0"/>
        <w:autoSpaceDN w:val="0"/>
        <w:adjustRightInd w:val="0"/>
        <w:spacing w:line="480" w:lineRule="auto"/>
      </w:pPr>
    </w:p>
    <w:p w14:paraId="429590BA" w14:textId="77777777" w:rsidR="00AC42B4" w:rsidRPr="00BC6EEF" w:rsidRDefault="00CC10EB" w:rsidP="00AC42B4">
      <w:pPr>
        <w:widowControl w:val="0"/>
        <w:autoSpaceDE w:val="0"/>
        <w:autoSpaceDN w:val="0"/>
        <w:adjustRightInd w:val="0"/>
        <w:spacing w:line="480" w:lineRule="auto"/>
      </w:pPr>
      <w:r>
        <w:t>2</w:t>
      </w:r>
      <w:r w:rsidR="00AC42B4" w:rsidRPr="00BC6EEF">
        <w:t>. TableS2_SequencingReads.xlsx</w:t>
      </w:r>
    </w:p>
    <w:p w14:paraId="7EDE013D" w14:textId="77777777" w:rsidR="00AC42B4" w:rsidRPr="00BC6EEF" w:rsidRDefault="00AC42B4" w:rsidP="00AC42B4">
      <w:pPr>
        <w:widowControl w:val="0"/>
        <w:autoSpaceDE w:val="0"/>
        <w:autoSpaceDN w:val="0"/>
        <w:adjustRightInd w:val="0"/>
        <w:spacing w:line="480" w:lineRule="auto"/>
      </w:pPr>
      <w:r w:rsidRPr="00BC6EEF">
        <w:t>Table S2. Sequencing Alignment Summaries for RNAseq and WGBS</w:t>
      </w:r>
    </w:p>
    <w:p w14:paraId="53DBE20C" w14:textId="0121CF1E" w:rsidR="00AC42B4" w:rsidRDefault="00AC42B4" w:rsidP="00AC42B4">
      <w:pPr>
        <w:widowControl w:val="0"/>
        <w:autoSpaceDE w:val="0"/>
        <w:autoSpaceDN w:val="0"/>
        <w:adjustRightInd w:val="0"/>
        <w:spacing w:line="480" w:lineRule="auto"/>
      </w:pPr>
      <w:r w:rsidRPr="00BC6EEF">
        <w:t xml:space="preserve">Alignment summaries from Tophat2 for RNAseq and BS-Seeker2 (WGBS) are shown for each sample. Unpaired t-tests (p-values shown) were conducted to compare each measure between conditions. </w:t>
      </w:r>
    </w:p>
    <w:p w14:paraId="091361B5" w14:textId="77777777" w:rsidR="00B809EC" w:rsidRPr="00BC6EEF" w:rsidRDefault="00B809EC" w:rsidP="00AC42B4">
      <w:pPr>
        <w:widowControl w:val="0"/>
        <w:autoSpaceDE w:val="0"/>
        <w:autoSpaceDN w:val="0"/>
        <w:adjustRightInd w:val="0"/>
        <w:spacing w:line="480" w:lineRule="auto"/>
      </w:pPr>
    </w:p>
    <w:p w14:paraId="357BD208" w14:textId="171E5206" w:rsidR="00AC42B4" w:rsidRPr="00BC6EEF" w:rsidRDefault="00B809EC" w:rsidP="00AC42B4">
      <w:pPr>
        <w:widowControl w:val="0"/>
        <w:autoSpaceDE w:val="0"/>
        <w:autoSpaceDN w:val="0"/>
        <w:adjustRightInd w:val="0"/>
        <w:spacing w:line="480" w:lineRule="auto"/>
      </w:pPr>
      <w:r>
        <w:t>3</w:t>
      </w:r>
      <w:r w:rsidR="00AC42B4" w:rsidRPr="00BC6EEF">
        <w:t xml:space="preserve">. </w:t>
      </w:r>
      <w:r w:rsidRPr="00BC6EEF">
        <w:t>TableS</w:t>
      </w:r>
      <w:r>
        <w:t>3</w:t>
      </w:r>
      <w:r w:rsidR="00AC42B4" w:rsidRPr="00BC6EEF">
        <w:t>_</w:t>
      </w:r>
      <w:r w:rsidR="00AC42B4">
        <w:t>1184FilteredDMRs_withHomergenes</w:t>
      </w:r>
      <w:r w:rsidR="00AC42B4" w:rsidRPr="00BC6EEF">
        <w:t>.xlsx</w:t>
      </w:r>
    </w:p>
    <w:p w14:paraId="6A35576B" w14:textId="013D74BE" w:rsidR="00AC42B4" w:rsidRPr="00BC6EEF" w:rsidRDefault="00AC42B4" w:rsidP="00AC42B4">
      <w:pPr>
        <w:widowControl w:val="0"/>
        <w:autoSpaceDE w:val="0"/>
        <w:autoSpaceDN w:val="0"/>
        <w:adjustRightInd w:val="0"/>
        <w:spacing w:line="480" w:lineRule="auto"/>
      </w:pPr>
      <w:r w:rsidRPr="00BC6EEF">
        <w:t xml:space="preserve">Table </w:t>
      </w:r>
      <w:r w:rsidR="00B809EC" w:rsidRPr="00BC6EEF">
        <w:t>S</w:t>
      </w:r>
      <w:r w:rsidR="00B809EC">
        <w:t>3</w:t>
      </w:r>
      <w:r w:rsidRPr="00BC6EEF">
        <w:t xml:space="preserve">. All DMRs and DMR Associated Genes. The mm10 coordinates are given for each DMR as well as the Area Stat, </w:t>
      </w:r>
      <w:r>
        <w:t xml:space="preserve">direction of methylation difference, number of CpGs in the DMR, DMR width in base pairs, </w:t>
      </w:r>
      <w:r w:rsidRPr="00BC6EEF">
        <w:t>Family Wise Error Rate (FWER) and relative Family Wise Error Rate (rel_FWER) from the DMR caller. The direction of methylation is defined as either hyper (MAA&gt;PBS) or hypo (PBS&gt;MAA) for each DMR. The %mCG/CG is given for each animal as well as the overall group averages and difference in methylation.  Associated genes (within +/- 5kb</w:t>
      </w:r>
      <w:r>
        <w:t xml:space="preserve"> from the TSS</w:t>
      </w:r>
      <w:r w:rsidRPr="00BC6EEF">
        <w:t xml:space="preserve">) </w:t>
      </w:r>
      <w:r>
        <w:t>were identified with HOMER.  S</w:t>
      </w:r>
      <w:r w:rsidRPr="00BC6EEF">
        <w:t xml:space="preserve">hown </w:t>
      </w:r>
      <w:r>
        <w:t>are</w:t>
      </w:r>
      <w:r w:rsidRPr="00BC6EEF">
        <w:t xml:space="preserve"> </w:t>
      </w:r>
      <w:r>
        <w:t>the nearest promoter ID, distance to TSS, nearest RefSeq gene, nearest ensemble genes, gene symbol, gene alias, gene name, location of DMR relative to gene, and a more detailed annotation of location.</w:t>
      </w:r>
      <w:r w:rsidRPr="00BC6EEF">
        <w:t xml:space="preserve"> Negative distances are upstream and zero indicates the DMR is within the genebody.</w:t>
      </w:r>
    </w:p>
    <w:p w14:paraId="1B678DE6" w14:textId="77777777" w:rsidR="00AC42B4" w:rsidRPr="00BC6EEF" w:rsidRDefault="00AC42B4" w:rsidP="00AC42B4">
      <w:pPr>
        <w:widowControl w:val="0"/>
        <w:autoSpaceDE w:val="0"/>
        <w:autoSpaceDN w:val="0"/>
        <w:adjustRightInd w:val="0"/>
        <w:spacing w:line="480" w:lineRule="auto"/>
      </w:pPr>
    </w:p>
    <w:p w14:paraId="6EBB64DA" w14:textId="7AA922D9" w:rsidR="00AC42B4" w:rsidRPr="00BC6EEF" w:rsidRDefault="00B809EC" w:rsidP="00AC42B4">
      <w:pPr>
        <w:widowControl w:val="0"/>
        <w:autoSpaceDE w:val="0"/>
        <w:autoSpaceDN w:val="0"/>
        <w:adjustRightInd w:val="0"/>
        <w:spacing w:line="480" w:lineRule="auto"/>
      </w:pPr>
      <w:r>
        <w:t>4</w:t>
      </w:r>
      <w:r w:rsidR="00AC42B4" w:rsidRPr="00BC6EEF">
        <w:t xml:space="preserve">. </w:t>
      </w:r>
      <w:r w:rsidRPr="00BC6EEF">
        <w:t>TableS</w:t>
      </w:r>
      <w:r>
        <w:t>4</w:t>
      </w:r>
      <w:r w:rsidR="00AC42B4" w:rsidRPr="00BC6EEF">
        <w:t>_</w:t>
      </w:r>
      <w:r w:rsidR="00AC42B4">
        <w:t>GREAT_DMRenrichment</w:t>
      </w:r>
      <w:r w:rsidR="00AC42B4" w:rsidRPr="00BC6EEF">
        <w:t>.xlsx</w:t>
      </w:r>
    </w:p>
    <w:p w14:paraId="2618F728" w14:textId="45AAE79D" w:rsidR="00AC42B4" w:rsidRDefault="00AC42B4" w:rsidP="00AC42B4">
      <w:pPr>
        <w:widowControl w:val="0"/>
        <w:autoSpaceDE w:val="0"/>
        <w:autoSpaceDN w:val="0"/>
        <w:adjustRightInd w:val="0"/>
        <w:spacing w:line="480" w:lineRule="auto"/>
      </w:pPr>
      <w:r w:rsidRPr="00BC6EEF">
        <w:t>Table S</w:t>
      </w:r>
      <w:r w:rsidR="00B809EC">
        <w:t>4</w:t>
      </w:r>
      <w:r w:rsidRPr="00BC6EEF">
        <w:t xml:space="preserve">. </w:t>
      </w:r>
      <w:r>
        <w:t>GREAT enrichment for DMRs.  All DMRs were used as input to GREAT for enrichment analysis relative to the mm10 background genome.  Tab 1 shows gene ontology enrichment after trimming with Revigo.  Tab 2 shows enrichment in Panther Pathways. Tab 3 shows enrichment in MSigDB pathways. Tab 4 shows enrichment in MSigDB Immune Signatures. Tab 5 shows transcription factor binding motifs enriched in both hyper- and hypo-methylated DMRs by HOMER. Tab 6 shows transcription factor binding motifs enriched only hyper-methylated DMRs. Tab 7 shows transcription factor binding motifs enriched only hypo-methylated DMRs.</w:t>
      </w:r>
    </w:p>
    <w:p w14:paraId="2CD0B794" w14:textId="77777777" w:rsidR="00B809EC" w:rsidRPr="00BC6EEF" w:rsidRDefault="00B809EC" w:rsidP="00AC42B4">
      <w:pPr>
        <w:widowControl w:val="0"/>
        <w:autoSpaceDE w:val="0"/>
        <w:autoSpaceDN w:val="0"/>
        <w:adjustRightInd w:val="0"/>
        <w:spacing w:line="480" w:lineRule="auto"/>
      </w:pPr>
    </w:p>
    <w:p w14:paraId="47980BE3" w14:textId="16DE1C5C" w:rsidR="00B809EC" w:rsidRPr="00BC6EEF" w:rsidRDefault="00B809EC" w:rsidP="00B809EC">
      <w:pPr>
        <w:widowControl w:val="0"/>
        <w:autoSpaceDE w:val="0"/>
        <w:autoSpaceDN w:val="0"/>
        <w:adjustRightInd w:val="0"/>
        <w:spacing w:line="480" w:lineRule="auto"/>
      </w:pPr>
      <w:r>
        <w:t>5</w:t>
      </w:r>
      <w:r w:rsidRPr="00BC6EEF">
        <w:t>. TableS</w:t>
      </w:r>
      <w:r>
        <w:t>5</w:t>
      </w:r>
      <w:r w:rsidRPr="00BC6EEF">
        <w:t>_RPKM_EdgeR.xlsx</w:t>
      </w:r>
    </w:p>
    <w:p w14:paraId="2F0CCC1C" w14:textId="61F2B2F0" w:rsidR="00B809EC" w:rsidRPr="00BC6EEF" w:rsidRDefault="00B809EC" w:rsidP="00B809EC">
      <w:pPr>
        <w:widowControl w:val="0"/>
        <w:autoSpaceDE w:val="0"/>
        <w:autoSpaceDN w:val="0"/>
        <w:adjustRightInd w:val="0"/>
        <w:spacing w:line="480" w:lineRule="auto"/>
      </w:pPr>
      <w:r w:rsidRPr="00BC6EEF">
        <w:t>Table S</w:t>
      </w:r>
      <w:r>
        <w:t>5</w:t>
      </w:r>
      <w:r w:rsidRPr="00BC6EEF">
        <w:t xml:space="preserve">. RPKM and EdgeR Differential Expression Analysis from RNAseq Analysis. Tab one </w:t>
      </w:r>
      <w:r>
        <w:t xml:space="preserve">(DE genes) </w:t>
      </w:r>
      <w:r w:rsidRPr="00BC6EEF">
        <w:t>shows RPKM values for each sample for each</w:t>
      </w:r>
      <w:r>
        <w:t xml:space="preserve"> differentially expressed</w:t>
      </w:r>
      <w:r w:rsidRPr="00BC6EEF">
        <w:t xml:space="preserve"> gene</w:t>
      </w:r>
      <w:r>
        <w:t xml:space="preserve"> (FDR corrected p-value &lt; 0.05)</w:t>
      </w:r>
      <w:r w:rsidRPr="00BC6EEF">
        <w:t>. LogFC, uncorrected pvalues</w:t>
      </w:r>
      <w:r>
        <w:t>,</w:t>
      </w:r>
      <w:r w:rsidRPr="00BC6EEF">
        <w:t xml:space="preserve"> and FDR corrected pvalues are also given for each gene.  </w:t>
      </w:r>
      <w:r>
        <w:t xml:space="preserve">Tab 2 (All genes) shows the same values but for </w:t>
      </w:r>
      <w:r w:rsidRPr="00BC6EEF">
        <w:t>all genes called in the experiment</w:t>
      </w:r>
      <w:r>
        <w:t>.</w:t>
      </w:r>
      <w:r w:rsidRPr="00BC6EEF">
        <w:t xml:space="preserve"> </w:t>
      </w:r>
      <w:r>
        <w:t xml:space="preserve">Tab 3 shows Fluidigm Delta Gene Expression Assay results and primer sequences. Gene expression was evaluated on an independent set of PND35 female microglial samples from littermates of the animals sequenced. Mean and standard error of the mean delta Ct (dCt) and relative expression values (2^-ddCt) (RelExp) are shown for each group. FPKM, logFC and FDR values from the RNAseq are shown for comparison. </w:t>
      </w:r>
    </w:p>
    <w:p w14:paraId="18FF18A7" w14:textId="77777777" w:rsidR="00B809EC" w:rsidRPr="00BC6EEF" w:rsidRDefault="00B809EC" w:rsidP="00B809EC">
      <w:pPr>
        <w:widowControl w:val="0"/>
        <w:autoSpaceDE w:val="0"/>
        <w:autoSpaceDN w:val="0"/>
        <w:adjustRightInd w:val="0"/>
        <w:spacing w:line="480" w:lineRule="auto"/>
      </w:pPr>
    </w:p>
    <w:p w14:paraId="0D618747" w14:textId="1E8264D0" w:rsidR="00B809EC" w:rsidRPr="00BC6EEF" w:rsidRDefault="00B809EC" w:rsidP="00B809EC">
      <w:pPr>
        <w:widowControl w:val="0"/>
        <w:autoSpaceDE w:val="0"/>
        <w:autoSpaceDN w:val="0"/>
        <w:adjustRightInd w:val="0"/>
        <w:spacing w:line="480" w:lineRule="auto"/>
      </w:pPr>
      <w:r>
        <w:t>6</w:t>
      </w:r>
      <w:r w:rsidRPr="00BC6EEF">
        <w:t>. TableS</w:t>
      </w:r>
      <w:r>
        <w:t>6</w:t>
      </w:r>
      <w:r w:rsidRPr="00BC6EEF">
        <w:t>_</w:t>
      </w:r>
      <w:r>
        <w:t>DEgenes_Enrichr_RevigoTrim</w:t>
      </w:r>
      <w:r w:rsidRPr="00BC6EEF">
        <w:t>.xlsx</w:t>
      </w:r>
    </w:p>
    <w:p w14:paraId="718F62A4" w14:textId="0B623344" w:rsidR="00B809EC" w:rsidRPr="00BC6EEF" w:rsidRDefault="00B809EC" w:rsidP="00B809EC">
      <w:pPr>
        <w:spacing w:line="480" w:lineRule="auto"/>
      </w:pPr>
      <w:r w:rsidRPr="00BC6EEF">
        <w:t>Table S</w:t>
      </w:r>
      <w:r>
        <w:t>6</w:t>
      </w:r>
      <w:r w:rsidRPr="00BC6EEF">
        <w:t>. Gene Ontology and Pathway Enrichment.  Tab 1 shows significant</w:t>
      </w:r>
      <w:r>
        <w:t xml:space="preserve"> gene ontology</w:t>
      </w:r>
      <w:r w:rsidRPr="00BC6EEF">
        <w:t xml:space="preserve"> enrichments for all differentially expressed genes in the RNAseq experiment</w:t>
      </w:r>
      <w:r>
        <w:t xml:space="preserve"> after trimming by Revigo</w:t>
      </w:r>
      <w:r w:rsidRPr="00BC6EEF">
        <w:t>. Tab2 shows significant</w:t>
      </w:r>
      <w:r>
        <w:t xml:space="preserve"> pathway</w:t>
      </w:r>
      <w:r w:rsidRPr="00BC6EEF">
        <w:t xml:space="preserve"> enrichments for all </w:t>
      </w:r>
      <w:r>
        <w:t>differentially expressed genes</w:t>
      </w:r>
      <w:r w:rsidRPr="00BC6EEF">
        <w:t>.  Tab3</w:t>
      </w:r>
      <w:r>
        <w:t xml:space="preserve"> shows d</w:t>
      </w:r>
      <w:r w:rsidRPr="00BC6EEF">
        <w:t>rug target analysis performed using The Drug Gene Interaction Database</w:t>
      </w:r>
    </w:p>
    <w:p w14:paraId="24C82218" w14:textId="77777777" w:rsidR="00B809EC" w:rsidRPr="00BC6EEF" w:rsidRDefault="00B809EC" w:rsidP="00B809EC">
      <w:pPr>
        <w:spacing w:line="480" w:lineRule="auto"/>
      </w:pPr>
      <w:r w:rsidRPr="00BC6EEF">
        <w:t>(dgidb.genome.wustl.edu)</w:t>
      </w:r>
      <w:r w:rsidRPr="00BC6EEF">
        <w:fldChar w:fldCharType="begin" w:fldLock="1"/>
      </w:r>
      <w:r>
        <w:instrText>ADDIN CSL_CITATION { "citationItems" : [ { "id" : "ITEM-1", "itemData" : { "DOI" : "10.1016/j.celrep.2016.11.058", "ISSN" : "22111247", "PMID" : "27974215", "abstract" : "Graphical Abstract Highlights d The Dup15q postmortem brain exhibited global DNA hypomethylation over synaptic genes d The Dup15q cell model revealed cumulative effects of duplications and PCB 95 exposure d Increased UBE3A in Dup15q reduced RING1, affecting transcription of synaptic genes d Known druggable autism genes were enriched in cumulative genetic and PCB 95 lists In Brief Dunaway et al. find that postmortem brain and cell culture models of an autism chromosomal duplication syndrome show altered DNA methylation over genes encoding synaptic functions. The cumulative effects of multiple genetic and environmental hits were investigated genome-wide, revealing enrichment of genes for known autism mutations and drug targets. Accession Numbers GSE81541 Dunaway et al., 2016, Cell Reports 17, 3035\u20133048 December 13, 2016 \u00aa 2016 The Author(s).", "author" : [ { "dropping-particle" : "", "family" : "Dunaway", "given" : "Keith W", "non-dropping-particle" : "", "parse-names" : false, "suffix" : "" }, { "dropping-particle" : "", "family" : "Islam", "given" : "M Saharul", "non-dropping-particle" : "", "parse-names" : false, "suffix" : "" }, { "dropping-particle" : "", "family" : "Coulson", "given" : "Rochelle L", "non-dropping-particle" : "", "parse-names" : false, "suffix" : "" }, { "dropping-particle" : "", "family" : "Lopez", "given" : "S Jesse", "non-dropping-particle" : "", "parse-names" : false, "suffix" : "" }, { "dropping-particle" : "", "family" : "Vogel Ciernia", "given" : "Annie", "non-dropping-particle" : "", "parse-names" : false, "suffix" : "" }, { "dropping-particle" : "", "family" : "Chu", "given" : "Roy G", "non-dropping-particle" : "", "parse-names" : false, "suffix" : "" }, { "dropping-particle" : "", "family" : "Yasui", "given" : "Dag H", "non-dropping-particle" : "", "parse-names" : false, "suffix" : "" }, { "dropping-particle" : "", "family" : "Pessah", "given" : "Isaac N", "non-dropping-particle" : "", "parse-names" : false, "suffix" : "" }, { "dropping-particle" : "", "family" : "Lott", "given" : "Paul", "non-dropping-particle" : "", "parse-names" : false, "suffix" : "" }, { "dropping-particle" : "", "family" : "Mordaunt", "given" : "Charles", "non-dropping-particle" : "", "parse-names" : false, "suffix" : "" }, { "dropping-particle" : "", "family" : "Meguro-Horike", "given" : "Makiko", "non-dropping-particle" : "", "parse-names" : false, "suffix" : "" }, { "dropping-particle" : "", "family" : "Horike", "given" : "Shin-Ichi", "non-dropping-particle" : "", "parse-names" : false, "suffix" : "" }, { "dropping-particle" : "", "family" : "Korf", "given" : "Ian", "non-dropping-particle" : "", "parse-names" : false, "suffix" : "" }, { "dropping-particle" : "", "family" : "LaSalle", "given" : "Janine M.", "non-dropping-particle" : "", "parse-names" : false, "suffix" : "" } ], "container-title" : "Cell Reports", "id" : "ITEM-1", "issue" : "11", "issued" : { "date-parts" : [ [ "2016" ] ] }, "page" : "3035-3048", "title" : "Cumulative Impact of Polychlorinated Biphenyl and Large Chromosomal Duplications on DNA Methylation, Chromatin, and Expression of Autism Candidate Genes", "type" : "article-journal", "volume" : "17" }, "uris" : [ "http://www.mendeley.com/documents/?uuid=7a453502-c580-3533-bd08-5f932c454835" ] } ], "mendeley" : { "formattedCitation" : "(Dunaway et al. 2016b)", "plainTextFormattedCitation" : "(Dunaway et al. 2016b)", "previouslyFormattedCitation" : "[25]" }, "properties" : { "noteIndex" : 0 }, "schema" : "https://github.com/citation-style-language/schema/raw/master/csl-citation.json" }</w:instrText>
      </w:r>
      <w:r w:rsidRPr="00BC6EEF">
        <w:fldChar w:fldCharType="separate"/>
      </w:r>
      <w:r w:rsidRPr="00F428EB">
        <w:rPr>
          <w:noProof/>
        </w:rPr>
        <w:t>(Dunaway et al. 2016b)</w:t>
      </w:r>
      <w:r w:rsidRPr="00BC6EEF">
        <w:fldChar w:fldCharType="end"/>
      </w:r>
      <w:r w:rsidRPr="00BC6EEF">
        <w:t xml:space="preserve">. </w:t>
      </w:r>
      <w:r>
        <w:t>Shown are the</w:t>
      </w:r>
      <w:r w:rsidRPr="00BC6EEF">
        <w:t xml:space="preserve"> gene ID, gene name, number of distinct drugs that target that gene, and the druggable gene categories. </w:t>
      </w:r>
    </w:p>
    <w:p w14:paraId="26CE8C07" w14:textId="77777777" w:rsidR="00AC42B4" w:rsidRPr="00BC6EEF" w:rsidRDefault="00AC42B4" w:rsidP="00AC42B4">
      <w:pPr>
        <w:widowControl w:val="0"/>
        <w:autoSpaceDE w:val="0"/>
        <w:autoSpaceDN w:val="0"/>
        <w:adjustRightInd w:val="0"/>
        <w:spacing w:line="480" w:lineRule="auto"/>
      </w:pPr>
    </w:p>
    <w:p w14:paraId="5CDEC1DB" w14:textId="77777777" w:rsidR="00AC42B4" w:rsidRPr="00BC6EEF" w:rsidRDefault="00AC42B4" w:rsidP="00AC42B4">
      <w:pPr>
        <w:widowControl w:val="0"/>
        <w:autoSpaceDE w:val="0"/>
        <w:autoSpaceDN w:val="0"/>
        <w:adjustRightInd w:val="0"/>
        <w:spacing w:line="480" w:lineRule="auto"/>
      </w:pPr>
      <w:r>
        <w:t>7</w:t>
      </w:r>
      <w:r w:rsidRPr="00BC6EEF">
        <w:t>. TableS7_FisherTest_OverlapGeneIDs.xlsx</w:t>
      </w:r>
    </w:p>
    <w:p w14:paraId="68BFDC2D" w14:textId="18D29AF8" w:rsidR="007F6AB5" w:rsidRDefault="00AC42B4" w:rsidP="00CC10EB">
      <w:pPr>
        <w:widowControl w:val="0"/>
        <w:autoSpaceDE w:val="0"/>
        <w:autoSpaceDN w:val="0"/>
        <w:adjustRightInd w:val="0"/>
        <w:spacing w:line="480" w:lineRule="auto"/>
      </w:pPr>
      <w:r w:rsidRPr="00BC6EEF">
        <w:t xml:space="preserve">Table S7. Fisher’s Exact Test for Gene List Overlap. </w:t>
      </w:r>
      <w:r>
        <w:t xml:space="preserve">Tab 1 gives information on each gene lists used in the analysis. </w:t>
      </w:r>
      <w:r w:rsidRPr="00BC6EEF">
        <w:t xml:space="preserve">Tab </w:t>
      </w:r>
      <w:r>
        <w:t>2 shows the Gene IDs used as input for each gene list overlap analysis. Shown for tabs 3-</w:t>
      </w:r>
      <w:r w:rsidR="00767663">
        <w:t xml:space="preserve">11 </w:t>
      </w:r>
      <w:r>
        <w:t xml:space="preserve">are results for each comparison set of lists from the Fisher’s exact test. FDR corrected p-values, odds ratios, gene counts, and gene ids from the overlap are given for each comparison. </w:t>
      </w:r>
      <w:r w:rsidR="00767663">
        <w:t xml:space="preserve">Tab 3 shows overlap between MAA differentially expressed and DMR associated genes. Tab 4 shows overlap for MAA DMR associated genes and microglial genes linked to inflammation. </w:t>
      </w:r>
      <w:r>
        <w:t xml:space="preserve">Tab </w:t>
      </w:r>
      <w:r w:rsidR="00767663">
        <w:t>5</w:t>
      </w:r>
      <w:r>
        <w:t xml:space="preserve"> shows the overlap results for ASD genetic risk genes. Tab </w:t>
      </w:r>
      <w:r w:rsidR="00767663">
        <w:t xml:space="preserve">6 </w:t>
      </w:r>
      <w:r>
        <w:t>shows results from differentially expressed</w:t>
      </w:r>
      <w:r w:rsidR="00767663">
        <w:t>, differentially methylated, or differentially acetylated</w:t>
      </w:r>
      <w:r>
        <w:t xml:space="preserve"> genes in </w:t>
      </w:r>
      <w:r w:rsidR="00767663">
        <w:t xml:space="preserve">human </w:t>
      </w:r>
      <w:r>
        <w:t xml:space="preserve">ASD brain. Tab </w:t>
      </w:r>
      <w:r w:rsidR="00767663">
        <w:t xml:space="preserve">7 </w:t>
      </w:r>
      <w:r>
        <w:t xml:space="preserve">shows results from MeCP2, FMRP, CHD8 target genes. Tab </w:t>
      </w:r>
      <w:r w:rsidR="00767663">
        <w:t xml:space="preserve">8 </w:t>
      </w:r>
      <w:r>
        <w:t xml:space="preserve">shows results from MeCP2 mutant microglia differential gene expression. Tab </w:t>
      </w:r>
      <w:r w:rsidR="00767663">
        <w:t xml:space="preserve">9 </w:t>
      </w:r>
      <w:r w:rsidR="00210857">
        <w:t xml:space="preserve">shows results from genes found in 1kb differentially methylated windows from PolyI:C MIA. Tab10 </w:t>
      </w:r>
      <w:r>
        <w:t xml:space="preserve">shows results from differential expression MIA gene lists. Tab </w:t>
      </w:r>
      <w:r w:rsidR="00767663">
        <w:t>1</w:t>
      </w:r>
      <w:r w:rsidR="00210857">
        <w:t>1</w:t>
      </w:r>
      <w:r w:rsidR="00767663">
        <w:t xml:space="preserve"> </w:t>
      </w:r>
      <w:r>
        <w:t xml:space="preserve">shows </w:t>
      </w:r>
      <w:r w:rsidR="00767663">
        <w:t xml:space="preserve">results from male hippocampal microglia from </w:t>
      </w:r>
      <w:r w:rsidR="00937B1C">
        <w:t xml:space="preserve">PolyI:C </w:t>
      </w:r>
      <w:r w:rsidR="00767663">
        <w:t xml:space="preserve">MIA, control, and </w:t>
      </w:r>
      <w:r w:rsidR="00937B1C">
        <w:t xml:space="preserve">PolyI:C </w:t>
      </w:r>
      <w:r w:rsidR="00767663">
        <w:t>MIA+minocycline treated adult mice</w:t>
      </w:r>
      <w:r w:rsidR="00210857">
        <w:t>.</w:t>
      </w:r>
    </w:p>
    <w:sectPr w:rsidR="007F6AB5" w:rsidSect="00CC10EB">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601CB" w14:textId="77777777" w:rsidR="00763A8C" w:rsidRDefault="00763A8C">
      <w:r>
        <w:separator/>
      </w:r>
    </w:p>
  </w:endnote>
  <w:endnote w:type="continuationSeparator" w:id="0">
    <w:p w14:paraId="711767DD" w14:textId="77777777" w:rsidR="00763A8C" w:rsidRDefault="00763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AF8A9" w14:textId="77777777" w:rsidR="00763A8C" w:rsidRDefault="00763A8C">
      <w:r>
        <w:separator/>
      </w:r>
    </w:p>
  </w:footnote>
  <w:footnote w:type="continuationSeparator" w:id="0">
    <w:p w14:paraId="24AA0460" w14:textId="77777777" w:rsidR="00763A8C" w:rsidRDefault="00763A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BA649" w14:textId="77777777" w:rsidR="00763A8C" w:rsidRDefault="00763A8C" w:rsidP="00763A8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97173C" w14:textId="77777777" w:rsidR="00763A8C" w:rsidRDefault="00763A8C" w:rsidP="00763A8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664C0" w14:textId="77777777" w:rsidR="00763A8C" w:rsidRDefault="00763A8C" w:rsidP="00763A8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415">
      <w:rPr>
        <w:rStyle w:val="PageNumber"/>
        <w:noProof/>
      </w:rPr>
      <w:t>1</w:t>
    </w:r>
    <w:r>
      <w:rPr>
        <w:rStyle w:val="PageNumber"/>
      </w:rPr>
      <w:fldChar w:fldCharType="end"/>
    </w:r>
  </w:p>
  <w:p w14:paraId="6083E25B" w14:textId="77777777" w:rsidR="00763A8C" w:rsidRDefault="00763A8C" w:rsidP="00763A8C">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2B4"/>
    <w:rsid w:val="0008085A"/>
    <w:rsid w:val="001D1415"/>
    <w:rsid w:val="00210857"/>
    <w:rsid w:val="002870BD"/>
    <w:rsid w:val="003D27C6"/>
    <w:rsid w:val="004D797F"/>
    <w:rsid w:val="00612E6A"/>
    <w:rsid w:val="00695E04"/>
    <w:rsid w:val="00703878"/>
    <w:rsid w:val="0075768A"/>
    <w:rsid w:val="00763A8C"/>
    <w:rsid w:val="00767663"/>
    <w:rsid w:val="007F6AB5"/>
    <w:rsid w:val="00833E31"/>
    <w:rsid w:val="008C3517"/>
    <w:rsid w:val="00937B1C"/>
    <w:rsid w:val="00AC42B4"/>
    <w:rsid w:val="00B809EC"/>
    <w:rsid w:val="00C47B23"/>
    <w:rsid w:val="00CC10EB"/>
    <w:rsid w:val="00DE3B43"/>
    <w:rsid w:val="00E52676"/>
    <w:rsid w:val="00E618F3"/>
    <w:rsid w:val="00E80CB5"/>
    <w:rsid w:val="00E948D5"/>
    <w:rsid w:val="00EC453D"/>
    <w:rsid w:val="00FC5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EE6F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C42B4"/>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2B4"/>
    <w:pPr>
      <w:tabs>
        <w:tab w:val="center" w:pos="4320"/>
        <w:tab w:val="right" w:pos="8640"/>
      </w:tabs>
    </w:pPr>
  </w:style>
  <w:style w:type="character" w:customStyle="1" w:styleId="HeaderChar">
    <w:name w:val="Header Char"/>
    <w:basedOn w:val="DefaultParagraphFont"/>
    <w:link w:val="Header"/>
    <w:uiPriority w:val="99"/>
    <w:rsid w:val="00AC42B4"/>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AC42B4"/>
  </w:style>
  <w:style w:type="paragraph" w:styleId="BalloonText">
    <w:name w:val="Balloon Text"/>
    <w:basedOn w:val="Normal"/>
    <w:link w:val="BalloonTextChar"/>
    <w:uiPriority w:val="99"/>
    <w:semiHidden/>
    <w:unhideWhenUsed/>
    <w:rsid w:val="00CC10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10EB"/>
    <w:rPr>
      <w:rFonts w:ascii="Lucida Grande" w:eastAsia="Arial Unicode MS" w:hAnsi="Lucida Grande" w:cs="Lucida Grande"/>
      <w:sz w:val="18"/>
      <w:szCs w:val="18"/>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C42B4"/>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2B4"/>
    <w:pPr>
      <w:tabs>
        <w:tab w:val="center" w:pos="4320"/>
        <w:tab w:val="right" w:pos="8640"/>
      </w:tabs>
    </w:pPr>
  </w:style>
  <w:style w:type="character" w:customStyle="1" w:styleId="HeaderChar">
    <w:name w:val="Header Char"/>
    <w:basedOn w:val="DefaultParagraphFont"/>
    <w:link w:val="Header"/>
    <w:uiPriority w:val="99"/>
    <w:rsid w:val="00AC42B4"/>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AC42B4"/>
  </w:style>
  <w:style w:type="paragraph" w:styleId="BalloonText">
    <w:name w:val="Balloon Text"/>
    <w:basedOn w:val="Normal"/>
    <w:link w:val="BalloonTextChar"/>
    <w:uiPriority w:val="99"/>
    <w:semiHidden/>
    <w:unhideWhenUsed/>
    <w:rsid w:val="00CC10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10EB"/>
    <w:rPr>
      <w:rFonts w:ascii="Lucida Grande" w:eastAsia="Arial Unicode MS" w:hAnsi="Lucida Grande" w:cs="Lucida Grande"/>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3472</Words>
  <Characters>19793</Characters>
  <Application>Microsoft Macintosh Word</Application>
  <DocSecurity>0</DocSecurity>
  <Lines>164</Lines>
  <Paragraphs>46</Paragraphs>
  <ScaleCrop>false</ScaleCrop>
  <Company>UC Davis</Company>
  <LinksUpToDate>false</LinksUpToDate>
  <CharactersWithSpaces>23219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T. Vogel-ciernia</dc:creator>
  <cp:keywords/>
  <dc:description/>
  <cp:lastModifiedBy>Annie Ciernia</cp:lastModifiedBy>
  <cp:revision>4</cp:revision>
  <dcterms:created xsi:type="dcterms:W3CDTF">2017-08-16T18:30:00Z</dcterms:created>
  <dcterms:modified xsi:type="dcterms:W3CDTF">2017-08-18T23:26:00Z</dcterms:modified>
</cp:coreProperties>
</file>