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91" w:rsidRDefault="007F3F91" w:rsidP="007F3F91">
      <w:pPr>
        <w:widowControl/>
        <w:spacing w:after="0" w:line="240" w:lineRule="auto"/>
        <w:jc w:val="left"/>
        <w:rPr>
          <w:rFonts w:ascii="Times New Roman"/>
          <w:b/>
          <w:sz w:val="40"/>
        </w:rPr>
      </w:pPr>
      <w:bookmarkStart w:id="0" w:name="_GoBack"/>
      <w:bookmarkEnd w:id="0"/>
      <w:r>
        <w:rPr>
          <w:rFonts w:ascii="Times New Roman"/>
          <w:b/>
          <w:sz w:val="40"/>
        </w:rPr>
        <w:t>Supplementary data</w:t>
      </w:r>
    </w:p>
    <w:p w:rsidR="007F3F91" w:rsidRDefault="007F3F91" w:rsidP="007F3F91">
      <w:pPr>
        <w:jc w:val="left"/>
      </w:pPr>
      <w:bookmarkStart w:id="1" w:name="_Hlk504329373"/>
      <w:bookmarkStart w:id="2" w:name="_Hlk504331323"/>
      <w:r>
        <w:rPr>
          <w:rFonts w:ascii="Times New Roman"/>
          <w:b/>
        </w:rPr>
        <w:t xml:space="preserve">Supplementary Table 1. </w:t>
      </w:r>
      <w:r>
        <w:rPr>
          <w:rFonts w:ascii="Times New Roman"/>
        </w:rPr>
        <w:t>Comorbidity and dose of corticosteroid among 22 patients with PCR positivity up to 30 days.</w:t>
      </w:r>
    </w:p>
    <w:tbl>
      <w:tblPr>
        <w:tblW w:w="12959" w:type="dxa"/>
        <w:tblLook w:val="04A0" w:firstRow="1" w:lastRow="0" w:firstColumn="1" w:lastColumn="0" w:noHBand="0" w:noVBand="1"/>
      </w:tblPr>
      <w:tblGrid>
        <w:gridCol w:w="1275"/>
        <w:gridCol w:w="1452"/>
        <w:gridCol w:w="1064"/>
        <w:gridCol w:w="1698"/>
        <w:gridCol w:w="1276"/>
        <w:gridCol w:w="1287"/>
        <w:gridCol w:w="1246"/>
        <w:gridCol w:w="1281"/>
        <w:gridCol w:w="2380"/>
      </w:tblGrid>
      <w:tr w:rsidR="007F3F91" w:rsidTr="007F3F91">
        <w:trPr>
          <w:trHeight w:val="1288"/>
        </w:trPr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Number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Days of viral shedding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Age (Years)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Hypertension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Heart diseases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Diabetes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COPD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Chronic hepatitis 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Dose of methylprednisolone or its equivalent, mg/day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45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160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42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54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64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67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6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32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83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7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33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59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160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31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9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34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50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10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35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48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11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12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65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13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36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59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14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44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15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57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16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37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41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17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38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64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18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51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19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41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56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42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38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11"/>
        </w:trPr>
        <w:tc>
          <w:tcPr>
            <w:tcW w:w="1275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21</w:t>
            </w:r>
          </w:p>
        </w:tc>
        <w:tc>
          <w:tcPr>
            <w:tcW w:w="145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43</w:t>
            </w:r>
          </w:p>
        </w:tc>
        <w:tc>
          <w:tcPr>
            <w:tcW w:w="1064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64</w:t>
            </w:r>
          </w:p>
        </w:tc>
        <w:tc>
          <w:tcPr>
            <w:tcW w:w="1698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0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80</w:t>
            </w:r>
          </w:p>
        </w:tc>
      </w:tr>
      <w:tr w:rsidR="007F3F91" w:rsidTr="007F3F91">
        <w:trPr>
          <w:trHeight w:val="222"/>
        </w:trPr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120</w:t>
            </w:r>
          </w:p>
        </w:tc>
      </w:tr>
    </w:tbl>
    <w:p w:rsidR="007F3F91" w:rsidRDefault="007F3F91" w:rsidP="007F3F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SimSun"/>
          <w:color w:val="000000"/>
          <w:sz w:val="21"/>
          <w:szCs w:val="21"/>
        </w:rPr>
      </w:pPr>
      <w:r>
        <w:rPr>
          <w:rFonts w:ascii="Times New Roman" w:eastAsia="SimSun"/>
          <w:color w:val="000000"/>
          <w:szCs w:val="21"/>
        </w:rPr>
        <w:t>Note: Y means that patients have the comorbidity, N means no corticosteroid.</w:t>
      </w:r>
    </w:p>
    <w:p w:rsidR="007F3F91" w:rsidRDefault="007F3F91" w:rsidP="007F3F91">
      <w:pPr>
        <w:widowControl/>
        <w:spacing w:after="0"/>
        <w:jc w:val="left"/>
        <w:rPr>
          <w:rFonts w:ascii="Times New Roman" w:eastAsia="SimSun"/>
          <w:color w:val="000000"/>
          <w:sz w:val="21"/>
          <w:szCs w:val="21"/>
        </w:rPr>
        <w:sectPr w:rsidR="007F3F91">
          <w:pgSz w:w="16838" w:h="11906" w:orient="landscape"/>
          <w:pgMar w:top="1797" w:right="1440" w:bottom="1797" w:left="1440" w:header="851" w:footer="992" w:gutter="0"/>
          <w:cols w:space="720"/>
        </w:sectPr>
      </w:pPr>
    </w:p>
    <w:bookmarkEnd w:id="1"/>
    <w:p w:rsidR="007F3F91" w:rsidRDefault="007F3F91" w:rsidP="007F3F91">
      <w:pPr>
        <w:rPr>
          <w:rFonts w:ascii="Times New Roman"/>
        </w:rPr>
      </w:pPr>
      <w:r>
        <w:rPr>
          <w:rFonts w:ascii="Times New Roman"/>
          <w:b/>
        </w:rPr>
        <w:lastRenderedPageBreak/>
        <w:t>Supplementary Table 2.</w:t>
      </w:r>
      <w:r>
        <w:rPr>
          <w:rFonts w:ascii="Times New Roman"/>
        </w:rPr>
        <w:t xml:space="preserve"> Multivariable analyses of factors associated with prolonged detection of avian influenza A(H7N9) viral RNA among 478 hospitalized patients in China, April 1, 2013 to March 1, 2017.  </w:t>
      </w:r>
    </w:p>
    <w:bookmarkEnd w:id="2"/>
    <w:p w:rsidR="007F3F91" w:rsidRDefault="007F3F91" w:rsidP="007F3F91">
      <w:pPr>
        <w:spacing w:after="0"/>
        <w:rPr>
          <w:rFonts w:ascii="Times New Roman"/>
        </w:rPr>
      </w:pPr>
    </w:p>
    <w:tbl>
      <w:tblPr>
        <w:tblW w:w="6639" w:type="dxa"/>
        <w:tblLook w:val="04A0" w:firstRow="1" w:lastRow="0" w:firstColumn="1" w:lastColumn="0" w:noHBand="0" w:noVBand="1"/>
      </w:tblPr>
      <w:tblGrid>
        <w:gridCol w:w="3229"/>
        <w:gridCol w:w="2032"/>
        <w:gridCol w:w="1378"/>
      </w:tblGrid>
      <w:tr w:rsidR="007F3F91" w:rsidTr="007F3F91">
        <w:trPr>
          <w:trHeight w:val="278"/>
        </w:trPr>
        <w:tc>
          <w:tcPr>
            <w:tcW w:w="32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</w:rPr>
            </w:pPr>
            <w:bookmarkStart w:id="3" w:name="_Hlk504050686"/>
            <w:bookmarkStart w:id="4" w:name="_Hlk504331309"/>
            <w:r>
              <w:rPr>
                <w:rFonts w:ascii="Times New Roman"/>
                <w:b/>
                <w:bCs/>
                <w:color w:val="000000"/>
              </w:rPr>
              <w:t>Variables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</w:rPr>
              <w:t>Adjusted HR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</w:rPr>
              <w:t>p-value*</w:t>
            </w:r>
          </w:p>
        </w:tc>
      </w:tr>
      <w:tr w:rsidR="007F3F91" w:rsidTr="007F3F91">
        <w:trPr>
          <w:trHeight w:val="293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b/>
                <w:bCs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</w:rPr>
              <w:t>(95% CI)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b/>
                <w:bCs/>
                <w:color w:val="000000"/>
              </w:rPr>
            </w:pPr>
          </w:p>
        </w:tc>
      </w:tr>
      <w:tr w:rsidR="007F3F91" w:rsidTr="007F3F91">
        <w:trPr>
          <w:trHeight w:val="278"/>
        </w:trPr>
        <w:tc>
          <w:tcPr>
            <w:tcW w:w="3229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</w:rPr>
              <w:t>Demographic characteristic</w:t>
            </w:r>
          </w:p>
        </w:tc>
        <w:tc>
          <w:tcPr>
            <w:tcW w:w="2032" w:type="dxa"/>
            <w:noWrap/>
            <w:vAlign w:val="bottom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F3F91" w:rsidTr="007F3F91">
        <w:trPr>
          <w:trHeight w:val="293"/>
        </w:trPr>
        <w:tc>
          <w:tcPr>
            <w:tcW w:w="3229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Age </w:t>
            </w:r>
          </w:p>
        </w:tc>
        <w:tc>
          <w:tcPr>
            <w:tcW w:w="2032" w:type="dxa"/>
            <w:noWrap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0.99 (0.99-1.0)</w:t>
            </w:r>
          </w:p>
        </w:tc>
        <w:tc>
          <w:tcPr>
            <w:tcW w:w="1378" w:type="dxa"/>
            <w:noWrap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0.0433</w:t>
            </w:r>
          </w:p>
        </w:tc>
      </w:tr>
      <w:tr w:rsidR="007F3F91" w:rsidTr="007F3F91">
        <w:trPr>
          <w:trHeight w:val="293"/>
        </w:trPr>
        <w:tc>
          <w:tcPr>
            <w:tcW w:w="3229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Male</w:t>
            </w:r>
          </w:p>
        </w:tc>
        <w:tc>
          <w:tcPr>
            <w:tcW w:w="2032" w:type="dxa"/>
            <w:noWrap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0.96 (0.81-1.14)</w:t>
            </w:r>
          </w:p>
        </w:tc>
        <w:tc>
          <w:tcPr>
            <w:tcW w:w="1378" w:type="dxa"/>
            <w:noWrap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0.879</w:t>
            </w:r>
          </w:p>
        </w:tc>
      </w:tr>
      <w:tr w:rsidR="007F3F91" w:rsidTr="007F3F91">
        <w:trPr>
          <w:trHeight w:val="293"/>
        </w:trPr>
        <w:tc>
          <w:tcPr>
            <w:tcW w:w="3229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Corticosteroid</w:t>
            </w:r>
          </w:p>
        </w:tc>
        <w:tc>
          <w:tcPr>
            <w:tcW w:w="2032" w:type="dxa"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0.60 (0.52-0.69) </w:t>
            </w:r>
          </w:p>
        </w:tc>
        <w:tc>
          <w:tcPr>
            <w:tcW w:w="1378" w:type="dxa"/>
            <w:noWrap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&lt;0.001</w:t>
            </w:r>
          </w:p>
        </w:tc>
      </w:tr>
      <w:tr w:rsidR="007F3F91" w:rsidTr="007F3F91">
        <w:trPr>
          <w:trHeight w:val="601"/>
        </w:trPr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Time from illness onset to antiviral, days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0.89 (0.87-0.90)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F91" w:rsidRDefault="007F3F91">
            <w:pPr>
              <w:widowControl/>
              <w:spacing w:after="0" w:line="24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&lt;0.001</w:t>
            </w:r>
          </w:p>
        </w:tc>
      </w:tr>
    </w:tbl>
    <w:bookmarkEnd w:id="3"/>
    <w:p w:rsidR="007F3F91" w:rsidRDefault="007F3F91" w:rsidP="007F3F91">
      <w:pPr>
        <w:spacing w:after="0"/>
        <w:rPr>
          <w:rFonts w:ascii="Times New Roman"/>
        </w:rPr>
      </w:pPr>
      <w:r>
        <w:rPr>
          <w:rFonts w:ascii="Times New Roman"/>
        </w:rPr>
        <w:t>*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using marginal structural Cox proportional hazards model.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Hazard ratio of less than 1 indicates variable increases duration of viral RNA shedding. HR in multivariable analyses was adjusted for age and gender.</w:t>
      </w:r>
    </w:p>
    <w:bookmarkEnd w:id="4"/>
    <w:p w:rsidR="007F3F91" w:rsidRDefault="007F3F91" w:rsidP="007F3F91">
      <w:pPr>
        <w:widowControl/>
        <w:jc w:val="left"/>
      </w:pPr>
    </w:p>
    <w:p w:rsidR="007F3F91" w:rsidRDefault="007F3F91" w:rsidP="007F3F91">
      <w:pPr>
        <w:widowControl/>
        <w:spacing w:after="0"/>
        <w:jc w:val="left"/>
        <w:sectPr w:rsidR="007F3F91">
          <w:pgSz w:w="11906" w:h="16838"/>
          <w:pgMar w:top="1440" w:right="1800" w:bottom="1440" w:left="1800" w:header="851" w:footer="992" w:gutter="0"/>
          <w:cols w:space="720"/>
        </w:sectPr>
      </w:pPr>
    </w:p>
    <w:bookmarkStart w:id="5" w:name="OLE_LINK33"/>
    <w:p w:rsidR="007F3F91" w:rsidRDefault="007F3F91" w:rsidP="007F3F91">
      <w:pPr>
        <w:widowControl/>
        <w:jc w:val="center"/>
      </w:pPr>
      <w:r>
        <w:rPr>
          <w:rFonts w:hint="eastAsia"/>
        </w:rPr>
        <w:object w:dxaOrig="3960" w:dyaOrig="5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50.5pt" o:ole="" filled="t">
            <v:imagedata r:id="rId4" o:title=""/>
          </v:shape>
          <o:OLEObject Type="Embed" ProgID="Prism7.Document" ShapeID="_x0000_i1025" DrawAspect="Content" ObjectID="_1624964517" r:id="rId5"/>
        </w:object>
      </w:r>
    </w:p>
    <w:p w:rsidR="007F3F91" w:rsidRDefault="007F3F91" w:rsidP="007F3F91">
      <w:pPr>
        <w:spacing w:after="0" w:line="276" w:lineRule="auto"/>
        <w:jc w:val="left"/>
        <w:rPr>
          <w:rFonts w:ascii="Times New Roman" w:eastAsia="SimSun"/>
          <w:bCs/>
          <w:color w:val="000000"/>
          <w:kern w:val="36"/>
        </w:rPr>
      </w:pPr>
      <w:r>
        <w:rPr>
          <w:rFonts w:ascii="Times New Roman"/>
          <w:b/>
        </w:rPr>
        <w:t>Supplementary</w:t>
      </w:r>
      <w:r>
        <w:rPr>
          <w:rFonts w:ascii="Times New Roman" w:eastAsia="SimSun"/>
          <w:b/>
          <w:bCs/>
          <w:color w:val="000000"/>
          <w:kern w:val="36"/>
        </w:rPr>
        <w:t xml:space="preserve"> Figure 1.</w:t>
      </w:r>
      <w:r>
        <w:rPr>
          <w:rFonts w:ascii="Times New Roman" w:eastAsia="SimSun"/>
          <w:bCs/>
          <w:color w:val="000000"/>
          <w:kern w:val="36"/>
        </w:rPr>
        <w:t xml:space="preserve"> Duration of A(H7N9) viral RNA detection in </w:t>
      </w:r>
      <w:bookmarkStart w:id="6" w:name="_Hlk490822471"/>
      <w:r>
        <w:rPr>
          <w:rFonts w:ascii="Times New Roman" w:eastAsia="SimSun"/>
          <w:bCs/>
          <w:color w:val="000000"/>
          <w:kern w:val="36"/>
        </w:rPr>
        <w:t>nasopharyngeal swab</w:t>
      </w:r>
      <w:bookmarkEnd w:id="6"/>
      <w:r>
        <w:rPr>
          <w:rFonts w:ascii="Times New Roman" w:eastAsia="SimSun"/>
          <w:bCs/>
          <w:color w:val="000000"/>
          <w:kern w:val="36"/>
        </w:rPr>
        <w:t xml:space="preserve"> (n=64) versus </w:t>
      </w:r>
      <w:bookmarkStart w:id="7" w:name="_Hlk490822485"/>
      <w:r>
        <w:rPr>
          <w:rFonts w:ascii="Times New Roman" w:eastAsia="SimSun"/>
          <w:bCs/>
          <w:color w:val="000000"/>
          <w:kern w:val="36"/>
        </w:rPr>
        <w:t>endotracheal aspirate</w:t>
      </w:r>
      <w:bookmarkEnd w:id="7"/>
      <w:r>
        <w:rPr>
          <w:rFonts w:ascii="Times New Roman" w:eastAsia="SimSun"/>
          <w:bCs/>
          <w:color w:val="000000"/>
          <w:kern w:val="36"/>
        </w:rPr>
        <w:t xml:space="preserve"> (n=145) specimens </w:t>
      </w:r>
    </w:p>
    <w:p w:rsidR="007F3F91" w:rsidRDefault="007F3F91" w:rsidP="007F3F91">
      <w:pPr>
        <w:jc w:val="left"/>
        <w:rPr>
          <w:rFonts w:ascii="Times New Roman" w:eastAsia="SimSun"/>
          <w:bCs/>
          <w:color w:val="000000"/>
          <w:kern w:val="36"/>
          <w:sz w:val="24"/>
          <w:szCs w:val="24"/>
        </w:rPr>
      </w:pPr>
    </w:p>
    <w:bookmarkEnd w:id="5"/>
    <w:p w:rsidR="007F3F91" w:rsidRDefault="007F3F91" w:rsidP="007F3F91">
      <w:pPr>
        <w:widowControl/>
        <w:jc w:val="left"/>
      </w:pPr>
      <w:r>
        <w:rPr>
          <w:rFonts w:hint="eastAsia"/>
        </w:rPr>
        <w:br w:type="page"/>
      </w:r>
    </w:p>
    <w:p w:rsidR="007F3F91" w:rsidRDefault="007F3F91" w:rsidP="007F3F91">
      <w:pPr>
        <w:jc w:val="center"/>
      </w:pPr>
    </w:p>
    <w:p w:rsidR="007F3F91" w:rsidRDefault="007F3F91" w:rsidP="007F3F91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871720" cy="326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91" w:rsidRDefault="007F3F91" w:rsidP="007F3F91">
      <w:pPr>
        <w:jc w:val="left"/>
        <w:rPr>
          <w:rFonts w:ascii="Times New Roman"/>
        </w:rPr>
      </w:pPr>
      <w:r>
        <w:rPr>
          <w:rFonts w:ascii="Times New Roman"/>
          <w:b/>
        </w:rPr>
        <w:t>Supplementary Figure 2.</w:t>
      </w:r>
      <w:r>
        <w:rPr>
          <w:rFonts w:ascii="Times New Roman"/>
        </w:rPr>
        <w:t xml:space="preserve"> </w:t>
      </w:r>
      <w:r>
        <w:rPr>
          <w:rFonts w:ascii="Times New Roman" w:eastAsia="SimSun"/>
          <w:bCs/>
          <w:color w:val="000000"/>
          <w:kern w:val="36"/>
        </w:rPr>
        <w:t xml:space="preserve"> Log-rank test of the rates of viral RNA positive patients among different NAIs regimens. There was no </w:t>
      </w:r>
      <w:bookmarkStart w:id="8" w:name="_Hlk490735352"/>
      <w:r>
        <w:rPr>
          <w:rFonts w:ascii="Times New Roman" w:eastAsia="SimSun"/>
          <w:bCs/>
          <w:color w:val="000000"/>
          <w:kern w:val="36"/>
        </w:rPr>
        <w:t>significant difference (Hazard ratio, 1.18, 95% CI, 0.78-1.79, P=0.43)</w:t>
      </w:r>
    </w:p>
    <w:bookmarkEnd w:id="8"/>
    <w:p w:rsidR="007F3F91" w:rsidRDefault="007F3F91" w:rsidP="007F3F91"/>
    <w:p w:rsidR="007F3F91" w:rsidRDefault="007F3F91" w:rsidP="007F3F91">
      <w:pPr>
        <w:spacing w:after="120"/>
        <w:rPr>
          <w:rFonts w:ascii="Times New Roman"/>
          <w:b/>
        </w:rPr>
      </w:pPr>
      <w:r>
        <w:rPr>
          <w:rFonts w:ascii="Times New Roman"/>
          <w:b/>
        </w:rPr>
        <w:t>N</w:t>
      </w:r>
      <w:r>
        <w:rPr>
          <w:rFonts w:ascii="TimesNewRomanPS-BoldMT" w:hAnsi="TimesNewRomanPS-BoldMT"/>
          <w:b/>
          <w:bCs/>
          <w:color w:val="000000"/>
        </w:rPr>
        <w:t>ormal ranges for laboratory chemistries and definitions of abnormal values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Normal range of White blood cells was 4,000-10,000 per cubic millimeter;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Normal range of Aspartate aminotransferase was less than 40 U/liter;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Normal range of Creatinine was &lt;133 </w:t>
      </w:r>
      <w:proofErr w:type="spellStart"/>
      <w:r>
        <w:rPr>
          <w:rFonts w:ascii="TimesNewRomanPSMT" w:hAnsi="TimesNewRomanPSMT"/>
          <w:color w:val="000000"/>
        </w:rPr>
        <w:t>umol</w:t>
      </w:r>
      <w:proofErr w:type="spellEnd"/>
      <w:r>
        <w:rPr>
          <w:rFonts w:ascii="TimesNewRomanPSMT" w:hAnsi="TimesNewRomanPSMT"/>
          <w:color w:val="000000"/>
        </w:rPr>
        <w:t>/liter;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lastRenderedPageBreak/>
        <w:t xml:space="preserve">Normal range of </w:t>
      </w:r>
      <w:proofErr w:type="spellStart"/>
      <w:r>
        <w:rPr>
          <w:rFonts w:ascii="TimesNewRomanPSMT" w:hAnsi="TimesNewRomanPSMT"/>
          <w:color w:val="000000"/>
        </w:rPr>
        <w:t>Creatine</w:t>
      </w:r>
      <w:proofErr w:type="spellEnd"/>
      <w:r>
        <w:rPr>
          <w:rFonts w:ascii="TimesNewRomanPSMT" w:hAnsi="TimesNewRomanPSMT"/>
          <w:color w:val="000000"/>
        </w:rPr>
        <w:t xml:space="preserve"> kinase was &lt;200 U/liter;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proofErr w:type="spellStart"/>
      <w:r>
        <w:rPr>
          <w:rFonts w:ascii="TimesNewRomanPSMT" w:hAnsi="TimesNewRomanPSMT"/>
          <w:color w:val="000000"/>
        </w:rPr>
        <w:t>Lymphocytopenia</w:t>
      </w:r>
      <w:proofErr w:type="spellEnd"/>
      <w:r>
        <w:rPr>
          <w:rFonts w:ascii="TimesNewRomanPSMT" w:hAnsi="TimesNewRomanPSMT"/>
          <w:color w:val="000000"/>
        </w:rPr>
        <w:t xml:space="preserve"> was defined as a lymphocyte count &lt;1500 per cubic millimeter;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Thrombocytopenia was defined as a platelet count &lt;150,000 per cubic millimeter;</w:t>
      </w:r>
    </w:p>
    <w:p w:rsidR="007F3F91" w:rsidRDefault="007F3F91" w:rsidP="007F3F91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Abnormal value of PaO</w:t>
      </w:r>
      <w:r>
        <w:rPr>
          <w:rFonts w:ascii="TimesNewRomanPSMT" w:hAnsi="TimesNewRomanPSMT"/>
          <w:color w:val="000000"/>
          <w:vertAlign w:val="subscript"/>
        </w:rPr>
        <w:t>2</w:t>
      </w:r>
      <w:r>
        <w:rPr>
          <w:rFonts w:ascii="TimesNewRomanPSMT" w:hAnsi="TimesNewRomanPSMT"/>
          <w:color w:val="000000"/>
        </w:rPr>
        <w:t>/FiO</w:t>
      </w:r>
      <w:r>
        <w:rPr>
          <w:rFonts w:ascii="TimesNewRomanPSMT" w:hAnsi="TimesNewRomanPSMT"/>
          <w:color w:val="000000"/>
          <w:vertAlign w:val="subscript"/>
        </w:rPr>
        <w:t>2</w:t>
      </w:r>
      <w:r>
        <w:rPr>
          <w:rFonts w:ascii="TimesNewRomanPSMT" w:hAnsi="TimesNewRomanPSMT"/>
          <w:color w:val="000000"/>
        </w:rPr>
        <w:t xml:space="preserve"> was defined as the proportion &lt;300</w:t>
      </w:r>
      <w:r>
        <w:rPr>
          <w:rFonts w:hint="eastAsia"/>
        </w:rPr>
        <w:t xml:space="preserve"> </w:t>
      </w:r>
      <w:r>
        <w:rPr>
          <w:rFonts w:ascii="TimesNewRomanPSMT" w:hAnsi="TimesNewRomanPSMT"/>
          <w:color w:val="000000"/>
        </w:rPr>
        <w:t>mmHg.</w:t>
      </w:r>
    </w:p>
    <w:p w:rsidR="00EB5D59" w:rsidRDefault="00EB5D59"/>
    <w:sectPr w:rsidR="00EB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91"/>
    <w:rsid w:val="007F3F91"/>
    <w:rsid w:val="00AC2D47"/>
    <w:rsid w:val="00E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0B679BE-A129-45BA-A1D1-109B8D2B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91"/>
    <w:pPr>
      <w:widowControl w:val="0"/>
      <w:spacing w:after="160" w:line="256" w:lineRule="auto"/>
      <w:jc w:val="both"/>
    </w:pPr>
    <w:rPr>
      <w:rFonts w:ascii="DengXian" w:eastAsia="DengXi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91"/>
    <w:rPr>
      <w:rFonts w:ascii="Tahoma" w:eastAsia="DengXi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Sharath M. babu</dc:creator>
  <cp:keywords/>
  <dc:description/>
  <cp:lastModifiedBy>Uyeki, Timothy M. (CDC/DDID/NCIRD/ID)</cp:lastModifiedBy>
  <cp:revision>2</cp:revision>
  <dcterms:created xsi:type="dcterms:W3CDTF">2019-07-18T18:16:00Z</dcterms:created>
  <dcterms:modified xsi:type="dcterms:W3CDTF">2019-07-18T18:16:00Z</dcterms:modified>
</cp:coreProperties>
</file>