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02" w:rsidRPr="00F23302" w:rsidRDefault="00F23302" w:rsidP="00F23302">
      <w:pPr>
        <w:spacing w:line="480" w:lineRule="auto"/>
      </w:pPr>
      <w:bookmarkStart w:id="0" w:name="_GoBack"/>
      <w:bookmarkEnd w:id="0"/>
      <w:r>
        <w:rPr>
          <w:rFonts w:ascii="Times New Roman" w:hAnsi="Times New Roman"/>
          <w:b/>
        </w:rPr>
        <w:t>Supplemental Digital Content 2</w:t>
      </w:r>
    </w:p>
    <w:p w:rsidR="00F23302" w:rsidRPr="00F23302" w:rsidRDefault="00F23302" w:rsidP="00F2330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 w:rsidRPr="00F23302">
        <w:rPr>
          <w:rFonts w:ascii="Times New Roman" w:hAnsi="Times New Roman"/>
          <w:b/>
        </w:rPr>
        <w:t xml:space="preserve">Figure 1:  Fall pH1N1 Period </w:t>
      </w:r>
      <w:r>
        <w:rPr>
          <w:rFonts w:ascii="Times New Roman" w:hAnsi="Times New Roman"/>
          <w:b/>
        </w:rPr>
        <w:t>Versus</w:t>
      </w:r>
      <w:r w:rsidRPr="00F23302">
        <w:rPr>
          <w:rFonts w:ascii="Times New Roman" w:hAnsi="Times New Roman"/>
          <w:b/>
        </w:rPr>
        <w:t xml:space="preserve"> Temporal Trend of Emergency Department Encounters </w:t>
      </w:r>
    </w:p>
    <w:p w:rsidR="00F23302" w:rsidRPr="00F23302" w:rsidRDefault="00F23302" w:rsidP="00F23302">
      <w:pPr>
        <w:rPr>
          <w:rFonts w:eastAsia="Garamond"/>
          <w:b/>
          <w:sz w:val="36"/>
        </w:rPr>
      </w:pPr>
      <w:r>
        <w:rPr>
          <w:rFonts w:eastAsia="Garamond"/>
          <w:b/>
          <w:noProof/>
          <w:sz w:val="36"/>
        </w:rPr>
        <w:drawing>
          <wp:inline distT="0" distB="0" distL="0" distR="0">
            <wp:extent cx="4572000" cy="3362325"/>
            <wp:effectExtent l="0" t="0" r="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3302" w:rsidRDefault="00F23302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23302" w:rsidRPr="00A24EBB" w:rsidRDefault="00F23302" w:rsidP="00F23302">
      <w:pPr>
        <w:spacing w:line="480" w:lineRule="auto"/>
        <w:rPr>
          <w:rFonts w:ascii="Times New Roman" w:eastAsia="Garamond" w:hAnsi="Times New Roman"/>
          <w:b/>
        </w:rPr>
      </w:pPr>
      <w:r w:rsidRPr="00A24EBB">
        <w:rPr>
          <w:rFonts w:ascii="Times New Roman" w:hAnsi="Times New Roman"/>
          <w:b/>
        </w:rPr>
        <w:lastRenderedPageBreak/>
        <w:t xml:space="preserve">Supplementary Table 1:  Sensitivity Analysis of Change in Hospital Volume During pH1N1 </w:t>
      </w:r>
      <w:r>
        <w:rPr>
          <w:rFonts w:ascii="Times New Roman" w:hAnsi="Times New Roman"/>
          <w:b/>
        </w:rPr>
        <w:t xml:space="preserve">Fall Wave </w:t>
      </w:r>
      <w:r w:rsidRPr="00A24EBB">
        <w:rPr>
          <w:rFonts w:ascii="Times New Roman" w:hAnsi="Times New Roman"/>
          <w:b/>
        </w:rPr>
        <w:t>Compared to Baseline Years Based on Influenza-Specific Codes</w:t>
      </w:r>
      <w:r w:rsidRPr="00A24EBB">
        <w:rPr>
          <w:rFonts w:ascii="Times New Roman" w:hAnsi="Times New Roman"/>
          <w:b/>
          <w:vertAlign w:val="superscript"/>
        </w:rPr>
        <w:t xml:space="preserve">1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218"/>
        <w:gridCol w:w="1178"/>
        <w:gridCol w:w="1999"/>
        <w:gridCol w:w="1350"/>
        <w:gridCol w:w="913"/>
        <w:gridCol w:w="1967"/>
      </w:tblGrid>
      <w:tr w:rsidR="00F23302" w:rsidRPr="00B94DE3" w:rsidTr="00C30CB0">
        <w:trPr>
          <w:trHeight w:val="242"/>
        </w:trPr>
        <w:tc>
          <w:tcPr>
            <w:tcW w:w="129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>
              <w:rPr>
                <w:rFonts w:ascii="Times New Roman" w:eastAsia="Garamond" w:hAnsi="Times New Roman"/>
                <w:b/>
                <w:sz w:val="20"/>
                <w:szCs w:val="20"/>
              </w:rPr>
              <w:t>Disease c</w:t>
            </w: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ategory</w:t>
            </w:r>
          </w:p>
        </w:tc>
        <w:tc>
          <w:tcPr>
            <w:tcW w:w="4395" w:type="dxa"/>
            <w:gridSpan w:val="3"/>
            <w:shd w:val="pct12" w:color="auto" w:fill="auto"/>
          </w:tcPr>
          <w:p w:rsidR="00F23302" w:rsidRPr="00B94DE3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i/>
                <w:sz w:val="20"/>
                <w:szCs w:val="20"/>
              </w:rPr>
              <w:t>HOSPITAL-SPECIFIC PANDEMIC PERIOD</w:t>
            </w:r>
          </w:p>
        </w:tc>
        <w:tc>
          <w:tcPr>
            <w:tcW w:w="4230" w:type="dxa"/>
            <w:gridSpan w:val="3"/>
            <w:shd w:val="pct12" w:color="auto" w:fill="auto"/>
          </w:tcPr>
          <w:p w:rsidR="00F23302" w:rsidRPr="00B94DE3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i/>
                <w:sz w:val="20"/>
                <w:szCs w:val="20"/>
              </w:rPr>
              <w:t>UNIFORM FALL PANDEMIC PERIOD</w:t>
            </w:r>
          </w:p>
        </w:tc>
      </w:tr>
      <w:tr w:rsidR="00F23302" w:rsidRPr="00B94DE3" w:rsidTr="00C30CB0">
        <w:trPr>
          <w:trHeight w:val="242"/>
        </w:trPr>
        <w:tc>
          <w:tcPr>
            <w:tcW w:w="129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:rsidR="00F23302" w:rsidRPr="00B94DE3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i/>
                <w:sz w:val="20"/>
                <w:szCs w:val="20"/>
              </w:rPr>
              <w:t>Emergency departments, all encounters</w:t>
            </w:r>
          </w:p>
        </w:tc>
        <w:tc>
          <w:tcPr>
            <w:tcW w:w="4230" w:type="dxa"/>
            <w:gridSpan w:val="3"/>
          </w:tcPr>
          <w:p w:rsidR="00F23302" w:rsidRPr="00B94DE3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i/>
                <w:sz w:val="20"/>
                <w:szCs w:val="20"/>
              </w:rPr>
              <w:t>Emergency departments; all encounters</w:t>
            </w:r>
          </w:p>
        </w:tc>
      </w:tr>
      <w:tr w:rsidR="00F23302" w:rsidRPr="00B94DE3" w:rsidTr="00C30CB0">
        <w:trPr>
          <w:trHeight w:val="270"/>
        </w:trPr>
        <w:tc>
          <w:tcPr>
            <w:tcW w:w="129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2005-2008 Annual Mean </w:t>
            </w:r>
          </w:p>
        </w:tc>
        <w:tc>
          <w:tcPr>
            <w:tcW w:w="1178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2009 </w:t>
            </w:r>
          </w:p>
        </w:tc>
        <w:tc>
          <w:tcPr>
            <w:tcW w:w="1999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% change in 2009 </w:t>
            </w: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br/>
              <w:t>(P-value)</w:t>
            </w:r>
          </w:p>
        </w:tc>
        <w:tc>
          <w:tcPr>
            <w:tcW w:w="1350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2005-2008</w:t>
            </w:r>
          </w:p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Annual Mean</w:t>
            </w:r>
          </w:p>
        </w:tc>
        <w:tc>
          <w:tcPr>
            <w:tcW w:w="91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2009 </w:t>
            </w:r>
          </w:p>
        </w:tc>
        <w:tc>
          <w:tcPr>
            <w:tcW w:w="1967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% change in 2009 </w:t>
            </w:r>
          </w:p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(P-value)</w:t>
            </w:r>
          </w:p>
        </w:tc>
      </w:tr>
      <w:tr w:rsidR="00F23302" w:rsidRPr="00B94DE3" w:rsidTr="00C30CB0">
        <w:tc>
          <w:tcPr>
            <w:tcW w:w="129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Influenza</w:t>
            </w:r>
          </w:p>
        </w:tc>
        <w:tc>
          <w:tcPr>
            <w:tcW w:w="1218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sz w:val="20"/>
                <w:szCs w:val="20"/>
              </w:rPr>
              <w:t>1,586</w:t>
            </w:r>
          </w:p>
        </w:tc>
        <w:tc>
          <w:tcPr>
            <w:tcW w:w="1178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sz w:val="20"/>
                <w:szCs w:val="20"/>
              </w:rPr>
              <w:t>153,971</w:t>
            </w:r>
          </w:p>
        </w:tc>
        <w:tc>
          <w:tcPr>
            <w:tcW w:w="1999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9,608.1%</w:t>
            </w: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br/>
              <w:t>(P &lt; 0.001)</w:t>
            </w:r>
          </w:p>
        </w:tc>
        <w:tc>
          <w:tcPr>
            <w:tcW w:w="1350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sz w:val="20"/>
                <w:szCs w:val="20"/>
              </w:rPr>
              <w:t>3,889</w:t>
            </w:r>
          </w:p>
        </w:tc>
        <w:tc>
          <w:tcPr>
            <w:tcW w:w="91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sz w:val="20"/>
                <w:szCs w:val="20"/>
              </w:rPr>
              <w:t>245,120</w:t>
            </w:r>
          </w:p>
        </w:tc>
        <w:tc>
          <w:tcPr>
            <w:tcW w:w="1967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6,202.6%</w:t>
            </w: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br/>
              <w:t>(P &lt; 0.001)</w:t>
            </w:r>
          </w:p>
        </w:tc>
      </w:tr>
      <w:tr w:rsidR="00F23302" w:rsidRPr="00B94DE3" w:rsidTr="00C30CB0">
        <w:tc>
          <w:tcPr>
            <w:tcW w:w="129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:rsidR="00F23302" w:rsidRPr="00B94DE3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i/>
                <w:sz w:val="20"/>
                <w:szCs w:val="20"/>
              </w:rPr>
              <w:t>Emergency departments, treat-and-release encounters</w:t>
            </w:r>
          </w:p>
        </w:tc>
        <w:tc>
          <w:tcPr>
            <w:tcW w:w="4230" w:type="dxa"/>
            <w:gridSpan w:val="3"/>
          </w:tcPr>
          <w:p w:rsidR="00F23302" w:rsidRPr="00B94DE3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i/>
                <w:sz w:val="20"/>
                <w:szCs w:val="20"/>
              </w:rPr>
              <w:t>Emergency departments; treat-and-release encounters</w:t>
            </w:r>
          </w:p>
        </w:tc>
      </w:tr>
      <w:tr w:rsidR="00F23302" w:rsidRPr="00B94DE3" w:rsidTr="00C30CB0">
        <w:tc>
          <w:tcPr>
            <w:tcW w:w="129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2005-2008 Annual Mean </w:t>
            </w:r>
          </w:p>
        </w:tc>
        <w:tc>
          <w:tcPr>
            <w:tcW w:w="1178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2009 </w:t>
            </w:r>
          </w:p>
        </w:tc>
        <w:tc>
          <w:tcPr>
            <w:tcW w:w="1999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% change in 2009 </w:t>
            </w: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br/>
              <w:t>(P-value)</w:t>
            </w:r>
          </w:p>
        </w:tc>
        <w:tc>
          <w:tcPr>
            <w:tcW w:w="1350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2005-2008</w:t>
            </w:r>
          </w:p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Annual Mean</w:t>
            </w:r>
          </w:p>
        </w:tc>
        <w:tc>
          <w:tcPr>
            <w:tcW w:w="91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2009 </w:t>
            </w:r>
          </w:p>
        </w:tc>
        <w:tc>
          <w:tcPr>
            <w:tcW w:w="1967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% change in 2009 </w:t>
            </w:r>
          </w:p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(P-value)</w:t>
            </w:r>
          </w:p>
        </w:tc>
      </w:tr>
      <w:tr w:rsidR="00F23302" w:rsidRPr="00B94DE3" w:rsidTr="00C30CB0">
        <w:tc>
          <w:tcPr>
            <w:tcW w:w="129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Influenza</w:t>
            </w:r>
          </w:p>
        </w:tc>
        <w:tc>
          <w:tcPr>
            <w:tcW w:w="1218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sz w:val="20"/>
                <w:szCs w:val="20"/>
              </w:rPr>
              <w:t>1,372</w:t>
            </w:r>
          </w:p>
        </w:tc>
        <w:tc>
          <w:tcPr>
            <w:tcW w:w="1178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sz w:val="20"/>
                <w:szCs w:val="20"/>
              </w:rPr>
              <w:t>141,108</w:t>
            </w:r>
          </w:p>
        </w:tc>
        <w:tc>
          <w:tcPr>
            <w:tcW w:w="1999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10,183.6%</w:t>
            </w: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br/>
              <w:t>(P &lt; 0.001)</w:t>
            </w:r>
          </w:p>
        </w:tc>
        <w:tc>
          <w:tcPr>
            <w:tcW w:w="1350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sz w:val="20"/>
                <w:szCs w:val="20"/>
              </w:rPr>
              <w:t>3,403</w:t>
            </w:r>
          </w:p>
        </w:tc>
        <w:tc>
          <w:tcPr>
            <w:tcW w:w="91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sz w:val="20"/>
                <w:szCs w:val="20"/>
              </w:rPr>
              <w:t>224,266</w:t>
            </w:r>
          </w:p>
        </w:tc>
        <w:tc>
          <w:tcPr>
            <w:tcW w:w="1967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6,491.1%</w:t>
            </w: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br/>
              <w:t>(P &lt; 0.001)</w:t>
            </w:r>
          </w:p>
        </w:tc>
      </w:tr>
      <w:tr w:rsidR="00F23302" w:rsidRPr="00B94DE3" w:rsidTr="00C30CB0">
        <w:tc>
          <w:tcPr>
            <w:tcW w:w="129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:rsidR="00F23302" w:rsidRPr="00B94DE3" w:rsidRDefault="00F23302" w:rsidP="00C30CB0">
            <w:pPr>
              <w:jc w:val="center"/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i/>
                <w:sz w:val="20"/>
                <w:szCs w:val="20"/>
              </w:rPr>
              <w:t>Inpatient admissions</w:t>
            </w:r>
          </w:p>
        </w:tc>
        <w:tc>
          <w:tcPr>
            <w:tcW w:w="4230" w:type="dxa"/>
            <w:gridSpan w:val="3"/>
          </w:tcPr>
          <w:p w:rsidR="00F23302" w:rsidRPr="00B94DE3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i/>
                <w:sz w:val="20"/>
                <w:szCs w:val="20"/>
              </w:rPr>
              <w:t>Inpatient admissions</w:t>
            </w:r>
          </w:p>
        </w:tc>
      </w:tr>
      <w:tr w:rsidR="00F23302" w:rsidRPr="00B94DE3" w:rsidTr="00C30CB0">
        <w:tc>
          <w:tcPr>
            <w:tcW w:w="129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2003-2008 Annual Mean </w:t>
            </w:r>
          </w:p>
        </w:tc>
        <w:tc>
          <w:tcPr>
            <w:tcW w:w="1178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2009 </w:t>
            </w:r>
          </w:p>
        </w:tc>
        <w:tc>
          <w:tcPr>
            <w:tcW w:w="1999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% change in 2009 </w:t>
            </w: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br/>
              <w:t>(P-value)</w:t>
            </w:r>
          </w:p>
        </w:tc>
        <w:tc>
          <w:tcPr>
            <w:tcW w:w="1350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2003-2008</w:t>
            </w:r>
          </w:p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Annual Mean</w:t>
            </w:r>
          </w:p>
        </w:tc>
        <w:tc>
          <w:tcPr>
            <w:tcW w:w="91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2009 </w:t>
            </w:r>
          </w:p>
        </w:tc>
        <w:tc>
          <w:tcPr>
            <w:tcW w:w="1967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 xml:space="preserve">% change in 2009 </w:t>
            </w:r>
          </w:p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(P-value)</w:t>
            </w:r>
          </w:p>
        </w:tc>
      </w:tr>
      <w:tr w:rsidR="00F23302" w:rsidRPr="00B94DE3" w:rsidTr="00C30CB0">
        <w:tc>
          <w:tcPr>
            <w:tcW w:w="129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Influenza</w:t>
            </w:r>
          </w:p>
        </w:tc>
        <w:tc>
          <w:tcPr>
            <w:tcW w:w="1218" w:type="dxa"/>
          </w:tcPr>
          <w:p w:rsidR="00F23302" w:rsidRPr="00B94DE3" w:rsidRDefault="00F23302" w:rsidP="00C30CB0">
            <w:pPr>
              <w:rPr>
                <w:rFonts w:ascii="Times New Roman" w:hAnsi="Times New Roman"/>
                <w:sz w:val="20"/>
                <w:szCs w:val="20"/>
              </w:rPr>
            </w:pPr>
            <w:r w:rsidRPr="00B94DE3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178" w:type="dxa"/>
          </w:tcPr>
          <w:p w:rsidR="00F23302" w:rsidRPr="00B94DE3" w:rsidRDefault="00F23302" w:rsidP="00C30CB0">
            <w:pPr>
              <w:rPr>
                <w:rFonts w:ascii="Times New Roman" w:hAnsi="Times New Roman"/>
                <w:sz w:val="20"/>
                <w:szCs w:val="20"/>
              </w:rPr>
            </w:pPr>
            <w:r w:rsidRPr="00B94DE3">
              <w:rPr>
                <w:rFonts w:ascii="Times New Roman" w:hAnsi="Times New Roman"/>
                <w:sz w:val="20"/>
                <w:szCs w:val="20"/>
              </w:rPr>
              <w:t>24,190</w:t>
            </w:r>
          </w:p>
        </w:tc>
        <w:tc>
          <w:tcPr>
            <w:tcW w:w="1999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3,664.6%</w:t>
            </w: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br/>
              <w:t>(P &lt; 0.001)</w:t>
            </w:r>
          </w:p>
        </w:tc>
        <w:tc>
          <w:tcPr>
            <w:tcW w:w="1350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sz w:val="20"/>
                <w:szCs w:val="20"/>
              </w:rPr>
              <w:t>1,879</w:t>
            </w:r>
          </w:p>
        </w:tc>
        <w:tc>
          <w:tcPr>
            <w:tcW w:w="913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sz w:val="20"/>
                <w:szCs w:val="20"/>
              </w:rPr>
              <w:t>39,268</w:t>
            </w:r>
          </w:p>
        </w:tc>
        <w:tc>
          <w:tcPr>
            <w:tcW w:w="1967" w:type="dxa"/>
          </w:tcPr>
          <w:p w:rsidR="00F23302" w:rsidRPr="00B94DE3" w:rsidRDefault="00F23302" w:rsidP="00C30CB0">
            <w:pPr>
              <w:rPr>
                <w:rFonts w:ascii="Times New Roman" w:eastAsia="Garamond" w:hAnsi="Times New Roman"/>
                <w:b/>
                <w:sz w:val="20"/>
                <w:szCs w:val="20"/>
              </w:rPr>
            </w:pP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t>1,990.0%</w:t>
            </w:r>
            <w:r w:rsidRPr="00B94DE3">
              <w:rPr>
                <w:rFonts w:ascii="Times New Roman" w:eastAsia="Garamond" w:hAnsi="Times New Roman"/>
                <w:b/>
                <w:sz w:val="20"/>
                <w:szCs w:val="20"/>
              </w:rPr>
              <w:br/>
              <w:t>(P &lt; 0.001)</w:t>
            </w:r>
          </w:p>
        </w:tc>
      </w:tr>
    </w:tbl>
    <w:p w:rsidR="00F23302" w:rsidRDefault="00F23302" w:rsidP="00F23302">
      <w:pPr>
        <w:spacing w:after="200" w:line="276" w:lineRule="auto"/>
        <w:rPr>
          <w:rFonts w:ascii="Times New Roman" w:eastAsia="Garamond" w:hAnsi="Times New Roman"/>
          <w:sz w:val="20"/>
          <w:szCs w:val="20"/>
          <w:vertAlign w:val="superscript"/>
        </w:rPr>
      </w:pPr>
    </w:p>
    <w:p w:rsidR="00F23302" w:rsidRPr="00B94DE3" w:rsidRDefault="00F23302" w:rsidP="00F23302">
      <w:pPr>
        <w:spacing w:after="200" w:line="480" w:lineRule="auto"/>
        <w:rPr>
          <w:rFonts w:ascii="Times New Roman" w:eastAsia="Garamond" w:hAnsi="Times New Roman"/>
          <w:sz w:val="20"/>
          <w:szCs w:val="20"/>
        </w:rPr>
      </w:pPr>
      <w:r w:rsidRPr="00B94DE3">
        <w:rPr>
          <w:rFonts w:ascii="Times New Roman" w:eastAsia="Garamond" w:hAnsi="Times New Roman"/>
          <w:sz w:val="20"/>
          <w:szCs w:val="20"/>
          <w:vertAlign w:val="superscript"/>
        </w:rPr>
        <w:t>1</w:t>
      </w:r>
      <w:r w:rsidRPr="00B94DE3">
        <w:rPr>
          <w:rFonts w:ascii="Times New Roman" w:eastAsia="Garamond" w:hAnsi="Times New Roman"/>
          <w:sz w:val="20"/>
          <w:szCs w:val="20"/>
        </w:rPr>
        <w:t xml:space="preserve">Baseline years for the inpatient analysis are 2003 – 2008.  For the emergency department analysis, baseline years are 2005 – 2008. </w:t>
      </w:r>
    </w:p>
    <w:p w:rsidR="00F23302" w:rsidRPr="00D377C5" w:rsidRDefault="00F23302" w:rsidP="00F23302">
      <w:pPr>
        <w:rPr>
          <w:sz w:val="20"/>
        </w:rPr>
      </w:pPr>
    </w:p>
    <w:p w:rsidR="00F23302" w:rsidRDefault="00F23302" w:rsidP="00F23302">
      <w:pPr>
        <w:spacing w:line="480" w:lineRule="auto"/>
        <w:ind w:firstLine="720"/>
        <w:rPr>
          <w:rFonts w:ascii="Times New Roman" w:hAnsi="Times New Roman"/>
        </w:rPr>
      </w:pPr>
    </w:p>
    <w:p w:rsidR="00F23302" w:rsidRPr="001D4078" w:rsidRDefault="00F23302" w:rsidP="00F2330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1D4078">
        <w:rPr>
          <w:rFonts w:ascii="Times New Roman" w:hAnsi="Times New Roman"/>
          <w:b/>
        </w:rPr>
        <w:lastRenderedPageBreak/>
        <w:t xml:space="preserve">Supplementary Table 2:  Hospital Volume During </w:t>
      </w:r>
      <w:r>
        <w:rPr>
          <w:rFonts w:ascii="Times New Roman" w:hAnsi="Times New Roman"/>
          <w:b/>
        </w:rPr>
        <w:t xml:space="preserve">pH1N1 Fall Wave </w:t>
      </w:r>
      <w:r w:rsidRPr="001D4078">
        <w:rPr>
          <w:rFonts w:ascii="Times New Roman" w:hAnsi="Times New Roman"/>
          <w:b/>
        </w:rPr>
        <w:t xml:space="preserve">Compared to </w:t>
      </w:r>
      <w:r>
        <w:rPr>
          <w:rFonts w:ascii="Times New Roman" w:hAnsi="Times New Roman"/>
          <w:b/>
        </w:rPr>
        <w:t xml:space="preserve">2003 – </w:t>
      </w:r>
      <w:r w:rsidRPr="001D4078">
        <w:rPr>
          <w:rFonts w:ascii="Times New Roman" w:hAnsi="Times New Roman"/>
          <w:b/>
        </w:rPr>
        <w:t>04 Seasonal Influenza Epidemic Based on Influenza-Specific Codes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537"/>
        <w:gridCol w:w="1620"/>
        <w:gridCol w:w="1361"/>
        <w:gridCol w:w="1192"/>
        <w:gridCol w:w="1390"/>
        <w:gridCol w:w="1170"/>
      </w:tblGrid>
      <w:tr w:rsidR="00F23302" w:rsidRPr="001D4078" w:rsidTr="00C30CB0">
        <w:trPr>
          <w:trHeight w:val="323"/>
        </w:trPr>
        <w:tc>
          <w:tcPr>
            <w:tcW w:w="1468" w:type="dxa"/>
          </w:tcPr>
          <w:p w:rsidR="00F23302" w:rsidRPr="001D4078" w:rsidRDefault="00F23302" w:rsidP="00C30CB0">
            <w:pPr>
              <w:rPr>
                <w:rFonts w:ascii="Times New Roman" w:eastAsia="Garamond" w:hAnsi="Times New Roman"/>
                <w:b/>
              </w:rPr>
            </w:pPr>
            <w:r>
              <w:rPr>
                <w:rFonts w:ascii="Times New Roman" w:eastAsia="Garamond" w:hAnsi="Times New Roman"/>
                <w:b/>
              </w:rPr>
              <w:t>Disease c</w:t>
            </w:r>
            <w:r w:rsidRPr="001D4078">
              <w:rPr>
                <w:rFonts w:ascii="Times New Roman" w:eastAsia="Garamond" w:hAnsi="Times New Roman"/>
                <w:b/>
              </w:rPr>
              <w:t>ategory</w:t>
            </w:r>
          </w:p>
        </w:tc>
        <w:tc>
          <w:tcPr>
            <w:tcW w:w="3157" w:type="dxa"/>
            <w:gridSpan w:val="2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</w:rPr>
            </w:pPr>
            <w:r>
              <w:rPr>
                <w:rFonts w:ascii="Times New Roman" w:eastAsia="Garamond" w:hAnsi="Times New Roman"/>
                <w:b/>
                <w:i/>
              </w:rPr>
              <w:t>2003-</w:t>
            </w:r>
            <w:r w:rsidRPr="001D4078">
              <w:rPr>
                <w:rFonts w:ascii="Times New Roman" w:eastAsia="Garamond" w:hAnsi="Times New Roman"/>
                <w:b/>
                <w:i/>
              </w:rPr>
              <w:t>04</w:t>
            </w:r>
          </w:p>
        </w:tc>
        <w:tc>
          <w:tcPr>
            <w:tcW w:w="5113" w:type="dxa"/>
            <w:gridSpan w:val="4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</w:rPr>
            </w:pPr>
            <w:r w:rsidRPr="001D4078">
              <w:rPr>
                <w:rFonts w:ascii="Times New Roman" w:eastAsia="Garamond" w:hAnsi="Times New Roman"/>
                <w:b/>
                <w:i/>
              </w:rPr>
              <w:t>Fall 2009</w:t>
            </w:r>
          </w:p>
        </w:tc>
      </w:tr>
      <w:tr w:rsidR="00F23302" w:rsidRPr="001D4078" w:rsidTr="00C30CB0">
        <w:trPr>
          <w:trHeight w:val="242"/>
        </w:trPr>
        <w:tc>
          <w:tcPr>
            <w:tcW w:w="1468" w:type="dxa"/>
          </w:tcPr>
          <w:p w:rsidR="00F23302" w:rsidRPr="001D4078" w:rsidRDefault="00F23302" w:rsidP="00C30CB0">
            <w:pPr>
              <w:rPr>
                <w:rFonts w:ascii="Times New Roman" w:eastAsia="Garamond" w:hAnsi="Times New Roman"/>
                <w:b/>
              </w:rPr>
            </w:pPr>
          </w:p>
        </w:tc>
        <w:tc>
          <w:tcPr>
            <w:tcW w:w="3157" w:type="dxa"/>
            <w:gridSpan w:val="2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vertAlign w:val="superscript"/>
              </w:rPr>
            </w:pPr>
            <w:r w:rsidRPr="001D4078">
              <w:rPr>
                <w:rFonts w:ascii="Times New Roman" w:eastAsia="Garamond" w:hAnsi="Times New Roman"/>
                <w:b/>
                <w:i/>
              </w:rPr>
              <w:t>Emergency departments, all encounters</w:t>
            </w:r>
            <w:r w:rsidRPr="001D4078">
              <w:rPr>
                <w:rFonts w:ascii="Times New Roman" w:eastAsia="Garamond" w:hAnsi="Times New Roman"/>
                <w:vertAlign w:val="superscript"/>
              </w:rPr>
              <w:t>1</w:t>
            </w:r>
          </w:p>
        </w:tc>
        <w:tc>
          <w:tcPr>
            <w:tcW w:w="5113" w:type="dxa"/>
            <w:gridSpan w:val="4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</w:rPr>
            </w:pPr>
            <w:r w:rsidRPr="001D4078">
              <w:rPr>
                <w:rFonts w:ascii="Times New Roman" w:eastAsia="Garamond" w:hAnsi="Times New Roman"/>
                <w:b/>
                <w:i/>
              </w:rPr>
              <w:t xml:space="preserve">Emergency departments, </w:t>
            </w:r>
          </w:p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</w:rPr>
            </w:pPr>
            <w:r w:rsidRPr="001D4078">
              <w:rPr>
                <w:rFonts w:ascii="Times New Roman" w:eastAsia="Garamond" w:hAnsi="Times New Roman"/>
                <w:b/>
                <w:i/>
              </w:rPr>
              <w:t>all encounters</w:t>
            </w:r>
            <w:r w:rsidRPr="001D4078">
              <w:rPr>
                <w:rFonts w:ascii="Times New Roman" w:eastAsia="Garamond" w:hAnsi="Times New Roman"/>
                <w:vertAlign w:val="superscript"/>
              </w:rPr>
              <w:t>1</w:t>
            </w:r>
          </w:p>
        </w:tc>
      </w:tr>
      <w:tr w:rsidR="00F23302" w:rsidRPr="001D4078" w:rsidTr="00C30CB0">
        <w:trPr>
          <w:trHeight w:val="270"/>
        </w:trPr>
        <w:tc>
          <w:tcPr>
            <w:tcW w:w="1468" w:type="dxa"/>
          </w:tcPr>
          <w:p w:rsidR="00F23302" w:rsidRPr="001D4078" w:rsidRDefault="00F23302" w:rsidP="00C30CB0">
            <w:pPr>
              <w:rPr>
                <w:rFonts w:ascii="Times New Roman" w:eastAsia="Garamond" w:hAnsi="Times New Roman"/>
                <w:b/>
              </w:rPr>
            </w:pPr>
          </w:p>
        </w:tc>
        <w:tc>
          <w:tcPr>
            <w:tcW w:w="1537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Number of encounters</w:t>
            </w:r>
          </w:p>
        </w:tc>
        <w:tc>
          <w:tcPr>
            <w:tcW w:w="162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 xml:space="preserve">Encounters </w:t>
            </w:r>
          </w:p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per day</w:t>
            </w:r>
          </w:p>
        </w:tc>
        <w:tc>
          <w:tcPr>
            <w:tcW w:w="1361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Number of encounters</w:t>
            </w:r>
          </w:p>
        </w:tc>
        <w:tc>
          <w:tcPr>
            <w:tcW w:w="1192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 xml:space="preserve">% Change from </w:t>
            </w:r>
          </w:p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2003 - 04</w:t>
            </w:r>
          </w:p>
        </w:tc>
        <w:tc>
          <w:tcPr>
            <w:tcW w:w="139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Encounters per day</w:t>
            </w:r>
          </w:p>
        </w:tc>
        <w:tc>
          <w:tcPr>
            <w:tcW w:w="117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 xml:space="preserve">% Change from </w:t>
            </w:r>
          </w:p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2003 - 04</w:t>
            </w:r>
          </w:p>
        </w:tc>
      </w:tr>
      <w:tr w:rsidR="00F23302" w:rsidRPr="001D4078" w:rsidTr="00C30CB0">
        <w:tc>
          <w:tcPr>
            <w:tcW w:w="1468" w:type="dxa"/>
          </w:tcPr>
          <w:p w:rsidR="00F23302" w:rsidRPr="001D4078" w:rsidRDefault="00F23302" w:rsidP="00C30CB0">
            <w:pPr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Influenza</w:t>
            </w:r>
          </w:p>
        </w:tc>
        <w:tc>
          <w:tcPr>
            <w:tcW w:w="1537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54,687</w:t>
            </w:r>
          </w:p>
        </w:tc>
        <w:tc>
          <w:tcPr>
            <w:tcW w:w="162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781</w:t>
            </w:r>
          </w:p>
        </w:tc>
        <w:tc>
          <w:tcPr>
            <w:tcW w:w="1361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99,434</w:t>
            </w:r>
          </w:p>
        </w:tc>
        <w:tc>
          <w:tcPr>
            <w:tcW w:w="1192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81.82%</w:t>
            </w:r>
          </w:p>
        </w:tc>
        <w:tc>
          <w:tcPr>
            <w:tcW w:w="139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947</w:t>
            </w:r>
          </w:p>
        </w:tc>
        <w:tc>
          <w:tcPr>
            <w:tcW w:w="117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21.25%</w:t>
            </w:r>
          </w:p>
        </w:tc>
      </w:tr>
      <w:tr w:rsidR="00F23302" w:rsidRPr="001D4078" w:rsidTr="00C30CB0">
        <w:tc>
          <w:tcPr>
            <w:tcW w:w="1468" w:type="dxa"/>
          </w:tcPr>
          <w:p w:rsidR="00F23302" w:rsidRPr="001D4078" w:rsidRDefault="00F23302" w:rsidP="00C30CB0">
            <w:pPr>
              <w:rPr>
                <w:rFonts w:ascii="Times New Roman" w:eastAsia="Garamond" w:hAnsi="Times New Roman"/>
                <w:b/>
              </w:rPr>
            </w:pPr>
          </w:p>
        </w:tc>
        <w:tc>
          <w:tcPr>
            <w:tcW w:w="3157" w:type="dxa"/>
            <w:gridSpan w:val="2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</w:rPr>
            </w:pPr>
            <w:r w:rsidRPr="001D4078">
              <w:rPr>
                <w:rFonts w:ascii="Times New Roman" w:eastAsia="Garamond" w:hAnsi="Times New Roman"/>
                <w:b/>
                <w:i/>
              </w:rPr>
              <w:t>Emergency departments, treat-and-release encounters</w:t>
            </w:r>
            <w:r w:rsidRPr="001D4078">
              <w:rPr>
                <w:rFonts w:ascii="Times New Roman" w:eastAsia="Garamond" w:hAnsi="Times New Roman"/>
                <w:vertAlign w:val="superscript"/>
              </w:rPr>
              <w:t>1</w:t>
            </w:r>
          </w:p>
        </w:tc>
        <w:tc>
          <w:tcPr>
            <w:tcW w:w="5113" w:type="dxa"/>
            <w:gridSpan w:val="4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</w:rPr>
            </w:pPr>
            <w:r w:rsidRPr="001D4078">
              <w:rPr>
                <w:rFonts w:ascii="Times New Roman" w:eastAsia="Garamond" w:hAnsi="Times New Roman"/>
                <w:b/>
                <w:i/>
              </w:rPr>
              <w:t xml:space="preserve">Emergency departments; treat-and- </w:t>
            </w:r>
          </w:p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</w:rPr>
            </w:pPr>
            <w:r w:rsidRPr="001D4078">
              <w:rPr>
                <w:rFonts w:ascii="Times New Roman" w:eastAsia="Garamond" w:hAnsi="Times New Roman"/>
                <w:b/>
                <w:i/>
              </w:rPr>
              <w:t>release encounters</w:t>
            </w:r>
            <w:r w:rsidRPr="001D4078">
              <w:rPr>
                <w:rFonts w:ascii="Times New Roman" w:eastAsia="Garamond" w:hAnsi="Times New Roman"/>
                <w:vertAlign w:val="superscript"/>
              </w:rPr>
              <w:t>1</w:t>
            </w:r>
          </w:p>
        </w:tc>
      </w:tr>
      <w:tr w:rsidR="00F23302" w:rsidRPr="001D4078" w:rsidTr="00C30CB0">
        <w:tc>
          <w:tcPr>
            <w:tcW w:w="1468" w:type="dxa"/>
          </w:tcPr>
          <w:p w:rsidR="00F23302" w:rsidRPr="001D4078" w:rsidRDefault="00F23302" w:rsidP="00C30CB0">
            <w:pPr>
              <w:rPr>
                <w:rFonts w:ascii="Times New Roman" w:eastAsia="Garamond" w:hAnsi="Times New Roman"/>
                <w:b/>
              </w:rPr>
            </w:pPr>
          </w:p>
        </w:tc>
        <w:tc>
          <w:tcPr>
            <w:tcW w:w="1537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Number of encounters</w:t>
            </w:r>
          </w:p>
        </w:tc>
        <w:tc>
          <w:tcPr>
            <w:tcW w:w="162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 xml:space="preserve">Encounters </w:t>
            </w:r>
          </w:p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per day</w:t>
            </w:r>
          </w:p>
        </w:tc>
        <w:tc>
          <w:tcPr>
            <w:tcW w:w="1361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Number of encounters</w:t>
            </w:r>
          </w:p>
        </w:tc>
        <w:tc>
          <w:tcPr>
            <w:tcW w:w="1192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 xml:space="preserve">% Change from </w:t>
            </w:r>
          </w:p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2003 - 04</w:t>
            </w:r>
          </w:p>
        </w:tc>
        <w:tc>
          <w:tcPr>
            <w:tcW w:w="139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Encounters per day</w:t>
            </w:r>
          </w:p>
        </w:tc>
        <w:tc>
          <w:tcPr>
            <w:tcW w:w="117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% Change from     2003 - 04</w:t>
            </w:r>
          </w:p>
        </w:tc>
      </w:tr>
      <w:tr w:rsidR="00F23302" w:rsidRPr="001D4078" w:rsidTr="00C30CB0">
        <w:tc>
          <w:tcPr>
            <w:tcW w:w="1468" w:type="dxa"/>
          </w:tcPr>
          <w:p w:rsidR="00F23302" w:rsidRPr="001D4078" w:rsidRDefault="00F23302" w:rsidP="00C30CB0">
            <w:pPr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Influenza</w:t>
            </w:r>
          </w:p>
        </w:tc>
        <w:tc>
          <w:tcPr>
            <w:tcW w:w="1537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47,787</w:t>
            </w:r>
          </w:p>
        </w:tc>
        <w:tc>
          <w:tcPr>
            <w:tcW w:w="162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683</w:t>
            </w:r>
          </w:p>
        </w:tc>
        <w:tc>
          <w:tcPr>
            <w:tcW w:w="1361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92,394</w:t>
            </w:r>
          </w:p>
        </w:tc>
        <w:tc>
          <w:tcPr>
            <w:tcW w:w="1192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93.34%</w:t>
            </w:r>
          </w:p>
        </w:tc>
        <w:tc>
          <w:tcPr>
            <w:tcW w:w="139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880</w:t>
            </w:r>
          </w:p>
        </w:tc>
        <w:tc>
          <w:tcPr>
            <w:tcW w:w="117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28.84%</w:t>
            </w:r>
          </w:p>
        </w:tc>
      </w:tr>
      <w:tr w:rsidR="00F23302" w:rsidRPr="001D4078" w:rsidTr="00C30CB0">
        <w:tc>
          <w:tcPr>
            <w:tcW w:w="1468" w:type="dxa"/>
          </w:tcPr>
          <w:p w:rsidR="00F23302" w:rsidRPr="001D4078" w:rsidRDefault="00F23302" w:rsidP="00C30CB0">
            <w:pPr>
              <w:rPr>
                <w:rFonts w:ascii="Times New Roman" w:eastAsia="Garamond" w:hAnsi="Times New Roman"/>
                <w:b/>
              </w:rPr>
            </w:pPr>
          </w:p>
        </w:tc>
        <w:tc>
          <w:tcPr>
            <w:tcW w:w="3157" w:type="dxa"/>
            <w:gridSpan w:val="2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  <w:i/>
              </w:rPr>
              <w:t>Inpatient admissions</w:t>
            </w:r>
            <w:r w:rsidRPr="001D4078">
              <w:rPr>
                <w:rFonts w:ascii="Times New Roman" w:eastAsia="Garamond" w:hAnsi="Times New Roman"/>
                <w:vertAlign w:val="superscript"/>
              </w:rPr>
              <w:t>2</w:t>
            </w:r>
          </w:p>
        </w:tc>
        <w:tc>
          <w:tcPr>
            <w:tcW w:w="5113" w:type="dxa"/>
            <w:gridSpan w:val="4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  <w:i/>
              </w:rPr>
            </w:pPr>
            <w:r w:rsidRPr="001D4078">
              <w:rPr>
                <w:rFonts w:ascii="Times New Roman" w:eastAsia="Garamond" w:hAnsi="Times New Roman"/>
                <w:b/>
                <w:i/>
              </w:rPr>
              <w:t>Inpatient admissions</w:t>
            </w:r>
            <w:r w:rsidRPr="001D4078">
              <w:rPr>
                <w:rFonts w:ascii="Times New Roman" w:eastAsia="Garamond" w:hAnsi="Times New Roman"/>
                <w:vertAlign w:val="superscript"/>
              </w:rPr>
              <w:t>2</w:t>
            </w:r>
          </w:p>
        </w:tc>
      </w:tr>
      <w:tr w:rsidR="00F23302" w:rsidRPr="001D4078" w:rsidTr="00C30CB0">
        <w:tc>
          <w:tcPr>
            <w:tcW w:w="1468" w:type="dxa"/>
          </w:tcPr>
          <w:p w:rsidR="00F23302" w:rsidRPr="001D4078" w:rsidRDefault="00F23302" w:rsidP="00C30CB0">
            <w:pPr>
              <w:rPr>
                <w:rFonts w:ascii="Times New Roman" w:eastAsia="Garamond" w:hAnsi="Times New Roman"/>
                <w:b/>
              </w:rPr>
            </w:pPr>
          </w:p>
        </w:tc>
        <w:tc>
          <w:tcPr>
            <w:tcW w:w="1537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Number of encounters</w:t>
            </w:r>
          </w:p>
        </w:tc>
        <w:tc>
          <w:tcPr>
            <w:tcW w:w="162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 xml:space="preserve">Encounters </w:t>
            </w:r>
          </w:p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per day</w:t>
            </w:r>
          </w:p>
        </w:tc>
        <w:tc>
          <w:tcPr>
            <w:tcW w:w="1361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Number of encounters</w:t>
            </w:r>
          </w:p>
        </w:tc>
        <w:tc>
          <w:tcPr>
            <w:tcW w:w="1192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 xml:space="preserve">% Change from </w:t>
            </w:r>
          </w:p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2003 - 04</w:t>
            </w:r>
          </w:p>
        </w:tc>
        <w:tc>
          <w:tcPr>
            <w:tcW w:w="139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Encounters per day</w:t>
            </w:r>
          </w:p>
        </w:tc>
        <w:tc>
          <w:tcPr>
            <w:tcW w:w="117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% Change from     2003 - 04</w:t>
            </w:r>
          </w:p>
        </w:tc>
      </w:tr>
      <w:tr w:rsidR="00F23302" w:rsidRPr="001D4078" w:rsidTr="00C30CB0">
        <w:tc>
          <w:tcPr>
            <w:tcW w:w="1468" w:type="dxa"/>
          </w:tcPr>
          <w:p w:rsidR="00F23302" w:rsidRPr="001D4078" w:rsidRDefault="00F23302" w:rsidP="00C30CB0">
            <w:pPr>
              <w:rPr>
                <w:rFonts w:ascii="Times New Roman" w:eastAsia="Garamond" w:hAnsi="Times New Roman"/>
                <w:b/>
              </w:rPr>
            </w:pPr>
            <w:r w:rsidRPr="001D4078">
              <w:rPr>
                <w:rFonts w:ascii="Times New Roman" w:eastAsia="Garamond" w:hAnsi="Times New Roman"/>
                <w:b/>
              </w:rPr>
              <w:t>Influenza</w:t>
            </w:r>
          </w:p>
        </w:tc>
        <w:tc>
          <w:tcPr>
            <w:tcW w:w="1537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33,277</w:t>
            </w:r>
          </w:p>
        </w:tc>
        <w:tc>
          <w:tcPr>
            <w:tcW w:w="162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475</w:t>
            </w:r>
          </w:p>
        </w:tc>
        <w:tc>
          <w:tcPr>
            <w:tcW w:w="1361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39,225</w:t>
            </w:r>
          </w:p>
        </w:tc>
        <w:tc>
          <w:tcPr>
            <w:tcW w:w="1192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17.87%</w:t>
            </w:r>
          </w:p>
        </w:tc>
        <w:tc>
          <w:tcPr>
            <w:tcW w:w="139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374</w:t>
            </w:r>
          </w:p>
        </w:tc>
        <w:tc>
          <w:tcPr>
            <w:tcW w:w="1170" w:type="dxa"/>
          </w:tcPr>
          <w:p w:rsidR="00F23302" w:rsidRPr="001D4078" w:rsidRDefault="00F23302" w:rsidP="00C30CB0">
            <w:pPr>
              <w:jc w:val="center"/>
              <w:rPr>
                <w:rFonts w:ascii="Times New Roman" w:eastAsia="Garamond" w:hAnsi="Times New Roman"/>
              </w:rPr>
            </w:pPr>
            <w:r w:rsidRPr="001D4078">
              <w:rPr>
                <w:rFonts w:ascii="Times New Roman" w:eastAsia="Garamond" w:hAnsi="Times New Roman"/>
              </w:rPr>
              <w:t>-21.26%</w:t>
            </w:r>
          </w:p>
        </w:tc>
      </w:tr>
    </w:tbl>
    <w:p w:rsidR="00F23302" w:rsidRDefault="00F23302" w:rsidP="00F23302">
      <w:pPr>
        <w:spacing w:line="480" w:lineRule="auto"/>
        <w:rPr>
          <w:rFonts w:ascii="Times New Roman" w:hAnsi="Times New Roman"/>
          <w:vertAlign w:val="superscript"/>
        </w:rPr>
      </w:pPr>
    </w:p>
    <w:p w:rsidR="00F23302" w:rsidRDefault="00F23302" w:rsidP="00F23302">
      <w:pPr>
        <w:spacing w:line="480" w:lineRule="auto"/>
        <w:rPr>
          <w:rFonts w:ascii="Times New Roman" w:hAnsi="Times New Roman"/>
          <w:sz w:val="20"/>
          <w:szCs w:val="20"/>
        </w:rPr>
      </w:pPr>
      <w:r w:rsidRPr="006121F9">
        <w:rPr>
          <w:rFonts w:ascii="Times New Roman" w:hAnsi="Times New Roman"/>
          <w:sz w:val="20"/>
          <w:szCs w:val="20"/>
          <w:vertAlign w:val="superscript"/>
        </w:rPr>
        <w:t>1</w:t>
      </w:r>
      <w:r w:rsidRPr="006121F9">
        <w:rPr>
          <w:rFonts w:ascii="Times New Roman" w:hAnsi="Times New Roman"/>
          <w:sz w:val="20"/>
          <w:szCs w:val="20"/>
        </w:rPr>
        <w:t>The emergency department analysis was performed using data from the following states, whi</w:t>
      </w:r>
      <w:r w:rsidRPr="006121F9">
        <w:rPr>
          <w:rFonts w:ascii="Times New Roman" w:eastAsia="Garamond" w:hAnsi="Times New Roman"/>
          <w:sz w:val="20"/>
          <w:szCs w:val="20"/>
        </w:rPr>
        <w:t xml:space="preserve">ch </w:t>
      </w:r>
      <w:r w:rsidRPr="006121F9">
        <w:rPr>
          <w:rFonts w:ascii="Times New Roman" w:hAnsi="Times New Roman"/>
          <w:sz w:val="20"/>
          <w:szCs w:val="20"/>
        </w:rPr>
        <w:t>were available in both time periods: Georgia, Hawaii, Indiana, Maryland, Missouri, Minnesota, Nebraska, South Carolina, Tennessee, and Vermont.</w:t>
      </w:r>
    </w:p>
    <w:p w:rsidR="00F23302" w:rsidRPr="006121F9" w:rsidRDefault="00F23302" w:rsidP="00F23302">
      <w:pPr>
        <w:spacing w:line="480" w:lineRule="auto"/>
        <w:rPr>
          <w:rFonts w:ascii="Times New Roman" w:eastAsia="Garamond" w:hAnsi="Times New Roman"/>
          <w:sz w:val="20"/>
          <w:szCs w:val="20"/>
        </w:rPr>
      </w:pPr>
    </w:p>
    <w:p w:rsidR="00F23302" w:rsidRPr="00DD6B26" w:rsidRDefault="00F23302" w:rsidP="00F23302">
      <w:pPr>
        <w:spacing w:line="480" w:lineRule="auto"/>
        <w:rPr>
          <w:rFonts w:ascii="Times New Roman" w:hAnsi="Times New Roman"/>
          <w:sz w:val="20"/>
          <w:szCs w:val="20"/>
        </w:rPr>
      </w:pPr>
      <w:r w:rsidRPr="00DD6B26">
        <w:rPr>
          <w:rFonts w:ascii="Times New Roman" w:hAnsi="Times New Roman"/>
          <w:sz w:val="20"/>
          <w:szCs w:val="20"/>
          <w:vertAlign w:val="superscript"/>
        </w:rPr>
        <w:t>2</w:t>
      </w:r>
      <w:r w:rsidRPr="00DD6B26">
        <w:rPr>
          <w:rFonts w:ascii="Times New Roman" w:hAnsi="Times New Roman"/>
          <w:sz w:val="20"/>
          <w:szCs w:val="20"/>
        </w:rPr>
        <w:t xml:space="preserve">The inpatient analysis was performed using data from the following states, which were available in both time periods: Arizona, California, Colorado, Georgia, Hawaii, Illinois, Indiana, Iowa, Kentucky, Maryland, Missouri, Minnesota, Nebraska, Nevada, New Jersey, Ohio, Oregon, Rhode Island, South Carolina, South Dakota, Tennessee, Virginia, Vermont, Washington, and Wisconsin.  </w:t>
      </w:r>
      <w:r w:rsidRPr="00DD6B26">
        <w:rPr>
          <w:rFonts w:ascii="Times New Roman" w:hAnsi="Times New Roman"/>
          <w:sz w:val="20"/>
          <w:szCs w:val="20"/>
        </w:rPr>
        <w:br w:type="page"/>
      </w:r>
    </w:p>
    <w:p w:rsidR="00F23302" w:rsidRPr="00A24EBB" w:rsidRDefault="00F23302" w:rsidP="00F23302">
      <w:pPr>
        <w:spacing w:line="480" w:lineRule="auto"/>
        <w:rPr>
          <w:rFonts w:ascii="Times New Roman" w:hAnsi="Times New Roman"/>
          <w:b/>
        </w:rPr>
      </w:pPr>
      <w:r w:rsidRPr="00A24EBB">
        <w:rPr>
          <w:rFonts w:ascii="Times New Roman" w:hAnsi="Times New Roman"/>
          <w:b/>
        </w:rPr>
        <w:lastRenderedPageBreak/>
        <w:t>Supplementary Figure 2: Adjusted</w:t>
      </w:r>
      <w:r w:rsidRPr="00A24EBB">
        <w:rPr>
          <w:rFonts w:ascii="Times New Roman" w:hAnsi="Times New Roman"/>
          <w:b/>
          <w:vertAlign w:val="superscript"/>
        </w:rPr>
        <w:t>1</w:t>
      </w:r>
      <w:r w:rsidRPr="00A24EBB">
        <w:rPr>
          <w:rFonts w:ascii="Times New Roman" w:hAnsi="Times New Roman"/>
          <w:b/>
        </w:rPr>
        <w:t xml:space="preserve"> Odds Ratios for Mortality by C</w:t>
      </w:r>
      <w:r>
        <w:rPr>
          <w:rFonts w:ascii="Times New Roman" w:hAnsi="Times New Roman"/>
          <w:b/>
        </w:rPr>
        <w:t>ondition, High-Surge Hospitals Versus No-</w:t>
      </w:r>
      <w:r w:rsidRPr="00A24EBB">
        <w:rPr>
          <w:rFonts w:ascii="Times New Roman" w:hAnsi="Times New Roman"/>
          <w:b/>
        </w:rPr>
        <w:t xml:space="preserve">Surge Hospitals During </w:t>
      </w:r>
      <w:r>
        <w:rPr>
          <w:rFonts w:ascii="Times New Roman" w:hAnsi="Times New Roman"/>
          <w:b/>
        </w:rPr>
        <w:t>the pH1N1 Fall Wave</w:t>
      </w:r>
    </w:p>
    <w:p w:rsidR="00F23302" w:rsidRDefault="00F23302" w:rsidP="00F23302">
      <w:pPr>
        <w:spacing w:line="480" w:lineRule="auto"/>
        <w:rPr>
          <w:rFonts w:ascii="Times New Roman" w:eastAsia="Garamond" w:hAnsi="Times New Roman"/>
        </w:rPr>
      </w:pPr>
      <w:r>
        <w:rPr>
          <w:rFonts w:ascii="Times New Roman" w:eastAsia="Garamond" w:hAnsi="Times New Roman"/>
          <w:noProof/>
        </w:rPr>
        <w:drawing>
          <wp:inline distT="0" distB="0" distL="0" distR="0">
            <wp:extent cx="5943600" cy="419504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02" w:rsidRDefault="00F23302" w:rsidP="00F23302">
      <w:pPr>
        <w:spacing w:line="480" w:lineRule="auto"/>
        <w:ind w:firstLine="720"/>
        <w:rPr>
          <w:rFonts w:ascii="Times New Roman" w:eastAsia="Garamond" w:hAnsi="Times New Roman"/>
        </w:rPr>
      </w:pPr>
    </w:p>
    <w:p w:rsidR="0019025F" w:rsidRDefault="00F23302" w:rsidP="00F23302">
      <w:pPr>
        <w:spacing w:line="480" w:lineRule="auto"/>
      </w:pPr>
      <w:r w:rsidRPr="006121F9">
        <w:rPr>
          <w:rFonts w:ascii="Times New Roman" w:eastAsia="Garamond" w:hAnsi="Times New Roman"/>
          <w:sz w:val="20"/>
          <w:szCs w:val="20"/>
          <w:vertAlign w:val="superscript"/>
        </w:rPr>
        <w:t>1</w:t>
      </w:r>
      <w:r w:rsidRPr="006121F9">
        <w:rPr>
          <w:rFonts w:ascii="Times New Roman" w:eastAsia="Garamond" w:hAnsi="Times New Roman"/>
          <w:sz w:val="20"/>
          <w:szCs w:val="20"/>
        </w:rPr>
        <w:t xml:space="preserve">Covariates (not shown on figures) include </w:t>
      </w:r>
      <w:r w:rsidRPr="006121F9">
        <w:rPr>
          <w:rFonts w:ascii="Times New Roman" w:hAnsi="Times New Roman"/>
          <w:sz w:val="20"/>
          <w:szCs w:val="20"/>
        </w:rPr>
        <w:t xml:space="preserve">age, sex, All Patient Refined Diagnosis Related Group (APR-DRG) severity, presence of 29 Comorbidity Software variables, hospital size, hospital teaching status, hospital ownership/control, pneumonia and influenza diagnosis, as in the main analysis presented in figure 2. In addition, we adjusted for a number of local factors potentially influencing quality of care, including access to care (county-specific number of primary care physicians per capita and Federally Qualified Health Centers in 2009 from the Area Resource File [ARF]), density of surrounding hospitals (Herfindahl-Hirschman Index [HHI] measured using hospital county as the market area), and local insurance coverage (county-specific percentage of people aged 18-64 years without health insurance). We also adjusted for availability of a cardiac catheterization lab at the hospital level.  </w:t>
      </w:r>
    </w:p>
    <w:sectPr w:rsidR="0019025F" w:rsidSect="00461C97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32A1">
      <w:r>
        <w:separator/>
      </w:r>
    </w:p>
  </w:endnote>
  <w:endnote w:type="continuationSeparator" w:id="0">
    <w:p w:rsidR="00000000" w:rsidRDefault="0035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FF" w:rsidRDefault="00F233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2A1">
      <w:rPr>
        <w:noProof/>
      </w:rPr>
      <w:t>1</w:t>
    </w:r>
    <w:r>
      <w:fldChar w:fldCharType="end"/>
    </w:r>
  </w:p>
  <w:p w:rsidR="00E661FF" w:rsidRDefault="00353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32A1">
      <w:r>
        <w:separator/>
      </w:r>
    </w:p>
  </w:footnote>
  <w:footnote w:type="continuationSeparator" w:id="0">
    <w:p w:rsidR="00000000" w:rsidRDefault="0035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02"/>
    <w:rsid w:val="0019025F"/>
    <w:rsid w:val="003532A1"/>
    <w:rsid w:val="00F2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24A06-77C9-47E7-80C7-A186031C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0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3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02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ewis.Rubinson\Local%20Settings\Temporary%20Internet%20Files\Content.Outlook\0CPIXW1L\Figure1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Temporal Trend Total</a:t>
            </a:r>
            <a:r>
              <a:rPr lang="en-US" sz="1100" baseline="0"/>
              <a:t> ED Visits</a:t>
            </a:r>
            <a:endParaRPr lang="en-US" sz="11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Data!$B$2</c:f>
              <c:strCache>
                <c:ptCount val="1"/>
                <c:pt idx="0">
                  <c:v>Estimated Temporal Trend</c:v>
                </c:pt>
              </c:strCache>
            </c:strRef>
          </c:tx>
          <c:marker>
            <c:symbol val="none"/>
          </c:marker>
          <c:cat>
            <c:numRef>
              <c:f>Data!$A$3:$A$7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Data!$B$3:$B$7</c:f>
              <c:numCache>
                <c:formatCode>General</c:formatCode>
                <c:ptCount val="5"/>
                <c:pt idx="0">
                  <c:v>3697294.0816666507</c:v>
                </c:pt>
                <c:pt idx="1">
                  <c:v>3838978.7666666503</c:v>
                </c:pt>
                <c:pt idx="2">
                  <c:v>3980663.4516666476</c:v>
                </c:pt>
                <c:pt idx="3">
                  <c:v>4122348.1366666467</c:v>
                </c:pt>
                <c:pt idx="4">
                  <c:v>4264032.8216665993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A8-4EC4-B424-228E8467F623}"/>
            </c:ext>
          </c:extLst>
        </c:ser>
        <c:ser>
          <c:idx val="1"/>
          <c:order val="1"/>
          <c:tx>
            <c:strRef>
              <c:f>Data!$C$2</c:f>
              <c:strCache>
                <c:ptCount val="1"/>
                <c:pt idx="0">
                  <c:v>Values for ED Visits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</c:marker>
          <c:cat>
            <c:numRef>
              <c:f>Data!$A$3:$A$7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Data!$C$3:$C$7</c:f>
              <c:numCache>
                <c:formatCode>General</c:formatCode>
                <c:ptCount val="5"/>
                <c:pt idx="0">
                  <c:v>3682823.63</c:v>
                </c:pt>
                <c:pt idx="1">
                  <c:v>3867919.67</c:v>
                </c:pt>
                <c:pt idx="2">
                  <c:v>3966193</c:v>
                </c:pt>
                <c:pt idx="3">
                  <c:v>4468880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A8-4EC4-B424-228E8467F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2073728"/>
        <c:axId val="282076288"/>
      </c:lineChart>
      <c:catAx>
        <c:axId val="282073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Year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282076288"/>
        <c:crosses val="autoZero"/>
        <c:auto val="0"/>
        <c:lblAlgn val="ctr"/>
        <c:lblOffset val="100"/>
        <c:noMultiLvlLbl val="0"/>
      </c:catAx>
      <c:valAx>
        <c:axId val="282076288"/>
        <c:scaling>
          <c:orientation val="minMax"/>
          <c:max val="4600000"/>
          <c:min val="360000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Total ED Visits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282073728"/>
        <c:crosses val="autoZero"/>
        <c:crossBetween val="midCat"/>
        <c:majorUnit val="200000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b"/>
      <c:layout/>
      <c:overlay val="0"/>
      <c:txPr>
        <a:bodyPr/>
        <a:lstStyle/>
        <a:p>
          <a:pPr>
            <a:defRPr sz="1100" baseline="0"/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Uyeki, Timothy M. (CDC/DDID/NCIRD/ID)</cp:lastModifiedBy>
  <cp:revision>2</cp:revision>
  <dcterms:created xsi:type="dcterms:W3CDTF">2019-07-15T16:00:00Z</dcterms:created>
  <dcterms:modified xsi:type="dcterms:W3CDTF">2019-07-15T16:00:00Z</dcterms:modified>
</cp:coreProperties>
</file>