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9D" w:rsidRPr="00B5042A" w:rsidRDefault="0009229D" w:rsidP="000922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Data</w:t>
      </w:r>
      <w:r w:rsidRPr="00B5042A">
        <w:rPr>
          <w:rFonts w:ascii="Times New Roman" w:hAnsi="Times New Roman" w:cs="Times New Roman"/>
          <w:sz w:val="24"/>
          <w:szCs w:val="24"/>
        </w:rPr>
        <w:t xml:space="preserve">.  Number of </w:t>
      </w:r>
      <w:proofErr w:type="spellStart"/>
      <w:r w:rsidRPr="00B5042A">
        <w:rPr>
          <w:rFonts w:ascii="Times New Roman" w:hAnsi="Times New Roman" w:cs="Times New Roman"/>
          <w:sz w:val="24"/>
          <w:szCs w:val="24"/>
        </w:rPr>
        <w:t>nontyphoidal</w:t>
      </w:r>
      <w:proofErr w:type="spellEnd"/>
      <w:r w:rsidRPr="00B5042A">
        <w:rPr>
          <w:rFonts w:ascii="Times New Roman" w:hAnsi="Times New Roman" w:cs="Times New Roman"/>
          <w:sz w:val="24"/>
          <w:szCs w:val="24"/>
        </w:rPr>
        <w:t xml:space="preserve"> </w:t>
      </w:r>
      <w:r w:rsidRPr="00B5042A">
        <w:rPr>
          <w:rFonts w:ascii="Times New Roman" w:hAnsi="Times New Roman" w:cs="Times New Roman"/>
          <w:i/>
          <w:sz w:val="24"/>
          <w:szCs w:val="24"/>
        </w:rPr>
        <w:t xml:space="preserve">Salmonella </w:t>
      </w:r>
      <w:r w:rsidRPr="00C0044B">
        <w:rPr>
          <w:rFonts w:ascii="Times New Roman" w:hAnsi="Times New Roman" w:cs="Times New Roman"/>
          <w:sz w:val="24"/>
          <w:szCs w:val="24"/>
        </w:rPr>
        <w:t>isolates that came from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042A">
        <w:rPr>
          <w:rFonts w:ascii="Times New Roman" w:hAnsi="Times New Roman" w:cs="Times New Roman"/>
          <w:sz w:val="24"/>
          <w:szCs w:val="24"/>
        </w:rPr>
        <w:t>blood submitted to NARMS, by serotype and resistance pattern, 2003–2013</w:t>
      </w:r>
      <w:r w:rsidRPr="00B5042A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</w:p>
    <w:tbl>
      <w:tblPr>
        <w:tblStyle w:val="LightShading"/>
        <w:tblW w:w="13860" w:type="dxa"/>
        <w:tblInd w:w="-450" w:type="dxa"/>
        <w:tblLayout w:type="fixed"/>
        <w:tblLook w:val="06A0" w:firstRow="1" w:lastRow="0" w:firstColumn="1" w:lastColumn="0" w:noHBand="1" w:noVBand="1"/>
      </w:tblPr>
      <w:tblGrid>
        <w:gridCol w:w="1800"/>
        <w:gridCol w:w="1350"/>
        <w:gridCol w:w="720"/>
        <w:gridCol w:w="720"/>
        <w:gridCol w:w="720"/>
        <w:gridCol w:w="810"/>
        <w:gridCol w:w="720"/>
        <w:gridCol w:w="630"/>
        <w:gridCol w:w="810"/>
        <w:gridCol w:w="810"/>
        <w:gridCol w:w="540"/>
        <w:gridCol w:w="90"/>
        <w:gridCol w:w="90"/>
        <w:gridCol w:w="720"/>
        <w:gridCol w:w="90"/>
        <w:gridCol w:w="450"/>
        <w:gridCol w:w="180"/>
        <w:gridCol w:w="720"/>
        <w:gridCol w:w="450"/>
        <w:gridCol w:w="180"/>
        <w:gridCol w:w="630"/>
        <w:gridCol w:w="540"/>
        <w:gridCol w:w="90"/>
      </w:tblGrid>
      <w:tr w:rsidR="0009229D" w:rsidRPr="00B5042A" w:rsidTr="00033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bottom w:val="single" w:sz="4" w:space="0" w:color="auto"/>
            </w:tcBorders>
          </w:tcPr>
          <w:p w:rsidR="0009229D" w:rsidRPr="00B5042A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 w:rsidRPr="00B5042A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Serotype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9229D" w:rsidRPr="00B5042A" w:rsidRDefault="0009229D" w:rsidP="00033FE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 w:rsidRPr="00B5042A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No. (%) of isolates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 w:rsidRPr="00B5042A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AMP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 w:rsidRPr="00B5042A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AUG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 w:rsidRPr="00B5042A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AXO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proofErr w:type="spellStart"/>
            <w:r w:rsidRPr="00B5042A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AZM</w:t>
            </w:r>
            <w:r w:rsidRPr="00B5042A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 w:rsidRPr="00B5042A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CHL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 w:rsidRPr="00B5042A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CIP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9229D" w:rsidRDefault="0009229D" w:rsidP="00033F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TMP–</w:t>
            </w:r>
          </w:p>
          <w:p w:rsidR="0009229D" w:rsidRPr="00B5042A" w:rsidRDefault="0009229D" w:rsidP="00033F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SMX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proofErr w:type="spellStart"/>
            <w:r w:rsidRPr="00B5042A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Sulfa</w:t>
            </w:r>
            <w:r w:rsidRPr="00B5042A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 w:rsidRPr="00B5042A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FOX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 w:rsidRPr="00B5042A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GEN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 w:rsidRPr="00B5042A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KAN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 w:rsidRPr="00B5042A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NAL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 w:rsidRPr="00B5042A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STR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 w:rsidRPr="00B5042A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TET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 w:rsidRPr="00B5042A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TIO</w:t>
            </w:r>
          </w:p>
        </w:tc>
      </w:tr>
      <w:tr w:rsidR="0009229D" w:rsidRPr="00B5042A" w:rsidTr="00033FEC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09229D" w:rsidRPr="00B5042A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B5042A">
              <w:rPr>
                <w:rFonts w:ascii="Times New Roman" w:hAnsi="Times New Roman" w:cs="Times New Roman"/>
                <w:b w:val="0"/>
                <w:color w:val="000000"/>
              </w:rPr>
              <w:t>Enteritidis</w:t>
            </w:r>
            <w:proofErr w:type="spellEnd"/>
          </w:p>
        </w:tc>
        <w:tc>
          <w:tcPr>
            <w:tcW w:w="1350" w:type="dxa"/>
          </w:tcPr>
          <w:p w:rsidR="0009229D" w:rsidRPr="00B5042A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250 (21.0%)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3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5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0" w:type="dxa"/>
            <w:vAlign w:val="bottom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9229D" w:rsidRPr="00B5042A" w:rsidTr="00033FEC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il"/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B5042A">
              <w:rPr>
                <w:rFonts w:ascii="Times New Roman" w:hAnsi="Times New Roman" w:cs="Times New Roman"/>
                <w:b w:val="0"/>
                <w:color w:val="000000"/>
              </w:rPr>
              <w:t>Typhimurium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9229D" w:rsidRPr="00B5042A" w:rsidRDefault="0009229D" w:rsidP="00033FEC">
            <w:pPr>
              <w:tabs>
                <w:tab w:val="right" w:pos="1116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ab/>
              <w:t>190 (16.0%)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630" w:type="dxa"/>
            <w:gridSpan w:val="2"/>
            <w:tcBorders>
              <w:top w:val="nil"/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9229D" w:rsidRPr="00B5042A" w:rsidTr="00033FEC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09229D" w:rsidRPr="00B5042A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B5042A">
              <w:rPr>
                <w:rFonts w:ascii="Times New Roman" w:hAnsi="Times New Roman" w:cs="Times New Roman"/>
                <w:b w:val="0"/>
                <w:color w:val="000000"/>
              </w:rPr>
              <w:t>Heidelberg</w:t>
            </w:r>
          </w:p>
        </w:tc>
        <w:tc>
          <w:tcPr>
            <w:tcW w:w="1350" w:type="dxa"/>
          </w:tcPr>
          <w:p w:rsidR="0009229D" w:rsidRPr="00B5042A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119 (10.0%)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1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4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0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1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40" w:type="dxa"/>
            <w:vAlign w:val="bottom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9229D" w:rsidRPr="00B5042A" w:rsidTr="00033FEC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09229D" w:rsidRPr="00B5042A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B5042A">
              <w:rPr>
                <w:rFonts w:ascii="Times New Roman" w:hAnsi="Times New Roman" w:cs="Times New Roman"/>
                <w:b w:val="0"/>
                <w:color w:val="000000"/>
              </w:rPr>
              <w:t xml:space="preserve">Newport </w:t>
            </w:r>
          </w:p>
        </w:tc>
        <w:tc>
          <w:tcPr>
            <w:tcW w:w="1350" w:type="dxa"/>
          </w:tcPr>
          <w:p w:rsidR="0009229D" w:rsidRPr="00B5042A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64 (5.4%)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3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3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1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1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40" w:type="dxa"/>
            <w:vAlign w:val="bottom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9229D" w:rsidRPr="00B5042A" w:rsidTr="00033FEC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09229D" w:rsidRPr="00B5042A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B5042A">
              <w:rPr>
                <w:rFonts w:ascii="Times New Roman" w:hAnsi="Times New Roman" w:cs="Times New Roman"/>
                <w:b w:val="0"/>
                <w:color w:val="000000"/>
              </w:rPr>
              <w:t>Dublin</w:t>
            </w:r>
          </w:p>
        </w:tc>
        <w:tc>
          <w:tcPr>
            <w:tcW w:w="1350" w:type="dxa"/>
          </w:tcPr>
          <w:p w:rsidR="0009229D" w:rsidRPr="00B5042A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47 (4.0%)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3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3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1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1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40" w:type="dxa"/>
            <w:vAlign w:val="bottom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9229D" w:rsidRPr="00B5042A" w:rsidTr="00033FEC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09229D" w:rsidRPr="00B5042A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B5042A">
              <w:rPr>
                <w:rFonts w:ascii="Times New Roman" w:hAnsi="Times New Roman" w:cs="Times New Roman"/>
                <w:b w:val="0"/>
                <w:color w:val="000000"/>
              </w:rPr>
              <w:t>Oranienburg</w:t>
            </w:r>
            <w:proofErr w:type="spellEnd"/>
          </w:p>
        </w:tc>
        <w:tc>
          <w:tcPr>
            <w:tcW w:w="1350" w:type="dxa"/>
          </w:tcPr>
          <w:p w:rsidR="0009229D" w:rsidRPr="00B5042A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44 (3.7%)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229D" w:rsidRPr="00B5042A" w:rsidTr="00033FEC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09229D" w:rsidRPr="00B5042A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B5042A">
              <w:rPr>
                <w:rFonts w:ascii="Times New Roman" w:hAnsi="Times New Roman" w:cs="Times New Roman"/>
                <w:b w:val="0"/>
                <w:color w:val="000000"/>
              </w:rPr>
              <w:t>Montevideo</w:t>
            </w:r>
          </w:p>
        </w:tc>
        <w:tc>
          <w:tcPr>
            <w:tcW w:w="1350" w:type="dxa"/>
          </w:tcPr>
          <w:p w:rsidR="0009229D" w:rsidRPr="00B5042A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31 (2.6%)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vAlign w:val="bottom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229D" w:rsidRPr="00B5042A" w:rsidTr="00033FEC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09229D" w:rsidRPr="00B5042A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B5042A">
              <w:rPr>
                <w:rFonts w:ascii="Times New Roman" w:hAnsi="Times New Roman" w:cs="Times New Roman"/>
                <w:b w:val="0"/>
                <w:color w:val="000000"/>
              </w:rPr>
              <w:t>Javiana</w:t>
            </w:r>
            <w:proofErr w:type="spellEnd"/>
          </w:p>
        </w:tc>
        <w:tc>
          <w:tcPr>
            <w:tcW w:w="1350" w:type="dxa"/>
          </w:tcPr>
          <w:p w:rsidR="0009229D" w:rsidRPr="00B5042A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28 (2.4%)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vAlign w:val="bottom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229D" w:rsidRPr="00B5042A" w:rsidTr="00033FEC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09229D" w:rsidRPr="00B5042A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B5042A">
              <w:rPr>
                <w:rFonts w:ascii="Times New Roman" w:hAnsi="Times New Roman" w:cs="Times New Roman"/>
                <w:b w:val="0"/>
                <w:color w:val="000000"/>
              </w:rPr>
              <w:t>I 4,[5],12:i:-</w:t>
            </w:r>
          </w:p>
        </w:tc>
        <w:tc>
          <w:tcPr>
            <w:tcW w:w="1350" w:type="dxa"/>
          </w:tcPr>
          <w:p w:rsidR="0009229D" w:rsidRPr="00B5042A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28 (2.4%)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229D" w:rsidRPr="00B5042A" w:rsidTr="00033FEC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09229D" w:rsidRPr="00B5042A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B5042A">
              <w:rPr>
                <w:rFonts w:ascii="Times New Roman" w:hAnsi="Times New Roman" w:cs="Times New Roman"/>
                <w:b w:val="0"/>
                <w:color w:val="000000"/>
              </w:rPr>
              <w:t>Poona</w:t>
            </w:r>
          </w:p>
        </w:tc>
        <w:tc>
          <w:tcPr>
            <w:tcW w:w="1350" w:type="dxa"/>
          </w:tcPr>
          <w:p w:rsidR="0009229D" w:rsidRPr="00B5042A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26 (2.2%)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vAlign w:val="bottom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229D" w:rsidRPr="00B5042A" w:rsidTr="00033FEC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09229D" w:rsidRPr="00B5042A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B5042A">
              <w:rPr>
                <w:rFonts w:ascii="Times New Roman" w:hAnsi="Times New Roman" w:cs="Times New Roman"/>
                <w:b w:val="0"/>
                <w:color w:val="000000"/>
              </w:rPr>
              <w:t>Saintpaul</w:t>
            </w:r>
            <w:proofErr w:type="spellEnd"/>
          </w:p>
        </w:tc>
        <w:tc>
          <w:tcPr>
            <w:tcW w:w="1350" w:type="dxa"/>
          </w:tcPr>
          <w:p w:rsidR="0009229D" w:rsidRPr="00B5042A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25 (2.1%)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0" w:type="dxa"/>
            <w:vAlign w:val="bottom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9229D" w:rsidRPr="00B5042A" w:rsidTr="00033FEC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09229D" w:rsidRPr="00B5042A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B5042A">
              <w:rPr>
                <w:rFonts w:ascii="Times New Roman" w:hAnsi="Times New Roman" w:cs="Times New Roman"/>
                <w:b w:val="0"/>
                <w:color w:val="000000"/>
              </w:rPr>
              <w:t>Schwarzengrund</w:t>
            </w:r>
            <w:proofErr w:type="spellEnd"/>
          </w:p>
        </w:tc>
        <w:tc>
          <w:tcPr>
            <w:tcW w:w="1350" w:type="dxa"/>
          </w:tcPr>
          <w:p w:rsidR="0009229D" w:rsidRPr="00B5042A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22 (1.9%)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vAlign w:val="bottom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229D" w:rsidRPr="00B5042A" w:rsidTr="00033FEC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09229D" w:rsidRPr="00B5042A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B5042A">
              <w:rPr>
                <w:rFonts w:ascii="Times New Roman" w:hAnsi="Times New Roman" w:cs="Times New Roman"/>
                <w:b w:val="0"/>
                <w:color w:val="000000"/>
              </w:rPr>
              <w:t>Sandiego</w:t>
            </w:r>
            <w:proofErr w:type="spellEnd"/>
          </w:p>
        </w:tc>
        <w:tc>
          <w:tcPr>
            <w:tcW w:w="1350" w:type="dxa"/>
          </w:tcPr>
          <w:p w:rsidR="0009229D" w:rsidRPr="00B5042A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19 (1.6%)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229D" w:rsidRPr="00B5042A" w:rsidTr="00033FEC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09229D" w:rsidRPr="00B5042A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B5042A">
              <w:rPr>
                <w:rFonts w:ascii="Times New Roman" w:hAnsi="Times New Roman" w:cs="Times New Roman"/>
                <w:b w:val="0"/>
                <w:color w:val="000000"/>
              </w:rPr>
              <w:t>Panama</w:t>
            </w:r>
          </w:p>
        </w:tc>
        <w:tc>
          <w:tcPr>
            <w:tcW w:w="1350" w:type="dxa"/>
          </w:tcPr>
          <w:p w:rsidR="0009229D" w:rsidRPr="00B5042A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16 (1.4%)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229D" w:rsidRPr="00B5042A" w:rsidTr="00033FEC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09229D" w:rsidRPr="00B5042A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B5042A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Paratyphi</w:t>
            </w:r>
            <w:proofErr w:type="spellEnd"/>
            <w:r w:rsidRPr="00B5042A">
              <w:rPr>
                <w:rFonts w:ascii="Times New Roman" w:hAnsi="Times New Roman" w:cs="Times New Roman"/>
                <w:b w:val="0"/>
                <w:color w:val="000000"/>
              </w:rPr>
              <w:t xml:space="preserve"> B var. L(+) tartrate+</w:t>
            </w:r>
          </w:p>
        </w:tc>
        <w:tc>
          <w:tcPr>
            <w:tcW w:w="1350" w:type="dxa"/>
          </w:tcPr>
          <w:p w:rsidR="0009229D" w:rsidRPr="00B5042A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14 (1.2%)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229D" w:rsidRPr="00B5042A" w:rsidTr="00033FEC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09229D" w:rsidRPr="00B5042A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B5042A">
              <w:rPr>
                <w:rFonts w:ascii="Times New Roman" w:hAnsi="Times New Roman" w:cs="Times New Roman"/>
                <w:b w:val="0"/>
                <w:color w:val="000000"/>
              </w:rPr>
              <w:t>Infantis</w:t>
            </w:r>
            <w:proofErr w:type="spellEnd"/>
          </w:p>
        </w:tc>
        <w:tc>
          <w:tcPr>
            <w:tcW w:w="1350" w:type="dxa"/>
          </w:tcPr>
          <w:p w:rsidR="0009229D" w:rsidRPr="00B5042A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14 (1.2%)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9229D" w:rsidRPr="00B5042A" w:rsidTr="00033FEC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B5042A">
              <w:rPr>
                <w:rFonts w:ascii="Times New Roman" w:hAnsi="Times New Roman" w:cs="Times New Roman"/>
                <w:b w:val="0"/>
                <w:color w:val="000000"/>
              </w:rPr>
              <w:t>Muenchen</w:t>
            </w:r>
            <w:proofErr w:type="spellEnd"/>
          </w:p>
        </w:tc>
        <w:tc>
          <w:tcPr>
            <w:tcW w:w="1350" w:type="dxa"/>
            <w:tcBorders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11 (0.9%)</w:t>
            </w:r>
          </w:p>
        </w:tc>
        <w:tc>
          <w:tcPr>
            <w:tcW w:w="720" w:type="dxa"/>
            <w:tcBorders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gridSpan w:val="2"/>
            <w:tcBorders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gridSpan w:val="2"/>
            <w:tcBorders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bottom w:val="nil"/>
            </w:tcBorders>
            <w:vAlign w:val="bottom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229D" w:rsidRPr="00B5042A" w:rsidTr="00033FEC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il"/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B5042A">
              <w:rPr>
                <w:rFonts w:ascii="Times New Roman" w:hAnsi="Times New Roman" w:cs="Times New Roman"/>
                <w:b w:val="0"/>
                <w:color w:val="000000"/>
              </w:rPr>
              <w:t>Agona</w:t>
            </w:r>
            <w:proofErr w:type="spellEnd"/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11 (0.9%)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229D" w:rsidRPr="00B5042A" w:rsidTr="00033FEC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09229D" w:rsidRPr="00B5042A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B5042A">
              <w:rPr>
                <w:rFonts w:ascii="Times New Roman" w:hAnsi="Times New Roman" w:cs="Times New Roman"/>
                <w:b w:val="0"/>
                <w:color w:val="000000"/>
              </w:rPr>
              <w:t>Rubislaw</w:t>
            </w:r>
            <w:proofErr w:type="spellEnd"/>
          </w:p>
        </w:tc>
        <w:tc>
          <w:tcPr>
            <w:tcW w:w="1350" w:type="dxa"/>
          </w:tcPr>
          <w:p w:rsidR="0009229D" w:rsidRPr="00B5042A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10 (0.8%)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229D" w:rsidRPr="00B5042A" w:rsidTr="00033FEC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bottom w:val="single" w:sz="4" w:space="0" w:color="auto"/>
            </w:tcBorders>
          </w:tcPr>
          <w:p w:rsidR="0009229D" w:rsidRPr="00B5042A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B5042A">
              <w:rPr>
                <w:rFonts w:ascii="Times New Roman" w:hAnsi="Times New Roman" w:cs="Times New Roman"/>
                <w:b w:val="0"/>
                <w:color w:val="000000"/>
              </w:rPr>
              <w:t>Other</w:t>
            </w:r>
            <w:r w:rsidRPr="00B5042A">
              <w:rPr>
                <w:rFonts w:ascii="Times New Roman" w:hAnsi="Times New Roman" w:cs="Times New Roman"/>
                <w:b w:val="0"/>
                <w:i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9229D" w:rsidRPr="00B5042A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220 (18.5%)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9229D" w:rsidRPr="00B5042A" w:rsidTr="00033FEC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09229D" w:rsidRPr="00B5042A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B5042A">
              <w:rPr>
                <w:rFonts w:ascii="Times New Roman" w:hAnsi="Times New Roman" w:cs="Times New Roman"/>
                <w:b w:val="0"/>
                <w:color w:val="000000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09229D" w:rsidRPr="00B5042A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5042A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bottom w:val="single" w:sz="8" w:space="0" w:color="000000" w:themeColor="text1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8" w:space="0" w:color="000000" w:themeColor="text1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8" w:space="0" w:color="000000" w:themeColor="text1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8" w:space="0" w:color="000000" w:themeColor="text1"/>
            </w:tcBorders>
            <w:vAlign w:val="bottom"/>
          </w:tcPr>
          <w:p w:rsidR="0009229D" w:rsidRPr="00B5042A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5042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</w:tbl>
    <w:p w:rsidR="0009229D" w:rsidRDefault="0009229D" w:rsidP="0009229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LightShading"/>
        <w:tblW w:w="14381" w:type="dxa"/>
        <w:tblInd w:w="-432" w:type="dxa"/>
        <w:tblLayout w:type="fixed"/>
        <w:tblLook w:val="06A0" w:firstRow="1" w:lastRow="0" w:firstColumn="1" w:lastColumn="0" w:noHBand="1" w:noVBand="1"/>
      </w:tblPr>
      <w:tblGrid>
        <w:gridCol w:w="1782"/>
        <w:gridCol w:w="1170"/>
        <w:gridCol w:w="180"/>
        <w:gridCol w:w="828"/>
        <w:gridCol w:w="252"/>
        <w:gridCol w:w="1260"/>
        <w:gridCol w:w="198"/>
        <w:gridCol w:w="882"/>
        <w:gridCol w:w="180"/>
        <w:gridCol w:w="1350"/>
        <w:gridCol w:w="1440"/>
        <w:gridCol w:w="1080"/>
        <w:gridCol w:w="90"/>
        <w:gridCol w:w="270"/>
        <w:gridCol w:w="1440"/>
        <w:gridCol w:w="990"/>
        <w:gridCol w:w="989"/>
      </w:tblGrid>
      <w:tr w:rsidR="0009229D" w:rsidRPr="00ED3E65" w:rsidTr="00033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9229D" w:rsidRPr="00ED3E65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 w:rsidRPr="00ED3E65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Serotype</w:t>
            </w:r>
          </w:p>
        </w:tc>
        <w:tc>
          <w:tcPr>
            <w:tcW w:w="1170" w:type="dxa"/>
          </w:tcPr>
          <w:p w:rsidR="0009229D" w:rsidRPr="00ED3E65" w:rsidRDefault="0009229D" w:rsidP="00033FE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 w:rsidRPr="00ED3E65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No. (%) of isolates</w:t>
            </w:r>
          </w:p>
        </w:tc>
        <w:tc>
          <w:tcPr>
            <w:tcW w:w="126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 w:rsidRPr="00ED3E65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Fully susceptible</w:t>
            </w:r>
          </w:p>
        </w:tc>
        <w:tc>
          <w:tcPr>
            <w:tcW w:w="126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R</w:t>
            </w:r>
            <w:r w:rsidRPr="00ED3E65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esistance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 xml:space="preserve"> to a first-line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agent</w:t>
            </w:r>
            <w:r w:rsidRPr="00ED3E65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</w:rPr>
              <w:t>e</w:t>
            </w:r>
            <w:proofErr w:type="spellEnd"/>
          </w:p>
        </w:tc>
        <w:tc>
          <w:tcPr>
            <w:tcW w:w="126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Resistant</w:t>
            </w:r>
            <w:r w:rsidRPr="00ED3E65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 xml:space="preserve"> to ≥1 agent</w:t>
            </w:r>
          </w:p>
        </w:tc>
        <w:tc>
          <w:tcPr>
            <w:tcW w:w="135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Resistant</w:t>
            </w:r>
            <w:r w:rsidRPr="00ED3E65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 xml:space="preserve"> to ≥3 classes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Resistant</w:t>
            </w:r>
            <w:r w:rsidRPr="00ED3E65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 xml:space="preserve"> to  ≥5 classes</w:t>
            </w:r>
          </w:p>
        </w:tc>
        <w:tc>
          <w:tcPr>
            <w:tcW w:w="117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proofErr w:type="spellStart"/>
            <w:r w:rsidRPr="00ED3E65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ACSSuT</w:t>
            </w:r>
            <w:proofErr w:type="spellEnd"/>
            <w:r w:rsidRPr="00ED3E65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 xml:space="preserve"> f</w:t>
            </w:r>
          </w:p>
        </w:tc>
        <w:tc>
          <w:tcPr>
            <w:tcW w:w="171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proofErr w:type="spellStart"/>
            <w:r w:rsidRPr="00ED3E65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ACSSuTAuCx</w:t>
            </w:r>
            <w:proofErr w:type="spellEnd"/>
            <w:r w:rsidRPr="00ED3E65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 xml:space="preserve"> g</w:t>
            </w:r>
          </w:p>
        </w:tc>
        <w:tc>
          <w:tcPr>
            <w:tcW w:w="99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proofErr w:type="spellStart"/>
            <w:r w:rsidRPr="00ED3E65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ASSuT</w:t>
            </w:r>
            <w:r w:rsidRPr="00ED3E65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>h</w:t>
            </w:r>
            <w:proofErr w:type="spellEnd"/>
          </w:p>
        </w:tc>
        <w:tc>
          <w:tcPr>
            <w:tcW w:w="989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color w:val="000000"/>
              </w:rPr>
            </w:pPr>
            <w:proofErr w:type="spellStart"/>
            <w:r w:rsidRPr="00ED3E65">
              <w:rPr>
                <w:rFonts w:ascii="Times New Roman" w:hAnsi="Times New Roman" w:cs="Times New Roman"/>
                <w:b w:val="0"/>
                <w:iCs/>
                <w:color w:val="000000"/>
              </w:rPr>
              <w:t>AAuCx</w:t>
            </w:r>
            <w:proofErr w:type="spellEnd"/>
            <w:r w:rsidRPr="00ED3E65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 xml:space="preserve"> i</w:t>
            </w:r>
          </w:p>
          <w:p w:rsidR="0009229D" w:rsidRPr="00ED3E65" w:rsidRDefault="0009229D" w:rsidP="00033F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color w:val="000000"/>
              </w:rPr>
            </w:pPr>
          </w:p>
        </w:tc>
      </w:tr>
      <w:tr w:rsidR="0009229D" w:rsidRPr="00ED3E65" w:rsidTr="00033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9229D" w:rsidRPr="00ED3E65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ED3E65">
              <w:rPr>
                <w:rFonts w:ascii="Times New Roman" w:hAnsi="Times New Roman" w:cs="Times New Roman"/>
                <w:b w:val="0"/>
                <w:color w:val="000000"/>
              </w:rPr>
              <w:t>Enteritidis</w:t>
            </w:r>
            <w:proofErr w:type="spellEnd"/>
          </w:p>
        </w:tc>
        <w:tc>
          <w:tcPr>
            <w:tcW w:w="135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250 (21.0%)</w:t>
            </w:r>
          </w:p>
        </w:tc>
        <w:tc>
          <w:tcPr>
            <w:tcW w:w="828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71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82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3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9" w:type="dxa"/>
            <w:vAlign w:val="bottom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9229D" w:rsidRPr="00ED3E65" w:rsidTr="00033FEC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9229D" w:rsidRPr="00ED3E65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ED3E65">
              <w:rPr>
                <w:rFonts w:ascii="Times New Roman" w:hAnsi="Times New Roman" w:cs="Times New Roman"/>
                <w:b w:val="0"/>
                <w:color w:val="000000"/>
              </w:rPr>
              <w:t>Typhimurium</w:t>
            </w:r>
          </w:p>
        </w:tc>
        <w:tc>
          <w:tcPr>
            <w:tcW w:w="135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190 (16.0%)</w:t>
            </w:r>
          </w:p>
        </w:tc>
        <w:tc>
          <w:tcPr>
            <w:tcW w:w="828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71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882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53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08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80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89" w:type="dxa"/>
            <w:vAlign w:val="bottom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9229D" w:rsidRPr="00ED3E65" w:rsidTr="00033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9229D" w:rsidRPr="00ED3E65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ED3E65">
              <w:rPr>
                <w:rFonts w:ascii="Times New Roman" w:hAnsi="Times New Roman" w:cs="Times New Roman"/>
                <w:b w:val="0"/>
                <w:color w:val="000000"/>
              </w:rPr>
              <w:t>Heidelberg</w:t>
            </w:r>
          </w:p>
        </w:tc>
        <w:tc>
          <w:tcPr>
            <w:tcW w:w="135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119 (10.0%)</w:t>
            </w:r>
          </w:p>
        </w:tc>
        <w:tc>
          <w:tcPr>
            <w:tcW w:w="828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71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82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53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E6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8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89" w:type="dxa"/>
            <w:vAlign w:val="bottom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9229D" w:rsidRPr="00ED3E65" w:rsidTr="00033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9229D" w:rsidRPr="00ED3E65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ED3E65">
              <w:rPr>
                <w:rFonts w:ascii="Times New Roman" w:hAnsi="Times New Roman" w:cs="Times New Roman"/>
                <w:b w:val="0"/>
                <w:color w:val="000000"/>
              </w:rPr>
              <w:t xml:space="preserve">Newport </w:t>
            </w:r>
          </w:p>
        </w:tc>
        <w:tc>
          <w:tcPr>
            <w:tcW w:w="135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64 (5.4%)</w:t>
            </w:r>
          </w:p>
        </w:tc>
        <w:tc>
          <w:tcPr>
            <w:tcW w:w="828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71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82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3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8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0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89" w:type="dxa"/>
            <w:vAlign w:val="bottom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9229D" w:rsidRPr="00ED3E65" w:rsidTr="00033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9229D" w:rsidRPr="00ED3E65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ED3E65">
              <w:rPr>
                <w:rFonts w:ascii="Times New Roman" w:hAnsi="Times New Roman" w:cs="Times New Roman"/>
                <w:b w:val="0"/>
                <w:color w:val="000000"/>
              </w:rPr>
              <w:t>Dublin</w:t>
            </w:r>
          </w:p>
        </w:tc>
        <w:tc>
          <w:tcPr>
            <w:tcW w:w="135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47 (4.0%)</w:t>
            </w:r>
          </w:p>
        </w:tc>
        <w:tc>
          <w:tcPr>
            <w:tcW w:w="828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82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3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8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80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9" w:type="dxa"/>
            <w:vAlign w:val="bottom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9229D" w:rsidRPr="00ED3E65" w:rsidTr="00033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9229D" w:rsidRPr="00ED3E65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ED3E65">
              <w:rPr>
                <w:rFonts w:ascii="Times New Roman" w:hAnsi="Times New Roman" w:cs="Times New Roman"/>
                <w:b w:val="0"/>
                <w:color w:val="000000"/>
              </w:rPr>
              <w:t>Oranienburg</w:t>
            </w:r>
            <w:proofErr w:type="spellEnd"/>
          </w:p>
        </w:tc>
        <w:tc>
          <w:tcPr>
            <w:tcW w:w="135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44 (3.7%)</w:t>
            </w:r>
          </w:p>
        </w:tc>
        <w:tc>
          <w:tcPr>
            <w:tcW w:w="828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71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2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3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9" w:type="dxa"/>
            <w:vAlign w:val="bottom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229D" w:rsidRPr="00ED3E65" w:rsidTr="00033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9229D" w:rsidRPr="00ED3E65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ED3E65">
              <w:rPr>
                <w:rFonts w:ascii="Times New Roman" w:hAnsi="Times New Roman" w:cs="Times New Roman"/>
                <w:b w:val="0"/>
                <w:color w:val="000000"/>
              </w:rPr>
              <w:t>Montevideo</w:t>
            </w:r>
          </w:p>
        </w:tc>
        <w:tc>
          <w:tcPr>
            <w:tcW w:w="135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31 (2.6%)</w:t>
            </w:r>
          </w:p>
        </w:tc>
        <w:tc>
          <w:tcPr>
            <w:tcW w:w="828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1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2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9" w:type="dxa"/>
            <w:vAlign w:val="bottom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229D" w:rsidRPr="00ED3E65" w:rsidTr="00033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9229D" w:rsidRPr="00ED3E65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ED3E65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Javiana</w:t>
            </w:r>
            <w:proofErr w:type="spellEnd"/>
          </w:p>
        </w:tc>
        <w:tc>
          <w:tcPr>
            <w:tcW w:w="135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28 (2.4%)</w:t>
            </w:r>
          </w:p>
        </w:tc>
        <w:tc>
          <w:tcPr>
            <w:tcW w:w="828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1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2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3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9" w:type="dxa"/>
            <w:vAlign w:val="bottom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229D" w:rsidRPr="00ED3E65" w:rsidTr="00033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9229D" w:rsidRPr="00ED3E65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ED3E65">
              <w:rPr>
                <w:rFonts w:ascii="Times New Roman" w:hAnsi="Times New Roman" w:cs="Times New Roman"/>
                <w:b w:val="0"/>
                <w:color w:val="000000"/>
              </w:rPr>
              <w:t>I 4[5],12:i-</w:t>
            </w:r>
          </w:p>
        </w:tc>
        <w:tc>
          <w:tcPr>
            <w:tcW w:w="135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28 (2.4%)</w:t>
            </w:r>
          </w:p>
        </w:tc>
        <w:tc>
          <w:tcPr>
            <w:tcW w:w="828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1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2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9" w:type="dxa"/>
            <w:vAlign w:val="bottom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229D" w:rsidRPr="00ED3E65" w:rsidTr="00033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9229D" w:rsidRPr="00ED3E65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ED3E65">
              <w:rPr>
                <w:rFonts w:ascii="Times New Roman" w:hAnsi="Times New Roman" w:cs="Times New Roman"/>
                <w:b w:val="0"/>
                <w:color w:val="000000"/>
              </w:rPr>
              <w:t>Poona</w:t>
            </w:r>
          </w:p>
        </w:tc>
        <w:tc>
          <w:tcPr>
            <w:tcW w:w="135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26 (2.2%)</w:t>
            </w:r>
          </w:p>
        </w:tc>
        <w:tc>
          <w:tcPr>
            <w:tcW w:w="828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1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2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9" w:type="dxa"/>
            <w:vAlign w:val="bottom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229D" w:rsidRPr="00ED3E65" w:rsidTr="00033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9229D" w:rsidRPr="00ED3E65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ED3E65">
              <w:rPr>
                <w:rFonts w:ascii="Times New Roman" w:hAnsi="Times New Roman" w:cs="Times New Roman"/>
                <w:b w:val="0"/>
                <w:color w:val="000000"/>
              </w:rPr>
              <w:t>Saintpaul</w:t>
            </w:r>
            <w:proofErr w:type="spellEnd"/>
          </w:p>
        </w:tc>
        <w:tc>
          <w:tcPr>
            <w:tcW w:w="135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25 (2.1%)</w:t>
            </w:r>
          </w:p>
        </w:tc>
        <w:tc>
          <w:tcPr>
            <w:tcW w:w="828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1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82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3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9" w:type="dxa"/>
            <w:vAlign w:val="bottom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9229D" w:rsidRPr="00ED3E65" w:rsidTr="00033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9229D" w:rsidRPr="00ED3E65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ED3E65">
              <w:rPr>
                <w:rFonts w:ascii="Times New Roman" w:hAnsi="Times New Roman" w:cs="Times New Roman"/>
                <w:b w:val="0"/>
                <w:color w:val="000000"/>
              </w:rPr>
              <w:t>Schwarzengrund</w:t>
            </w:r>
            <w:proofErr w:type="spellEnd"/>
          </w:p>
        </w:tc>
        <w:tc>
          <w:tcPr>
            <w:tcW w:w="135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22 (19%)</w:t>
            </w:r>
          </w:p>
        </w:tc>
        <w:tc>
          <w:tcPr>
            <w:tcW w:w="828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1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2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9" w:type="dxa"/>
            <w:vAlign w:val="bottom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229D" w:rsidRPr="00ED3E65" w:rsidTr="00033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9229D" w:rsidRPr="00ED3E65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ED3E65">
              <w:rPr>
                <w:rFonts w:ascii="Times New Roman" w:hAnsi="Times New Roman" w:cs="Times New Roman"/>
                <w:b w:val="0"/>
                <w:color w:val="000000"/>
              </w:rPr>
              <w:t>Sandiego</w:t>
            </w:r>
            <w:proofErr w:type="spellEnd"/>
          </w:p>
        </w:tc>
        <w:tc>
          <w:tcPr>
            <w:tcW w:w="135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19 (1.6%)</w:t>
            </w:r>
          </w:p>
        </w:tc>
        <w:tc>
          <w:tcPr>
            <w:tcW w:w="828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1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2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9" w:type="dxa"/>
            <w:vAlign w:val="bottom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229D" w:rsidRPr="00ED3E65" w:rsidTr="00033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9229D" w:rsidRPr="00ED3E65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ED3E65">
              <w:rPr>
                <w:rFonts w:ascii="Times New Roman" w:hAnsi="Times New Roman" w:cs="Times New Roman"/>
                <w:b w:val="0"/>
                <w:color w:val="000000"/>
              </w:rPr>
              <w:t>Panama</w:t>
            </w:r>
          </w:p>
        </w:tc>
        <w:tc>
          <w:tcPr>
            <w:tcW w:w="135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16 (1.4%)</w:t>
            </w:r>
          </w:p>
        </w:tc>
        <w:tc>
          <w:tcPr>
            <w:tcW w:w="828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2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3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9" w:type="dxa"/>
            <w:vAlign w:val="bottom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229D" w:rsidRPr="00ED3E65" w:rsidTr="00033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9229D" w:rsidRPr="00ED3E65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ED3E65">
              <w:rPr>
                <w:rFonts w:ascii="Times New Roman" w:hAnsi="Times New Roman" w:cs="Times New Roman"/>
                <w:b w:val="0"/>
                <w:color w:val="000000"/>
              </w:rPr>
              <w:t>Paratyphi</w:t>
            </w:r>
            <w:proofErr w:type="spellEnd"/>
            <w:r w:rsidRPr="00ED3E65">
              <w:rPr>
                <w:rFonts w:ascii="Times New Roman" w:hAnsi="Times New Roman" w:cs="Times New Roman"/>
                <w:b w:val="0"/>
                <w:color w:val="000000"/>
              </w:rPr>
              <w:t xml:space="preserve"> B var. L(+) tartrate+</w:t>
            </w:r>
          </w:p>
        </w:tc>
        <w:tc>
          <w:tcPr>
            <w:tcW w:w="135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14 (1.2%)</w:t>
            </w:r>
          </w:p>
        </w:tc>
        <w:tc>
          <w:tcPr>
            <w:tcW w:w="828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1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82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3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89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229D" w:rsidRPr="00ED3E65" w:rsidTr="00033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9229D" w:rsidRPr="00ED3E65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ED3E65">
              <w:rPr>
                <w:rFonts w:ascii="Times New Roman" w:hAnsi="Times New Roman" w:cs="Times New Roman"/>
                <w:b w:val="0"/>
                <w:color w:val="000000"/>
              </w:rPr>
              <w:t>Infantis</w:t>
            </w:r>
            <w:proofErr w:type="spellEnd"/>
          </w:p>
        </w:tc>
        <w:tc>
          <w:tcPr>
            <w:tcW w:w="135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14 (1.2%)</w:t>
            </w:r>
          </w:p>
        </w:tc>
        <w:tc>
          <w:tcPr>
            <w:tcW w:w="828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1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2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3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9" w:type="dxa"/>
            <w:vAlign w:val="bottom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229D" w:rsidRPr="00ED3E65" w:rsidTr="00033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9229D" w:rsidRPr="00ED3E65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ED3E65">
              <w:rPr>
                <w:rFonts w:ascii="Times New Roman" w:hAnsi="Times New Roman" w:cs="Times New Roman"/>
                <w:b w:val="0"/>
                <w:color w:val="000000"/>
              </w:rPr>
              <w:t>Muenchen</w:t>
            </w:r>
            <w:proofErr w:type="spellEnd"/>
          </w:p>
        </w:tc>
        <w:tc>
          <w:tcPr>
            <w:tcW w:w="135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11 (0.9%)</w:t>
            </w:r>
          </w:p>
        </w:tc>
        <w:tc>
          <w:tcPr>
            <w:tcW w:w="828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1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2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9" w:type="dxa"/>
            <w:vAlign w:val="bottom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229D" w:rsidRPr="00ED3E65" w:rsidTr="00033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9229D" w:rsidRPr="00ED3E65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ED3E65">
              <w:rPr>
                <w:rFonts w:ascii="Times New Roman" w:hAnsi="Times New Roman" w:cs="Times New Roman"/>
                <w:b w:val="0"/>
                <w:color w:val="000000"/>
              </w:rPr>
              <w:t>Agona</w:t>
            </w:r>
            <w:proofErr w:type="spellEnd"/>
          </w:p>
        </w:tc>
        <w:tc>
          <w:tcPr>
            <w:tcW w:w="135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11 (0.9%)</w:t>
            </w:r>
          </w:p>
        </w:tc>
        <w:tc>
          <w:tcPr>
            <w:tcW w:w="828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2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3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9" w:type="dxa"/>
            <w:vAlign w:val="bottom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229D" w:rsidRPr="00ED3E65" w:rsidTr="00033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9229D" w:rsidRPr="00ED3E65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ED3E65">
              <w:rPr>
                <w:rFonts w:ascii="Times New Roman" w:hAnsi="Times New Roman" w:cs="Times New Roman"/>
                <w:b w:val="0"/>
                <w:color w:val="000000"/>
              </w:rPr>
              <w:t>Rubislaw</w:t>
            </w:r>
            <w:proofErr w:type="spellEnd"/>
          </w:p>
        </w:tc>
        <w:tc>
          <w:tcPr>
            <w:tcW w:w="135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10 (0.8%)</w:t>
            </w:r>
          </w:p>
        </w:tc>
        <w:tc>
          <w:tcPr>
            <w:tcW w:w="828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1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2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gridSpan w:val="3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9" w:type="dxa"/>
            <w:vAlign w:val="bottom"/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229D" w:rsidRPr="00ED3E65" w:rsidTr="00033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tcBorders>
              <w:bottom w:val="single" w:sz="4" w:space="0" w:color="auto"/>
            </w:tcBorders>
          </w:tcPr>
          <w:p w:rsidR="0009229D" w:rsidRPr="00ED3E65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ED3E65">
              <w:rPr>
                <w:rFonts w:ascii="Times New Roman" w:hAnsi="Times New Roman" w:cs="Times New Roman"/>
                <w:b w:val="0"/>
                <w:color w:val="000000"/>
              </w:rPr>
              <w:t>Other</w:t>
            </w:r>
            <w:r w:rsidRPr="00ED3E65">
              <w:rPr>
                <w:rFonts w:ascii="Times New Roman" w:hAnsi="Times New Roman" w:cs="Times New Roman"/>
                <w:b w:val="0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09229D" w:rsidRPr="00ED3E65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220 (18.5%)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9229D" w:rsidRPr="00ED3E65" w:rsidTr="00033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09229D" w:rsidRPr="00ED3E65" w:rsidRDefault="0009229D" w:rsidP="00033FEC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ED3E65">
              <w:rPr>
                <w:rFonts w:ascii="Times New Roman" w:hAnsi="Times New Roman" w:cs="Times New Roman"/>
                <w:b w:val="0"/>
                <w:color w:val="000000"/>
              </w:rPr>
              <w:t>Total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8" w:space="0" w:color="000000" w:themeColor="text1"/>
            </w:tcBorders>
          </w:tcPr>
          <w:p w:rsidR="0009229D" w:rsidRPr="00ED3E65" w:rsidRDefault="0009229D" w:rsidP="00033FE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ED3E65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868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8" w:space="0" w:color="000000" w:themeColor="text1"/>
            </w:tcBorders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8" w:space="0" w:color="000000" w:themeColor="text1"/>
            </w:tcBorders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8" w:space="0" w:color="000000" w:themeColor="text1"/>
            </w:tcBorders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09229D" w:rsidRPr="00ED3E65" w:rsidRDefault="0009229D" w:rsidP="00033F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E6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</w:tbl>
    <w:p w:rsidR="0009229D" w:rsidRPr="00ED3E65" w:rsidRDefault="0009229D" w:rsidP="0009229D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12DB1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r w:rsidRPr="00ED3E65">
        <w:rPr>
          <w:rFonts w:ascii="Times New Roman" w:hAnsi="Times New Roman" w:cs="Times New Roman"/>
          <w:sz w:val="24"/>
          <w:szCs w:val="24"/>
        </w:rPr>
        <w:t>Antimicrobial</w:t>
      </w:r>
      <w:proofErr w:type="spellEnd"/>
      <w:r w:rsidRPr="00ED3E65">
        <w:rPr>
          <w:rFonts w:ascii="Times New Roman" w:hAnsi="Times New Roman" w:cs="Times New Roman"/>
          <w:sz w:val="24"/>
          <w:szCs w:val="24"/>
        </w:rPr>
        <w:t xml:space="preserve"> agents: </w:t>
      </w:r>
      <w:r w:rsidRPr="00ED3E6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D3E65">
        <w:rPr>
          <w:rFonts w:ascii="Times New Roman" w:hAnsi="Times New Roman" w:cs="Times New Roman"/>
          <w:sz w:val="24"/>
          <w:szCs w:val="24"/>
        </w:rPr>
        <w:t>AMP, ampicillin; AUG, amoxicillin-clavulanic acid; AXO, ceftriaxone; AZM, azithromycin; CHL, chloramphenicol; CIP, ciprofloxacin;</w:t>
      </w:r>
      <w:r>
        <w:rPr>
          <w:rFonts w:ascii="Times New Roman" w:hAnsi="Times New Roman" w:cs="Times New Roman"/>
          <w:sz w:val="24"/>
          <w:szCs w:val="24"/>
        </w:rPr>
        <w:t xml:space="preserve"> TMP–SMX</w:t>
      </w:r>
      <w:r w:rsidRPr="00ED3E65" w:rsidDel="00801E19">
        <w:rPr>
          <w:rFonts w:ascii="Times New Roman" w:hAnsi="Times New Roman" w:cs="Times New Roman"/>
          <w:sz w:val="24"/>
          <w:szCs w:val="24"/>
        </w:rPr>
        <w:t xml:space="preserve"> </w:t>
      </w:r>
      <w:r w:rsidRPr="00ED3E65">
        <w:rPr>
          <w:rFonts w:ascii="Times New Roman" w:hAnsi="Times New Roman" w:cs="Times New Roman"/>
          <w:sz w:val="24"/>
          <w:szCs w:val="24"/>
        </w:rPr>
        <w:t xml:space="preserve">, trimethoprim-sulfamethoxazole; Sulfa, sulfonamides; FOX, </w:t>
      </w:r>
      <w:proofErr w:type="spellStart"/>
      <w:r w:rsidRPr="00ED3E65">
        <w:rPr>
          <w:rFonts w:ascii="Times New Roman" w:hAnsi="Times New Roman" w:cs="Times New Roman"/>
          <w:sz w:val="24"/>
          <w:szCs w:val="24"/>
        </w:rPr>
        <w:t>cefoxitin</w:t>
      </w:r>
      <w:proofErr w:type="spellEnd"/>
      <w:r w:rsidRPr="00ED3E65">
        <w:rPr>
          <w:rFonts w:ascii="Times New Roman" w:hAnsi="Times New Roman" w:cs="Times New Roman"/>
          <w:sz w:val="24"/>
          <w:szCs w:val="24"/>
        </w:rPr>
        <w:t xml:space="preserve">; GEN, gentamicin; KAN, kanamycin; NAL, </w:t>
      </w:r>
      <w:proofErr w:type="spellStart"/>
      <w:r w:rsidRPr="00ED3E65">
        <w:rPr>
          <w:rFonts w:ascii="Times New Roman" w:hAnsi="Times New Roman" w:cs="Times New Roman"/>
          <w:sz w:val="24"/>
          <w:szCs w:val="24"/>
        </w:rPr>
        <w:t>nalidixic</w:t>
      </w:r>
      <w:proofErr w:type="spellEnd"/>
      <w:r w:rsidRPr="00ED3E65">
        <w:rPr>
          <w:rFonts w:ascii="Times New Roman" w:hAnsi="Times New Roman" w:cs="Times New Roman"/>
          <w:sz w:val="24"/>
          <w:szCs w:val="24"/>
        </w:rPr>
        <w:t xml:space="preserve"> acid; STR, streptomycin; TET, tetracycline; TIO, </w:t>
      </w:r>
      <w:proofErr w:type="spellStart"/>
      <w:r w:rsidRPr="00ED3E65">
        <w:rPr>
          <w:rFonts w:ascii="Times New Roman" w:hAnsi="Times New Roman" w:cs="Times New Roman"/>
          <w:sz w:val="24"/>
          <w:szCs w:val="24"/>
        </w:rPr>
        <w:t>ceftiofur</w:t>
      </w:r>
      <w:proofErr w:type="spellEnd"/>
      <w:r w:rsidRPr="00ED3E65">
        <w:rPr>
          <w:rFonts w:ascii="Times New Roman" w:hAnsi="Times New Roman" w:cs="Times New Roman"/>
          <w:sz w:val="24"/>
          <w:szCs w:val="24"/>
        </w:rPr>
        <w:t xml:space="preserve">. </w:t>
      </w:r>
      <w:r w:rsidRPr="00ED3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single antimicrobials and resistance to ≥1 agent, ≥3 classes, or ≥5 classes,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resistance</w:t>
      </w:r>
      <w:r w:rsidRPr="00ED3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defined as an intermediate or resistant MIC.</w:t>
      </w:r>
    </w:p>
    <w:p w:rsidR="0009229D" w:rsidRPr="00ED3E65" w:rsidRDefault="0009229D" w:rsidP="0009229D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12DB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lastRenderedPageBreak/>
        <w:t>b</w:t>
      </w:r>
      <w:r w:rsidRPr="00ED3E65">
        <w:rPr>
          <w:rFonts w:ascii="Times New Roman" w:eastAsia="Times New Roman" w:hAnsi="Times New Roman" w:cs="Times New Roman"/>
          <w:color w:val="000000"/>
          <w:sz w:val="24"/>
          <w:szCs w:val="24"/>
        </w:rPr>
        <w:t>Azithromycin</w:t>
      </w:r>
      <w:proofErr w:type="spellEnd"/>
      <w:proofErr w:type="gramEnd"/>
      <w:r w:rsidRPr="00ED3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not routinely tested prior to 2011. </w:t>
      </w:r>
    </w:p>
    <w:p w:rsidR="0009229D" w:rsidRPr="00ED3E65" w:rsidRDefault="0009229D" w:rsidP="0009229D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12DB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vertAlign w:val="superscript"/>
        </w:rPr>
        <w:t>c</w:t>
      </w:r>
      <w:r w:rsidRPr="00ED3E65">
        <w:rPr>
          <w:rFonts w:ascii="Times New Roman" w:eastAsia="Times New Roman" w:hAnsi="Times New Roman" w:cs="Times New Roman"/>
          <w:color w:val="000000"/>
          <w:sz w:val="24"/>
          <w:szCs w:val="24"/>
        </w:rPr>
        <w:t>Sulfamethoxazole</w:t>
      </w:r>
      <w:proofErr w:type="spellEnd"/>
      <w:proofErr w:type="gramEnd"/>
      <w:r w:rsidRPr="00ED3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tested prior to 2004 and </w:t>
      </w:r>
      <w:proofErr w:type="spellStart"/>
      <w:r w:rsidRPr="00ED3E65">
        <w:rPr>
          <w:rFonts w:ascii="Times New Roman" w:eastAsia="Times New Roman" w:hAnsi="Times New Roman" w:cs="Times New Roman"/>
          <w:color w:val="000000"/>
          <w:sz w:val="24"/>
          <w:szCs w:val="24"/>
        </w:rPr>
        <w:t>sulfisoxazole</w:t>
      </w:r>
      <w:proofErr w:type="spellEnd"/>
      <w:r w:rsidRPr="00ED3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tested from 2004 to 2013.  </w:t>
      </w:r>
    </w:p>
    <w:p w:rsidR="0009229D" w:rsidRPr="00ED3E65" w:rsidRDefault="0009229D" w:rsidP="000922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3E65">
        <w:rPr>
          <w:rFonts w:ascii="Times New Roman" w:hAnsi="Times New Roman" w:cs="Times New Roman"/>
          <w:i/>
          <w:sz w:val="24"/>
          <w:szCs w:val="24"/>
          <w:vertAlign w:val="superscript"/>
        </w:rPr>
        <w:t>d</w:t>
      </w:r>
      <w:r w:rsidRPr="00ED3E65">
        <w:rPr>
          <w:rFonts w:ascii="Times New Roman" w:hAnsi="Times New Roman" w:cs="Times New Roman"/>
          <w:sz w:val="24"/>
          <w:szCs w:val="24"/>
        </w:rPr>
        <w:t>Serotypes</w:t>
      </w:r>
      <w:proofErr w:type="spellEnd"/>
      <w:proofErr w:type="gramEnd"/>
      <w:r w:rsidRPr="00ED3E65">
        <w:rPr>
          <w:rFonts w:ascii="Times New Roman" w:hAnsi="Times New Roman" w:cs="Times New Roman"/>
          <w:sz w:val="24"/>
          <w:szCs w:val="24"/>
        </w:rPr>
        <w:t xml:space="preserve"> with &lt;10 blood isolates are listed in the “Other” category.  </w:t>
      </w:r>
    </w:p>
    <w:p w:rsidR="0009229D" w:rsidRPr="00ED3E65" w:rsidRDefault="0009229D" w:rsidP="0009229D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D3E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>Resistant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E65">
        <w:rPr>
          <w:rFonts w:ascii="Times New Roman" w:hAnsi="Times New Roman" w:cs="Times New Roman"/>
          <w:sz w:val="24"/>
          <w:szCs w:val="24"/>
        </w:rPr>
        <w:t>to one or more of the following antimicrobial agents: ampicillin, ceftriaxone, ciprofloxacin, or trimethoprim-sulfamethoxazole.</w:t>
      </w:r>
      <w:r w:rsidRPr="00ED3E65">
        <w:rPr>
          <w:rFonts w:ascii="Arial" w:hAnsi="Arial" w:cs="Arial"/>
          <w:sz w:val="24"/>
          <w:szCs w:val="24"/>
        </w:rPr>
        <w:t xml:space="preserve"> </w:t>
      </w:r>
    </w:p>
    <w:p w:rsidR="0009229D" w:rsidRPr="00ED3E65" w:rsidRDefault="0009229D" w:rsidP="000922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3E6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f</w:t>
      </w:r>
      <w:r w:rsidRPr="00ED3E65">
        <w:rPr>
          <w:rFonts w:ascii="Times New Roman" w:hAnsi="Times New Roman" w:cs="Times New Roman"/>
          <w:sz w:val="24"/>
          <w:szCs w:val="24"/>
        </w:rPr>
        <w:t>Resistant</w:t>
      </w:r>
      <w:proofErr w:type="spellEnd"/>
      <w:proofErr w:type="gramEnd"/>
      <w:r w:rsidRPr="00ED3E65">
        <w:rPr>
          <w:rFonts w:ascii="Times New Roman" w:hAnsi="Times New Roman" w:cs="Times New Roman"/>
          <w:sz w:val="24"/>
          <w:szCs w:val="24"/>
        </w:rPr>
        <w:t xml:space="preserve"> to at least ampicillin, chloramphenicol, streptomycin, a sulfonamide, and tetracycline.</w:t>
      </w:r>
    </w:p>
    <w:p w:rsidR="0009229D" w:rsidRPr="00ED3E65" w:rsidRDefault="0009229D" w:rsidP="000922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3E6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g</w:t>
      </w:r>
      <w:r w:rsidRPr="00ED3E65">
        <w:rPr>
          <w:rFonts w:ascii="Times New Roman" w:hAnsi="Times New Roman" w:cs="Times New Roman"/>
          <w:sz w:val="24"/>
          <w:szCs w:val="24"/>
        </w:rPr>
        <w:t>Resistant</w:t>
      </w:r>
      <w:proofErr w:type="spellEnd"/>
      <w:proofErr w:type="gramEnd"/>
      <w:r w:rsidRPr="00ED3E65">
        <w:rPr>
          <w:rFonts w:ascii="Times New Roman" w:hAnsi="Times New Roman" w:cs="Times New Roman"/>
          <w:sz w:val="24"/>
          <w:szCs w:val="24"/>
        </w:rPr>
        <w:t xml:space="preserve"> to at least </w:t>
      </w:r>
      <w:proofErr w:type="spellStart"/>
      <w:r w:rsidRPr="00ED3E65">
        <w:rPr>
          <w:rFonts w:ascii="Times New Roman" w:hAnsi="Times New Roman" w:cs="Times New Roman"/>
          <w:sz w:val="24"/>
          <w:szCs w:val="24"/>
        </w:rPr>
        <w:t>ACSSuT</w:t>
      </w:r>
      <w:proofErr w:type="spellEnd"/>
      <w:r w:rsidRPr="00ED3E65">
        <w:rPr>
          <w:rFonts w:ascii="Times New Roman" w:hAnsi="Times New Roman" w:cs="Times New Roman"/>
          <w:sz w:val="24"/>
          <w:szCs w:val="24"/>
        </w:rPr>
        <w:t>, amoxicillin-clavulanic acid, and ceftriaxone.</w:t>
      </w:r>
    </w:p>
    <w:p w:rsidR="0009229D" w:rsidRPr="00ED3E65" w:rsidRDefault="0009229D" w:rsidP="000922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3E6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h</w:t>
      </w:r>
      <w:r w:rsidRPr="00ED3E65">
        <w:rPr>
          <w:rFonts w:ascii="Times New Roman" w:hAnsi="Times New Roman" w:cs="Times New Roman"/>
          <w:sz w:val="24"/>
          <w:szCs w:val="24"/>
        </w:rPr>
        <w:t>Resistant</w:t>
      </w:r>
      <w:proofErr w:type="spellEnd"/>
      <w:proofErr w:type="gramEnd"/>
      <w:r w:rsidRPr="00ED3E65">
        <w:rPr>
          <w:rFonts w:ascii="Times New Roman" w:hAnsi="Times New Roman" w:cs="Times New Roman"/>
          <w:sz w:val="24"/>
          <w:szCs w:val="24"/>
        </w:rPr>
        <w:t xml:space="preserve"> to at least ampicillin, streptomycin, a sulfonamide, and tetracycline, but not chloramphenicol.</w:t>
      </w:r>
    </w:p>
    <w:p w:rsidR="00E654FE" w:rsidRDefault="00E654FE" w:rsidP="00E654F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3E6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i</w:t>
      </w:r>
      <w:r w:rsidRPr="00ED3E65">
        <w:rPr>
          <w:rFonts w:ascii="Times New Roman" w:eastAsia="Times New Roman" w:hAnsi="Times New Roman" w:cs="Times New Roman"/>
          <w:color w:val="000000"/>
          <w:sz w:val="24"/>
          <w:szCs w:val="24"/>
        </w:rPr>
        <w:t>Resistant</w:t>
      </w:r>
      <w:proofErr w:type="spellEnd"/>
      <w:proofErr w:type="gramEnd"/>
      <w:r w:rsidRPr="00ED3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at least ampicillin, amoxicillin-clavulanic acid, and ceftriaxone. </w:t>
      </w:r>
    </w:p>
    <w:p w:rsidR="00DC57CC" w:rsidRDefault="00DC57CC" w:rsidP="00E654FE">
      <w:bookmarkStart w:id="0" w:name="_GoBack"/>
      <w:bookmarkEnd w:id="0"/>
    </w:p>
    <w:sectPr w:rsidR="00DC57CC" w:rsidSect="00092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B2" w:rsidRDefault="002A13B2" w:rsidP="008B5D54">
      <w:pPr>
        <w:spacing w:after="0" w:line="240" w:lineRule="auto"/>
      </w:pPr>
      <w:r>
        <w:separator/>
      </w:r>
    </w:p>
  </w:endnote>
  <w:endnote w:type="continuationSeparator" w:id="0">
    <w:p w:rsidR="002A13B2" w:rsidRDefault="002A13B2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B2" w:rsidRDefault="002A13B2" w:rsidP="008B5D54">
      <w:pPr>
        <w:spacing w:after="0" w:line="240" w:lineRule="auto"/>
      </w:pPr>
      <w:r>
        <w:separator/>
      </w:r>
    </w:p>
  </w:footnote>
  <w:footnote w:type="continuationSeparator" w:id="0">
    <w:p w:rsidR="002A13B2" w:rsidRDefault="002A13B2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9D"/>
    <w:rsid w:val="0009229D"/>
    <w:rsid w:val="002A13B2"/>
    <w:rsid w:val="005B47BE"/>
    <w:rsid w:val="006C6578"/>
    <w:rsid w:val="008B5D54"/>
    <w:rsid w:val="00B55735"/>
    <w:rsid w:val="00B608AC"/>
    <w:rsid w:val="00BF0F4B"/>
    <w:rsid w:val="00C80FD8"/>
    <w:rsid w:val="00DC57CC"/>
    <w:rsid w:val="00E6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A2D83D-F355-4EF2-9B29-E5541B9B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LightShading">
    <w:name w:val="Light Shading"/>
    <w:basedOn w:val="TableNormal"/>
    <w:uiPriority w:val="60"/>
    <w:rsid w:val="000922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C2476-B170-4D9A-9DF2-1059D073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Angelo, Kristina (CDC/OID/NCEZID)</dc:creator>
  <cp:keywords/>
  <dc:description/>
  <cp:lastModifiedBy>Angelo, Kristina (CDC/OID/NCEZID)</cp:lastModifiedBy>
  <cp:revision>2</cp:revision>
  <dcterms:created xsi:type="dcterms:W3CDTF">2016-08-11T16:51:00Z</dcterms:created>
  <dcterms:modified xsi:type="dcterms:W3CDTF">2016-08-11T16:52:00Z</dcterms:modified>
</cp:coreProperties>
</file>