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347D0E" w:rsidRPr="008304B1" w14:paraId="702974CB" w14:textId="77777777" w:rsidTr="00054324">
        <w:trPr>
          <w:trHeight w:val="5760"/>
          <w:jc w:val="center"/>
        </w:trPr>
        <w:tc>
          <w:tcPr>
            <w:tcW w:w="10800" w:type="dxa"/>
            <w:shd w:val="clear" w:color="auto" w:fill="auto"/>
          </w:tcPr>
          <w:p w14:paraId="1F2882AA" w14:textId="03CEB11F" w:rsidR="00347D0E" w:rsidRPr="008304B1" w:rsidRDefault="004A46C5" w:rsidP="0027511B">
            <w:pPr>
              <w:pStyle w:val="NPGImage"/>
              <w:rPr>
                <w:rFonts w:cs="Arial"/>
                <w:szCs w:val="18"/>
              </w:rPr>
            </w:pPr>
            <w:r w:rsidRPr="008304B1">
              <w:rPr>
                <w:rFonts w:cs="Arial"/>
                <w:noProof/>
                <w:szCs w:val="18"/>
                <w:lang w:eastAsia="zh-CN"/>
              </w:rPr>
              <w:drawing>
                <wp:inline distT="0" distB="0" distL="0" distR="0" wp14:anchorId="2B6D95DB" wp14:editId="1461B54F">
                  <wp:extent cx="6501384" cy="2179320"/>
                  <wp:effectExtent l="0" t="0" r="127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.S1_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384" cy="217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D0E" w:rsidRPr="008304B1" w14:paraId="211AC545" w14:textId="77777777" w:rsidTr="00054324">
        <w:trPr>
          <w:jc w:val="center"/>
        </w:trPr>
        <w:tc>
          <w:tcPr>
            <w:tcW w:w="10800" w:type="dxa"/>
            <w:shd w:val="clear" w:color="auto" w:fill="auto"/>
          </w:tcPr>
          <w:p w14:paraId="01728311" w14:textId="77777777" w:rsidR="00347D0E" w:rsidRPr="008304B1" w:rsidRDefault="004149D1" w:rsidP="004149D1">
            <w:pPr>
              <w:pStyle w:val="NPGFigNum"/>
              <w:rPr>
                <w:rFonts w:cs="Arial"/>
                <w:b/>
                <w:szCs w:val="18"/>
              </w:rPr>
            </w:pPr>
            <w:r w:rsidRPr="008304B1">
              <w:rPr>
                <w:rFonts w:cs="Arial"/>
                <w:b/>
                <w:szCs w:val="18"/>
              </w:rPr>
              <w:t xml:space="preserve">Supplementary Figure </w:t>
            </w:r>
            <w:r w:rsidR="000E6BFB" w:rsidRPr="008304B1">
              <w:rPr>
                <w:rFonts w:cs="Arial"/>
                <w:b/>
                <w:szCs w:val="18"/>
              </w:rPr>
              <w:fldChar w:fldCharType="begin"/>
            </w:r>
            <w:r w:rsidR="000E6BFB" w:rsidRPr="008304B1">
              <w:rPr>
                <w:rFonts w:cs="Arial"/>
                <w:b/>
                <w:szCs w:val="18"/>
              </w:rPr>
              <w:instrText xml:space="preserve"> SEQ "FigNum"  \* MERGEFORMAT </w:instrText>
            </w:r>
            <w:r w:rsidR="000E6BFB" w:rsidRPr="008304B1">
              <w:rPr>
                <w:rFonts w:cs="Arial"/>
                <w:b/>
                <w:szCs w:val="18"/>
              </w:rPr>
              <w:fldChar w:fldCharType="separate"/>
            </w:r>
            <w:r w:rsidR="004633F4" w:rsidRPr="008304B1">
              <w:rPr>
                <w:rFonts w:cs="Arial"/>
                <w:b/>
                <w:noProof/>
                <w:szCs w:val="18"/>
              </w:rPr>
              <w:t>1</w:t>
            </w:r>
            <w:r w:rsidR="000E6BFB" w:rsidRPr="008304B1">
              <w:rPr>
                <w:rFonts w:cs="Arial"/>
                <w:b/>
                <w:noProof/>
                <w:szCs w:val="18"/>
              </w:rPr>
              <w:fldChar w:fldCharType="end"/>
            </w:r>
          </w:p>
        </w:tc>
      </w:tr>
      <w:tr w:rsidR="00347D0E" w:rsidRPr="008304B1" w14:paraId="1E2975DD" w14:textId="77777777" w:rsidTr="002919F3">
        <w:trPr>
          <w:trHeight w:val="466"/>
          <w:jc w:val="center"/>
        </w:trPr>
        <w:tc>
          <w:tcPr>
            <w:tcW w:w="10800" w:type="dxa"/>
            <w:shd w:val="clear" w:color="auto" w:fill="auto"/>
          </w:tcPr>
          <w:p w14:paraId="1B0EB459" w14:textId="1FA5BEF3" w:rsidR="00347D0E" w:rsidRPr="008304B1" w:rsidRDefault="002919F3" w:rsidP="00AD564B">
            <w:pPr>
              <w:pStyle w:val="NPGTitle"/>
              <w:rPr>
                <w:rFonts w:cs="Arial"/>
                <w:b w:val="0"/>
                <w:szCs w:val="18"/>
              </w:rPr>
            </w:pPr>
            <w:r w:rsidRPr="008304B1">
              <w:rPr>
                <w:rFonts w:cs="Arial"/>
                <w:szCs w:val="18"/>
                <w:vertAlign w:val="superscript"/>
              </w:rPr>
              <w:t>321</w:t>
            </w:r>
            <w:r w:rsidRPr="008304B1">
              <w:rPr>
                <w:rFonts w:cs="Arial"/>
                <w:szCs w:val="18"/>
              </w:rPr>
              <w:t>AMMAAA</w:t>
            </w:r>
            <w:r w:rsidRPr="008304B1">
              <w:rPr>
                <w:rFonts w:cs="Arial"/>
                <w:szCs w:val="18"/>
                <w:vertAlign w:val="superscript"/>
              </w:rPr>
              <w:t>326</w:t>
            </w:r>
            <w:r w:rsidRPr="008304B1">
              <w:rPr>
                <w:rFonts w:cs="Arial"/>
                <w:szCs w:val="18"/>
              </w:rPr>
              <w:t xml:space="preserve"> and </w:t>
            </w:r>
            <w:r w:rsidRPr="008304B1">
              <w:rPr>
                <w:rFonts w:cs="Arial"/>
                <w:szCs w:val="18"/>
                <w:vertAlign w:val="superscript"/>
              </w:rPr>
              <w:t>333</w:t>
            </w:r>
            <w:r w:rsidRPr="008304B1">
              <w:rPr>
                <w:rFonts w:cs="Arial"/>
                <w:szCs w:val="18"/>
              </w:rPr>
              <w:t>SWGMMGMLASQ</w:t>
            </w:r>
            <w:r w:rsidRPr="008304B1">
              <w:rPr>
                <w:rFonts w:cs="Arial"/>
                <w:szCs w:val="18"/>
                <w:vertAlign w:val="superscript"/>
              </w:rPr>
              <w:t>343</w:t>
            </w:r>
            <w:r w:rsidRPr="008304B1">
              <w:rPr>
                <w:rFonts w:cs="Arial"/>
                <w:szCs w:val="18"/>
              </w:rPr>
              <w:t xml:space="preserve"> form anti-parallel steric-zipper structures.</w:t>
            </w:r>
          </w:p>
        </w:tc>
      </w:tr>
      <w:tr w:rsidR="00347D0E" w:rsidRPr="008304B1" w14:paraId="61700EA5" w14:textId="77777777" w:rsidTr="00054324">
        <w:trPr>
          <w:jc w:val="center"/>
        </w:trPr>
        <w:tc>
          <w:tcPr>
            <w:tcW w:w="10800" w:type="dxa"/>
            <w:shd w:val="clear" w:color="auto" w:fill="auto"/>
          </w:tcPr>
          <w:p w14:paraId="33FABF59" w14:textId="358B8CF4" w:rsidR="002919F3" w:rsidRPr="008304B1" w:rsidRDefault="002919F3" w:rsidP="002919F3">
            <w:pPr>
              <w:outlineLvl w:val="0"/>
              <w:rPr>
                <w:rFonts w:ascii="Arial" w:hAnsi="Arial" w:cs="Arial"/>
                <w:sz w:val="18"/>
                <w:szCs w:val="18"/>
              </w:rPr>
            </w:pPr>
            <w:r w:rsidRPr="008304B1">
              <w:rPr>
                <w:rFonts w:ascii="Arial" w:hAnsi="Arial" w:cs="Arial"/>
                <w:sz w:val="18"/>
                <w:szCs w:val="18"/>
              </w:rPr>
              <w:t xml:space="preserve">Views </w:t>
            </w:r>
            <w:r w:rsidRPr="008304B1">
              <w:rPr>
                <w:rFonts w:ascii="Arial" w:hAnsi="Arial" w:cs="Arial"/>
                <w:sz w:val="18"/>
                <w:szCs w:val="18"/>
              </w:rPr>
              <w:t xml:space="preserve">perpendicular to the fibril axis (vertical) are shown for three steric-zipper structures of Fig. 1. </w:t>
            </w:r>
            <w:r w:rsidRPr="008304B1">
              <w:rPr>
                <w:rFonts w:ascii="Arial" w:hAnsi="Arial" w:cs="Arial"/>
                <w:sz w:val="18"/>
                <w:szCs w:val="18"/>
                <w:vertAlign w:val="superscript"/>
              </w:rPr>
              <w:t>321</w:t>
            </w:r>
            <w:r w:rsidRPr="008304B1">
              <w:rPr>
                <w:rFonts w:ascii="Arial" w:hAnsi="Arial" w:cs="Arial"/>
                <w:sz w:val="18"/>
                <w:szCs w:val="18"/>
              </w:rPr>
              <w:t>AMMAAA</w:t>
            </w:r>
            <w:r w:rsidRPr="008304B1">
              <w:rPr>
                <w:rFonts w:ascii="Arial" w:hAnsi="Arial" w:cs="Arial"/>
                <w:sz w:val="18"/>
                <w:szCs w:val="18"/>
                <w:vertAlign w:val="superscript"/>
              </w:rPr>
              <w:t>326</w:t>
            </w:r>
            <w:r w:rsidRPr="008304B1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8304B1">
              <w:rPr>
                <w:rFonts w:ascii="Arial" w:hAnsi="Arial" w:cs="Arial"/>
                <w:sz w:val="18"/>
                <w:szCs w:val="18"/>
                <w:vertAlign w:val="superscript"/>
              </w:rPr>
              <w:t>333</w:t>
            </w:r>
            <w:r w:rsidRPr="008304B1">
              <w:rPr>
                <w:rFonts w:ascii="Arial" w:hAnsi="Arial" w:cs="Arial"/>
                <w:sz w:val="18"/>
                <w:szCs w:val="18"/>
              </w:rPr>
              <w:t>SWGMMGMLASQ</w:t>
            </w:r>
            <w:r w:rsidRPr="008304B1">
              <w:rPr>
                <w:rFonts w:ascii="Arial" w:hAnsi="Arial" w:cs="Arial"/>
                <w:sz w:val="18"/>
                <w:szCs w:val="18"/>
                <w:vertAlign w:val="superscript"/>
              </w:rPr>
              <w:t>343</w:t>
            </w:r>
            <w:r w:rsidRPr="008304B1">
              <w:rPr>
                <w:rFonts w:ascii="Arial" w:hAnsi="Arial" w:cs="Arial"/>
                <w:sz w:val="18"/>
                <w:szCs w:val="18"/>
              </w:rPr>
              <w:t xml:space="preserve"> are two zippers that adopt anti-parallel packing, as shown by the alternating orientation of arrows representing the direction of strands. </w:t>
            </w:r>
            <w:r w:rsidRPr="008304B1">
              <w:rPr>
                <w:rFonts w:ascii="Arial" w:hAnsi="Arial" w:cs="Arial"/>
                <w:sz w:val="18"/>
                <w:szCs w:val="18"/>
                <w:vertAlign w:val="superscript"/>
              </w:rPr>
              <w:t>328</w:t>
            </w:r>
            <w:r w:rsidRPr="008304B1">
              <w:rPr>
                <w:rFonts w:ascii="Arial" w:hAnsi="Arial" w:cs="Arial"/>
                <w:sz w:val="18"/>
                <w:szCs w:val="18"/>
              </w:rPr>
              <w:t>AALOSS</w:t>
            </w:r>
            <w:r w:rsidRPr="008304B1">
              <w:rPr>
                <w:rFonts w:ascii="Arial" w:hAnsi="Arial" w:cs="Arial"/>
                <w:sz w:val="18"/>
                <w:szCs w:val="18"/>
                <w:vertAlign w:val="superscript"/>
              </w:rPr>
              <w:t>333</w:t>
            </w:r>
            <w:r w:rsidRPr="008304B1">
              <w:rPr>
                <w:rFonts w:ascii="Arial" w:hAnsi="Arial" w:cs="Arial"/>
                <w:sz w:val="18"/>
                <w:szCs w:val="18"/>
              </w:rPr>
              <w:t xml:space="preserve"> is shown as an example of the zippers which adopt parallel packing, as shown by the same orientation of arrows in each sheet.</w:t>
            </w:r>
          </w:p>
          <w:p w14:paraId="379B71F8" w14:textId="2A5257B0" w:rsidR="00347D0E" w:rsidRPr="008304B1" w:rsidRDefault="00347D0E" w:rsidP="00013E00">
            <w:pPr>
              <w:pStyle w:val="NPGCaption"/>
              <w:rPr>
                <w:rFonts w:cs="Arial"/>
                <w:szCs w:val="18"/>
              </w:rPr>
            </w:pPr>
          </w:p>
        </w:tc>
      </w:tr>
      <w:tr w:rsidR="00F74F40" w:rsidRPr="008304B1" w14:paraId="77EC1C53" w14:textId="77777777" w:rsidTr="00054324">
        <w:trPr>
          <w:trHeight w:val="5760"/>
          <w:jc w:val="center"/>
        </w:trPr>
        <w:tc>
          <w:tcPr>
            <w:tcW w:w="10800" w:type="dxa"/>
            <w:shd w:val="clear" w:color="auto" w:fill="auto"/>
          </w:tcPr>
          <w:p w14:paraId="22EEC67B" w14:textId="77777777" w:rsidR="00EB0B64" w:rsidRPr="008304B1" w:rsidRDefault="00EB0B64" w:rsidP="00B053E8">
            <w:pPr>
              <w:pStyle w:val="NPGImage"/>
              <w:jc w:val="left"/>
              <w:rPr>
                <w:rFonts w:cs="Arial"/>
                <w:noProof/>
                <w:szCs w:val="18"/>
              </w:rPr>
            </w:pPr>
          </w:p>
          <w:p w14:paraId="3D411DCC" w14:textId="2B53759C" w:rsidR="001669F4" w:rsidRPr="008304B1" w:rsidRDefault="001669F4" w:rsidP="001669F4">
            <w:pPr>
              <w:pStyle w:val="NPGImage"/>
              <w:jc w:val="left"/>
              <w:rPr>
                <w:rFonts w:cs="Arial"/>
                <w:szCs w:val="18"/>
              </w:rPr>
            </w:pPr>
            <w:r w:rsidRPr="008304B1">
              <w:rPr>
                <w:rFonts w:cs="Arial"/>
                <w:noProof/>
                <w:szCs w:val="18"/>
                <w:lang w:eastAsia="zh-CN"/>
              </w:rPr>
              <w:drawing>
                <wp:inline distT="0" distB="0" distL="0" distR="0" wp14:anchorId="3BD3A3AF" wp14:editId="03FB9CAF">
                  <wp:extent cx="3224784" cy="1609344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.S2_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784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E994D" w14:textId="0A75F7C6" w:rsidR="00F74F40" w:rsidRPr="008304B1" w:rsidRDefault="00F74F40" w:rsidP="00B053E8">
            <w:pPr>
              <w:pStyle w:val="NPGImage"/>
              <w:rPr>
                <w:rFonts w:cs="Arial"/>
                <w:szCs w:val="18"/>
              </w:rPr>
            </w:pPr>
          </w:p>
        </w:tc>
      </w:tr>
      <w:tr w:rsidR="00F74F40" w:rsidRPr="008304B1" w14:paraId="165F684F" w14:textId="77777777" w:rsidTr="00054324">
        <w:trPr>
          <w:jc w:val="center"/>
        </w:trPr>
        <w:tc>
          <w:tcPr>
            <w:tcW w:w="10800" w:type="dxa"/>
            <w:shd w:val="clear" w:color="auto" w:fill="auto"/>
          </w:tcPr>
          <w:p w14:paraId="38079802" w14:textId="77777777" w:rsidR="00F74F40" w:rsidRPr="008304B1" w:rsidRDefault="00F74F40" w:rsidP="000E6BFB">
            <w:pPr>
              <w:pStyle w:val="NPGFigNum"/>
              <w:rPr>
                <w:rFonts w:cs="Arial"/>
                <w:b/>
                <w:szCs w:val="18"/>
              </w:rPr>
            </w:pPr>
            <w:r w:rsidRPr="008304B1">
              <w:rPr>
                <w:rFonts w:cs="Arial"/>
                <w:b/>
                <w:szCs w:val="18"/>
              </w:rPr>
              <w:t xml:space="preserve">Supplementary Figure </w:t>
            </w:r>
            <w:r w:rsidR="00AD02DE" w:rsidRPr="008304B1">
              <w:rPr>
                <w:rFonts w:cs="Arial"/>
                <w:b/>
                <w:szCs w:val="18"/>
              </w:rPr>
              <w:fldChar w:fldCharType="begin"/>
            </w:r>
            <w:r w:rsidR="00AD02DE" w:rsidRPr="008304B1">
              <w:rPr>
                <w:rFonts w:cs="Arial"/>
                <w:b/>
                <w:szCs w:val="18"/>
              </w:rPr>
              <w:instrText xml:space="preserve"> SEQ "FigNum"  \* MERGEFORMAT </w:instrText>
            </w:r>
            <w:r w:rsidR="00AD02DE" w:rsidRPr="008304B1">
              <w:rPr>
                <w:rFonts w:cs="Arial"/>
                <w:b/>
                <w:szCs w:val="18"/>
              </w:rPr>
              <w:fldChar w:fldCharType="separate"/>
            </w:r>
            <w:r w:rsidR="004633F4" w:rsidRPr="008304B1">
              <w:rPr>
                <w:rFonts w:cs="Arial"/>
                <w:b/>
                <w:noProof/>
                <w:szCs w:val="18"/>
              </w:rPr>
              <w:t>2</w:t>
            </w:r>
            <w:r w:rsidR="00AD02DE" w:rsidRPr="008304B1">
              <w:rPr>
                <w:rFonts w:cs="Arial"/>
                <w:b/>
                <w:noProof/>
                <w:szCs w:val="18"/>
              </w:rPr>
              <w:fldChar w:fldCharType="end"/>
            </w:r>
          </w:p>
        </w:tc>
      </w:tr>
      <w:tr w:rsidR="00AD564B" w:rsidRPr="008304B1" w14:paraId="32779F82" w14:textId="77777777" w:rsidTr="00AB0AF0">
        <w:trPr>
          <w:jc w:val="center"/>
        </w:trPr>
        <w:tc>
          <w:tcPr>
            <w:tcW w:w="10800" w:type="dxa"/>
            <w:shd w:val="clear" w:color="auto" w:fill="auto"/>
          </w:tcPr>
          <w:p w14:paraId="65316189" w14:textId="772316EB" w:rsidR="00AD564B" w:rsidRPr="008304B1" w:rsidRDefault="001669F4" w:rsidP="00AB0AF0">
            <w:pPr>
              <w:pStyle w:val="NPGTitle"/>
              <w:rPr>
                <w:rFonts w:cs="Arial"/>
                <w:b w:val="0"/>
                <w:szCs w:val="18"/>
              </w:rPr>
            </w:pPr>
            <w:r w:rsidRPr="008304B1">
              <w:rPr>
                <w:rFonts w:cs="Arial"/>
                <w:szCs w:val="18"/>
              </w:rPr>
              <w:t>Validation of TDP-CTF and TDP-LCD constructs.</w:t>
            </w:r>
          </w:p>
        </w:tc>
      </w:tr>
      <w:tr w:rsidR="00F74F40" w:rsidRPr="008304B1" w14:paraId="538A380C" w14:textId="77777777" w:rsidTr="00054324">
        <w:trPr>
          <w:jc w:val="center"/>
        </w:trPr>
        <w:tc>
          <w:tcPr>
            <w:tcW w:w="10800" w:type="dxa"/>
            <w:shd w:val="clear" w:color="auto" w:fill="auto"/>
          </w:tcPr>
          <w:p w14:paraId="322F16CB" w14:textId="3A319CDE" w:rsidR="00F74F40" w:rsidRPr="008304B1" w:rsidRDefault="001669F4" w:rsidP="00013E00">
            <w:pPr>
              <w:pStyle w:val="NPGCaption"/>
              <w:rPr>
                <w:rFonts w:cs="Arial"/>
                <w:szCs w:val="18"/>
              </w:rPr>
            </w:pPr>
            <w:r w:rsidRPr="008304B1">
              <w:rPr>
                <w:rFonts w:cs="Arial"/>
                <w:szCs w:val="18"/>
              </w:rPr>
              <w:t xml:space="preserve">The SUMO tagged TDP-CTF and TDP-LCD were analyzed by SDS-PAGE and stained with </w:t>
            </w:r>
            <w:proofErr w:type="spellStart"/>
            <w:r w:rsidRPr="008304B1">
              <w:rPr>
                <w:rFonts w:cs="Arial"/>
                <w:szCs w:val="18"/>
              </w:rPr>
              <w:t>coomassie</w:t>
            </w:r>
            <w:proofErr w:type="spellEnd"/>
            <w:r w:rsidRPr="008304B1">
              <w:rPr>
                <w:rFonts w:cs="Arial"/>
                <w:szCs w:val="18"/>
              </w:rPr>
              <w:t xml:space="preserve"> blue and anti-TDP</w:t>
            </w:r>
            <w:r w:rsidRPr="008304B1">
              <w:rPr>
                <w:rFonts w:cs="Arial"/>
                <w:szCs w:val="18"/>
              </w:rPr>
              <w:t>-</w:t>
            </w:r>
            <w:r w:rsidRPr="008304B1">
              <w:rPr>
                <w:rFonts w:cs="Arial"/>
                <w:szCs w:val="18"/>
              </w:rPr>
              <w:t>43 antibody. For TDP-CTF, notice that 1 hour after (1h) ULP1 cleavage, it generates SUMO protein and tag-free TDP-CTF, and both SUMO-tagged and tag-free TDP-CTF can be recognized by anti-TDP</w:t>
            </w:r>
            <w:r w:rsidRPr="008304B1">
              <w:rPr>
                <w:rFonts w:cs="Arial"/>
                <w:szCs w:val="18"/>
              </w:rPr>
              <w:t>-</w:t>
            </w:r>
            <w:r w:rsidRPr="008304B1">
              <w:rPr>
                <w:rFonts w:cs="Arial"/>
                <w:szCs w:val="18"/>
              </w:rPr>
              <w:t>43 antibody. SUMO tagged TDP-LCD also can be recognized by anti-TDP</w:t>
            </w:r>
            <w:r w:rsidRPr="008304B1">
              <w:rPr>
                <w:rFonts w:cs="Arial"/>
                <w:szCs w:val="18"/>
              </w:rPr>
              <w:t>-</w:t>
            </w:r>
            <w:r w:rsidRPr="008304B1">
              <w:rPr>
                <w:rFonts w:cs="Arial"/>
                <w:szCs w:val="18"/>
              </w:rPr>
              <w:t xml:space="preserve">43 antibody, and generates SUMO protein and tag-free TDP-LCD after cleavage. The molecular weight of SUMO and tag-free TDP-LCD are so close to each other that the two bands are indistinguishable on SDS-PAGE when stained by </w:t>
            </w:r>
            <w:proofErr w:type="spellStart"/>
            <w:r w:rsidRPr="008304B1">
              <w:rPr>
                <w:rFonts w:cs="Arial"/>
                <w:szCs w:val="18"/>
              </w:rPr>
              <w:t>coomassie</w:t>
            </w:r>
            <w:proofErr w:type="spellEnd"/>
            <w:r w:rsidRPr="008304B1">
              <w:rPr>
                <w:rFonts w:cs="Arial"/>
                <w:szCs w:val="18"/>
              </w:rPr>
              <w:t xml:space="preserve"> blue. However, the existence of tag-free TDP-LCD can be detected by anti-TDP</w:t>
            </w:r>
            <w:r w:rsidRPr="008304B1">
              <w:rPr>
                <w:rFonts w:cs="Arial"/>
                <w:szCs w:val="18"/>
              </w:rPr>
              <w:t>-</w:t>
            </w:r>
            <w:r w:rsidRPr="008304B1">
              <w:rPr>
                <w:rFonts w:cs="Arial"/>
                <w:szCs w:val="18"/>
              </w:rPr>
              <w:t>43 antibody, forming a band (although very dim) at its expected position. Tag-free TDP-LCD can also be detected by SDS-PAGE of the TDP-LCD pellet, showing a band at its expected position, and SUMO protein remains soluble as shown in Fig. 2A.</w:t>
            </w:r>
          </w:p>
        </w:tc>
      </w:tr>
      <w:tr w:rsidR="00F74F40" w:rsidRPr="008304B1" w14:paraId="48FC3A4F" w14:textId="77777777" w:rsidTr="00054324">
        <w:trPr>
          <w:trHeight w:val="5760"/>
          <w:jc w:val="center"/>
        </w:trPr>
        <w:tc>
          <w:tcPr>
            <w:tcW w:w="10800" w:type="dxa"/>
            <w:shd w:val="clear" w:color="auto" w:fill="auto"/>
          </w:tcPr>
          <w:p w14:paraId="7894F714" w14:textId="77777777" w:rsidR="00EB0B64" w:rsidRPr="008304B1" w:rsidRDefault="00EB0B64" w:rsidP="00B053E8">
            <w:pPr>
              <w:pStyle w:val="NPGImage"/>
              <w:jc w:val="left"/>
              <w:rPr>
                <w:rFonts w:cs="Arial"/>
                <w:noProof/>
                <w:szCs w:val="18"/>
              </w:rPr>
            </w:pPr>
          </w:p>
          <w:p w14:paraId="24B4D92C" w14:textId="0345D220" w:rsidR="00F74F40" w:rsidRPr="008304B1" w:rsidRDefault="00704EF0" w:rsidP="00B053E8">
            <w:pPr>
              <w:pStyle w:val="NPGImage"/>
              <w:rPr>
                <w:rFonts w:cs="Arial"/>
                <w:szCs w:val="18"/>
              </w:rPr>
            </w:pPr>
            <w:r w:rsidRPr="008304B1">
              <w:rPr>
                <w:rFonts w:cs="Arial"/>
                <w:noProof/>
                <w:szCs w:val="18"/>
                <w:lang w:eastAsia="zh-CN"/>
              </w:rPr>
              <w:drawing>
                <wp:inline distT="0" distB="0" distL="0" distR="0" wp14:anchorId="289ACF06" wp14:editId="0EBCB16D">
                  <wp:extent cx="5733288" cy="7373112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.S3_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288" cy="737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F40" w:rsidRPr="008304B1" w14:paraId="6AAFDBCC" w14:textId="77777777" w:rsidTr="00054324">
        <w:trPr>
          <w:jc w:val="center"/>
        </w:trPr>
        <w:tc>
          <w:tcPr>
            <w:tcW w:w="10800" w:type="dxa"/>
            <w:shd w:val="clear" w:color="auto" w:fill="auto"/>
          </w:tcPr>
          <w:p w14:paraId="0F55D3ED" w14:textId="77777777" w:rsidR="00F74F40" w:rsidRPr="008304B1" w:rsidRDefault="00F74F40" w:rsidP="000E6BFB">
            <w:pPr>
              <w:pStyle w:val="NPGFigNum"/>
              <w:rPr>
                <w:rFonts w:cs="Arial"/>
                <w:b/>
                <w:szCs w:val="18"/>
              </w:rPr>
            </w:pPr>
            <w:r w:rsidRPr="008304B1">
              <w:rPr>
                <w:rFonts w:cs="Arial"/>
                <w:b/>
                <w:szCs w:val="18"/>
              </w:rPr>
              <w:t xml:space="preserve">Supplementary Figure </w:t>
            </w:r>
            <w:r w:rsidR="00AD02DE" w:rsidRPr="008304B1">
              <w:rPr>
                <w:rFonts w:cs="Arial"/>
                <w:b/>
                <w:szCs w:val="18"/>
              </w:rPr>
              <w:fldChar w:fldCharType="begin"/>
            </w:r>
            <w:r w:rsidR="00AD02DE" w:rsidRPr="008304B1">
              <w:rPr>
                <w:rFonts w:cs="Arial"/>
                <w:b/>
                <w:szCs w:val="18"/>
              </w:rPr>
              <w:instrText xml:space="preserve"> SEQ "FigNum"  \* MERGEFORMAT </w:instrText>
            </w:r>
            <w:r w:rsidR="00AD02DE" w:rsidRPr="008304B1">
              <w:rPr>
                <w:rFonts w:cs="Arial"/>
                <w:b/>
                <w:szCs w:val="18"/>
              </w:rPr>
              <w:fldChar w:fldCharType="separate"/>
            </w:r>
            <w:r w:rsidR="004633F4" w:rsidRPr="008304B1">
              <w:rPr>
                <w:rFonts w:cs="Arial"/>
                <w:b/>
                <w:noProof/>
                <w:szCs w:val="18"/>
              </w:rPr>
              <w:t>3</w:t>
            </w:r>
            <w:r w:rsidR="00AD02DE" w:rsidRPr="008304B1">
              <w:rPr>
                <w:rFonts w:cs="Arial"/>
                <w:b/>
                <w:noProof/>
                <w:szCs w:val="18"/>
              </w:rPr>
              <w:fldChar w:fldCharType="end"/>
            </w:r>
          </w:p>
        </w:tc>
      </w:tr>
      <w:tr w:rsidR="00F74F40" w:rsidRPr="008304B1" w14:paraId="6FBC8756" w14:textId="77777777" w:rsidTr="00054324">
        <w:trPr>
          <w:jc w:val="center"/>
        </w:trPr>
        <w:tc>
          <w:tcPr>
            <w:tcW w:w="10800" w:type="dxa"/>
            <w:shd w:val="clear" w:color="auto" w:fill="auto"/>
          </w:tcPr>
          <w:p w14:paraId="779023DB" w14:textId="262A4BBE" w:rsidR="00F74F40" w:rsidRPr="008304B1" w:rsidRDefault="00704EF0" w:rsidP="000E6BFB">
            <w:pPr>
              <w:pStyle w:val="NPGTitle"/>
              <w:rPr>
                <w:rFonts w:cs="Arial"/>
                <w:b w:val="0"/>
                <w:szCs w:val="18"/>
              </w:rPr>
            </w:pPr>
            <w:r w:rsidRPr="008304B1">
              <w:rPr>
                <w:rFonts w:cs="Arial"/>
                <w:szCs w:val="18"/>
              </w:rPr>
              <w:t xml:space="preserve">Positive control of denaturing conditions shown in Fig. 3B, and structural details of </w:t>
            </w:r>
            <w:r w:rsidRPr="008304B1">
              <w:rPr>
                <w:rFonts w:cs="Arial"/>
                <w:bCs/>
                <w:szCs w:val="18"/>
                <w:vertAlign w:val="superscript"/>
              </w:rPr>
              <w:t>312</w:t>
            </w:r>
            <w:r w:rsidRPr="008304B1">
              <w:rPr>
                <w:rFonts w:cs="Arial"/>
                <w:bCs/>
                <w:szCs w:val="18"/>
              </w:rPr>
              <w:t>NFGEFS</w:t>
            </w:r>
            <w:r w:rsidRPr="008304B1">
              <w:rPr>
                <w:rFonts w:cs="Arial"/>
                <w:bCs/>
                <w:szCs w:val="18"/>
                <w:vertAlign w:val="superscript"/>
              </w:rPr>
              <w:t>317</w:t>
            </w:r>
            <w:r w:rsidRPr="008304B1">
              <w:rPr>
                <w:rFonts w:cs="Arial"/>
                <w:bCs/>
                <w:szCs w:val="18"/>
              </w:rPr>
              <w:t xml:space="preserve"> and </w:t>
            </w:r>
            <w:r w:rsidRPr="008304B1">
              <w:rPr>
                <w:rFonts w:cs="Arial"/>
                <w:bCs/>
                <w:szCs w:val="18"/>
                <w:vertAlign w:val="superscript"/>
              </w:rPr>
              <w:t>312</w:t>
            </w:r>
            <w:r w:rsidRPr="008304B1">
              <w:rPr>
                <w:rFonts w:cs="Arial"/>
                <w:bCs/>
                <w:szCs w:val="18"/>
              </w:rPr>
              <w:t>NFGpTFS</w:t>
            </w:r>
            <w:r w:rsidRPr="008304B1">
              <w:rPr>
                <w:rFonts w:cs="Arial"/>
                <w:bCs/>
                <w:szCs w:val="18"/>
                <w:vertAlign w:val="superscript"/>
              </w:rPr>
              <w:t>317</w:t>
            </w:r>
            <w:r w:rsidRPr="008304B1">
              <w:rPr>
                <w:rFonts w:cs="Arial"/>
                <w:szCs w:val="18"/>
              </w:rPr>
              <w:t>.</w:t>
            </w:r>
          </w:p>
        </w:tc>
      </w:tr>
      <w:tr w:rsidR="00F74F40" w:rsidRPr="008304B1" w14:paraId="6B170921" w14:textId="77777777" w:rsidTr="00054324">
        <w:trPr>
          <w:jc w:val="center"/>
        </w:trPr>
        <w:tc>
          <w:tcPr>
            <w:tcW w:w="10800" w:type="dxa"/>
            <w:shd w:val="clear" w:color="auto" w:fill="auto"/>
          </w:tcPr>
          <w:p w14:paraId="2EA0D4F8" w14:textId="4939651A" w:rsidR="00F74F40" w:rsidRPr="008304B1" w:rsidRDefault="00704EF0" w:rsidP="00013E00">
            <w:pPr>
              <w:pStyle w:val="NPGCaption"/>
              <w:rPr>
                <w:rFonts w:cs="Arial"/>
                <w:szCs w:val="18"/>
              </w:rPr>
            </w:pPr>
            <w:r w:rsidRPr="008304B1">
              <w:rPr>
                <w:rFonts w:cs="Arial"/>
                <w:szCs w:val="18"/>
              </w:rPr>
              <w:lastRenderedPageBreak/>
              <w:t>(A) Negative stain EM images of A</w:t>
            </w:r>
            <w:r w:rsidR="00652CDC">
              <w:rPr>
                <w:rFonts w:ascii="Symbol" w:hAnsi="Symbol" w:cs="Arial"/>
                <w:bCs/>
                <w:szCs w:val="18"/>
              </w:rPr>
              <w:sym w:font="Symbol" w:char="F062"/>
            </w:r>
            <w:r w:rsidRPr="008304B1">
              <w:rPr>
                <w:rFonts w:cs="Arial"/>
                <w:bCs/>
                <w:szCs w:val="18"/>
              </w:rPr>
              <w:t xml:space="preserve">1-42 fibrils, typical amyloid fibrils, before and after treatment with 2% SDS and 70 </w:t>
            </w:r>
            <w:r w:rsidRPr="008304B1">
              <w:rPr>
                <w:rFonts w:cs="Arial"/>
                <w:szCs w:val="18"/>
              </w:rPr>
              <w:sym w:font="Symbol" w:char="F0B0"/>
            </w:r>
            <w:r w:rsidRPr="008304B1">
              <w:rPr>
                <w:rFonts w:cs="Arial"/>
                <w:szCs w:val="18"/>
              </w:rPr>
              <w:t>C</w:t>
            </w:r>
            <w:r w:rsidRPr="008304B1">
              <w:rPr>
                <w:rFonts w:cs="Arial"/>
                <w:bCs/>
                <w:szCs w:val="18"/>
              </w:rPr>
              <w:t xml:space="preserve"> for 15 mins. Notice that </w:t>
            </w:r>
            <w:r w:rsidRPr="008304B1">
              <w:rPr>
                <w:rFonts w:cs="Arial"/>
                <w:szCs w:val="18"/>
              </w:rPr>
              <w:t>A</w:t>
            </w:r>
            <w:r w:rsidR="00652CDC">
              <w:rPr>
                <w:rFonts w:ascii="Symbol" w:hAnsi="Symbol" w:cs="Arial"/>
                <w:bCs/>
                <w:szCs w:val="18"/>
              </w:rPr>
              <w:sym w:font="Symbol" w:char="F062"/>
            </w:r>
            <w:r w:rsidRPr="008304B1">
              <w:rPr>
                <w:rFonts w:cs="Arial"/>
                <w:bCs/>
                <w:szCs w:val="18"/>
              </w:rPr>
              <w:t xml:space="preserve">1-42 fibrils are stable and maintain their morphology after treatment in denaturing conditions. Scale bar = 200 nm. (B) Omit map of phosphate in </w:t>
            </w:r>
            <w:r w:rsidRPr="008304B1">
              <w:rPr>
                <w:rFonts w:cs="Arial"/>
                <w:bCs/>
                <w:szCs w:val="18"/>
                <w:vertAlign w:val="superscript"/>
              </w:rPr>
              <w:t>312</w:t>
            </w:r>
            <w:r w:rsidRPr="008304B1">
              <w:rPr>
                <w:rFonts w:cs="Arial"/>
                <w:bCs/>
                <w:szCs w:val="18"/>
              </w:rPr>
              <w:t>NFGpTFS</w:t>
            </w:r>
            <w:r w:rsidRPr="008304B1">
              <w:rPr>
                <w:rFonts w:cs="Arial"/>
                <w:bCs/>
                <w:szCs w:val="18"/>
                <w:vertAlign w:val="superscript"/>
              </w:rPr>
              <w:t>317</w:t>
            </w:r>
            <w:r w:rsidRPr="008304B1">
              <w:rPr>
                <w:rFonts w:cs="Arial"/>
                <w:bCs/>
                <w:szCs w:val="18"/>
              </w:rPr>
              <w:t xml:space="preserve"> structure viewed from two angles. Green mesh shows the electron density of the </w:t>
            </w:r>
            <w:proofErr w:type="spellStart"/>
            <w:r w:rsidRPr="008304B1">
              <w:rPr>
                <w:rFonts w:cs="Arial"/>
                <w:bCs/>
                <w:szCs w:val="18"/>
              </w:rPr>
              <w:t>Fo</w:t>
            </w:r>
            <w:proofErr w:type="spellEnd"/>
            <w:r w:rsidRPr="008304B1">
              <w:rPr>
                <w:rFonts w:cs="Arial"/>
                <w:bCs/>
                <w:szCs w:val="18"/>
              </w:rPr>
              <w:t xml:space="preserve">-Fc map with sigma &gt; 4.5. Notice that the electron density of the same map with sigma &lt;-4.5 is also computed as red mesh, however there is no observable negative density. TPO: phosphorylated threonine. (C) Hydrogen bond networks that stabilizes the packing of </w:t>
            </w:r>
            <w:r w:rsidRPr="008304B1">
              <w:rPr>
                <w:rFonts w:cs="Arial"/>
                <w:bCs/>
                <w:szCs w:val="18"/>
                <w:vertAlign w:val="superscript"/>
              </w:rPr>
              <w:t>312</w:t>
            </w:r>
            <w:r w:rsidRPr="008304B1">
              <w:rPr>
                <w:rFonts w:cs="Arial"/>
                <w:bCs/>
                <w:szCs w:val="18"/>
              </w:rPr>
              <w:t>NFGEFS</w:t>
            </w:r>
            <w:r w:rsidRPr="008304B1">
              <w:rPr>
                <w:rFonts w:cs="Arial"/>
                <w:bCs/>
                <w:szCs w:val="18"/>
                <w:vertAlign w:val="superscript"/>
              </w:rPr>
              <w:t>317</w:t>
            </w:r>
            <w:r w:rsidRPr="008304B1">
              <w:rPr>
                <w:rFonts w:cs="Arial"/>
                <w:bCs/>
                <w:szCs w:val="18"/>
              </w:rPr>
              <w:t xml:space="preserve"> and </w:t>
            </w:r>
            <w:r w:rsidRPr="008304B1">
              <w:rPr>
                <w:rFonts w:cs="Arial"/>
                <w:bCs/>
                <w:szCs w:val="18"/>
                <w:vertAlign w:val="superscript"/>
              </w:rPr>
              <w:t>312</w:t>
            </w:r>
            <w:r w:rsidRPr="008304B1">
              <w:rPr>
                <w:rFonts w:cs="Arial"/>
                <w:bCs/>
                <w:szCs w:val="18"/>
              </w:rPr>
              <w:t>NFGpTFS</w:t>
            </w:r>
            <w:r w:rsidRPr="008304B1">
              <w:rPr>
                <w:rFonts w:cs="Arial"/>
                <w:bCs/>
                <w:szCs w:val="18"/>
                <w:vertAlign w:val="superscript"/>
              </w:rPr>
              <w:t>317</w:t>
            </w:r>
            <w:r w:rsidRPr="008304B1">
              <w:rPr>
                <w:rFonts w:cs="Arial"/>
                <w:bCs/>
                <w:szCs w:val="18"/>
              </w:rPr>
              <w:t xml:space="preserve">. In each structure, three </w:t>
            </w:r>
            <w:proofErr w:type="spellStart"/>
            <w:r w:rsidRPr="008304B1">
              <w:rPr>
                <w:rFonts w:cs="Arial"/>
                <w:bCs/>
                <w:szCs w:val="18"/>
              </w:rPr>
              <w:t>Glu</w:t>
            </w:r>
            <w:proofErr w:type="spellEnd"/>
            <w:r w:rsidRPr="008304B1">
              <w:rPr>
                <w:rFonts w:cs="Arial"/>
                <w:bCs/>
                <w:szCs w:val="18"/>
              </w:rPr>
              <w:t>/</w:t>
            </w:r>
            <w:proofErr w:type="spellStart"/>
            <w:r w:rsidRPr="008304B1">
              <w:rPr>
                <w:rFonts w:cs="Arial"/>
                <w:bCs/>
                <w:szCs w:val="18"/>
              </w:rPr>
              <w:t>pThr</w:t>
            </w:r>
            <w:proofErr w:type="spellEnd"/>
            <w:r w:rsidRPr="008304B1">
              <w:rPr>
                <w:rFonts w:cs="Arial"/>
                <w:bCs/>
                <w:szCs w:val="18"/>
              </w:rPr>
              <w:t xml:space="preserve"> residues from three adjacent strands of same sheet are shown, as well as the residues hydrogen-bonded to them. The hydrogen bonds formed by all </w:t>
            </w:r>
            <w:proofErr w:type="spellStart"/>
            <w:r w:rsidRPr="008304B1">
              <w:rPr>
                <w:rFonts w:cs="Arial"/>
                <w:bCs/>
                <w:szCs w:val="18"/>
              </w:rPr>
              <w:t>Glu</w:t>
            </w:r>
            <w:proofErr w:type="spellEnd"/>
            <w:r w:rsidRPr="008304B1">
              <w:rPr>
                <w:rFonts w:cs="Arial"/>
                <w:bCs/>
                <w:szCs w:val="18"/>
              </w:rPr>
              <w:t xml:space="preserve"> and the central </w:t>
            </w:r>
            <w:proofErr w:type="spellStart"/>
            <w:r w:rsidRPr="008304B1">
              <w:rPr>
                <w:rFonts w:cs="Arial"/>
                <w:bCs/>
                <w:szCs w:val="18"/>
              </w:rPr>
              <w:t>pThr</w:t>
            </w:r>
            <w:proofErr w:type="spellEnd"/>
            <w:r w:rsidRPr="008304B1">
              <w:rPr>
                <w:rFonts w:cs="Arial"/>
                <w:bCs/>
                <w:szCs w:val="18"/>
              </w:rPr>
              <w:t xml:space="preserve"> are shown as yellow dash lines, with distances between 2.3 and 3.2 </w:t>
            </w:r>
            <w:r w:rsidRPr="008304B1">
              <w:rPr>
                <w:rFonts w:cs="Arial"/>
                <w:szCs w:val="18"/>
              </w:rPr>
              <w:t>Å.</w:t>
            </w:r>
            <w:bookmarkStart w:id="0" w:name="_GoBack"/>
            <w:bookmarkEnd w:id="0"/>
          </w:p>
        </w:tc>
      </w:tr>
    </w:tbl>
    <w:p w14:paraId="01696B09" w14:textId="77777777" w:rsidR="0086131E" w:rsidRPr="008304B1" w:rsidRDefault="0086131E" w:rsidP="00F74F40">
      <w:pPr>
        <w:rPr>
          <w:rFonts w:ascii="Arial" w:hAnsi="Arial" w:cs="Arial"/>
          <w:sz w:val="18"/>
          <w:szCs w:val="18"/>
        </w:rPr>
        <w:sectPr w:rsidR="0086131E" w:rsidRPr="008304B1" w:rsidSect="00FD471A">
          <w:footerReference w:type="even" r:id="rId10"/>
          <w:footerReference w:type="default" r:id="rId11"/>
          <w:pgSz w:w="12240" w:h="15840" w:code="1"/>
          <w:pgMar w:top="1440" w:right="720" w:bottom="1440" w:left="720" w:header="720" w:footer="720" w:gutter="0"/>
          <w:cols w:space="720"/>
          <w:docGrid w:linePitch="360"/>
        </w:sectPr>
      </w:pPr>
    </w:p>
    <w:p w14:paraId="37E2D6E4" w14:textId="1D419A64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145ABCE7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780D95BF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3C36CA8E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1D058154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773F41E3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50CFA184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48742F20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2C40C73A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4C27C56D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2CCDB9C5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6B5C85DE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5788848B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2B519BBE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74D09A4B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01BC1A06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283F0583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14C34850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22B9E7C0" w14:textId="77777777" w:rsidR="0086131E" w:rsidRPr="008304B1" w:rsidRDefault="0086131E" w:rsidP="0086131E">
      <w:pPr>
        <w:rPr>
          <w:rFonts w:ascii="Arial" w:hAnsi="Arial" w:cs="Arial"/>
          <w:sz w:val="18"/>
          <w:szCs w:val="18"/>
          <w:lang w:eastAsia="zh-CN"/>
        </w:rPr>
      </w:pPr>
    </w:p>
    <w:p w14:paraId="4C83E6A7" w14:textId="4AAF9212" w:rsidR="0086131E" w:rsidRPr="008304B1" w:rsidRDefault="0086131E" w:rsidP="00F74F40">
      <w:pPr>
        <w:rPr>
          <w:rFonts w:ascii="Arial" w:hAnsi="Arial" w:cs="Arial"/>
          <w:sz w:val="18"/>
          <w:szCs w:val="18"/>
        </w:rPr>
      </w:pPr>
    </w:p>
    <w:p w14:paraId="139E7B07" w14:textId="29FCAC67" w:rsidR="00F74F40" w:rsidRPr="008304B1" w:rsidRDefault="00F74F40" w:rsidP="00F74F40">
      <w:pPr>
        <w:rPr>
          <w:rFonts w:ascii="Arial" w:hAnsi="Arial" w:cs="Arial"/>
          <w:sz w:val="18"/>
          <w:szCs w:val="18"/>
        </w:rPr>
      </w:pPr>
    </w:p>
    <w:sectPr w:rsidR="00F74F40" w:rsidRPr="008304B1" w:rsidSect="00056B7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2D6EBF" w14:textId="77777777" w:rsidR="004D0C82" w:rsidRDefault="004D0C82" w:rsidP="00347D0E">
      <w:r>
        <w:separator/>
      </w:r>
    </w:p>
  </w:endnote>
  <w:endnote w:type="continuationSeparator" w:id="0">
    <w:p w14:paraId="54E03DA2" w14:textId="77777777" w:rsidR="004D0C82" w:rsidRDefault="004D0C82" w:rsidP="00347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D0EFB" w14:textId="77777777" w:rsidR="00347D0E" w:rsidRDefault="00347D0E" w:rsidP="001B623A">
    <w:pPr>
      <w:pStyle w:val="Footer"/>
      <w:tabs>
        <w:tab w:val="clear" w:pos="4320"/>
        <w:tab w:val="clear" w:pos="8640"/>
        <w:tab w:val="center" w:pos="4680"/>
        <w:tab w:val="right" w:pos="9360"/>
      </w:tabs>
    </w:pPr>
    <w:r>
      <w:t>[Type text]</w:t>
    </w:r>
    <w:r w:rsidR="001B623A">
      <w:tab/>
    </w:r>
    <w:r>
      <w:t>[Type text]</w:t>
    </w:r>
    <w:r w:rsidR="001B623A">
      <w:tab/>
    </w:r>
    <w:r>
      <w:t>[Type text]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80788F" w14:textId="77777777" w:rsidR="006F20F7" w:rsidRDefault="006F20F7">
    <w:pPr>
      <w:pStyle w:val="Footer"/>
      <w:jc w:val="center"/>
    </w:pPr>
  </w:p>
  <w:p w14:paraId="659DCF27" w14:textId="77777777" w:rsidR="006F20F7" w:rsidRDefault="006F20F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10F29E" w14:textId="77777777" w:rsidR="004D0C82" w:rsidRDefault="004D0C82" w:rsidP="00347D0E">
      <w:r>
        <w:separator/>
      </w:r>
    </w:p>
  </w:footnote>
  <w:footnote w:type="continuationSeparator" w:id="0">
    <w:p w14:paraId="32525CE7" w14:textId="77777777" w:rsidR="004D0C82" w:rsidRDefault="004D0C82" w:rsidP="00347D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D0E"/>
    <w:rsid w:val="00013E00"/>
    <w:rsid w:val="00016BF7"/>
    <w:rsid w:val="00054324"/>
    <w:rsid w:val="00056B71"/>
    <w:rsid w:val="00065AB0"/>
    <w:rsid w:val="000729A3"/>
    <w:rsid w:val="000A702E"/>
    <w:rsid w:val="000E6BFB"/>
    <w:rsid w:val="00105546"/>
    <w:rsid w:val="00117A60"/>
    <w:rsid w:val="0012319F"/>
    <w:rsid w:val="00147B04"/>
    <w:rsid w:val="001669F4"/>
    <w:rsid w:val="00177D91"/>
    <w:rsid w:val="00190B1E"/>
    <w:rsid w:val="001917CE"/>
    <w:rsid w:val="001B623A"/>
    <w:rsid w:val="001E044F"/>
    <w:rsid w:val="001E7A7F"/>
    <w:rsid w:val="001F1F22"/>
    <w:rsid w:val="001F274B"/>
    <w:rsid w:val="002028CE"/>
    <w:rsid w:val="002230CA"/>
    <w:rsid w:val="002521CB"/>
    <w:rsid w:val="0027511B"/>
    <w:rsid w:val="002919F3"/>
    <w:rsid w:val="002A5EC5"/>
    <w:rsid w:val="002D4217"/>
    <w:rsid w:val="00302EDD"/>
    <w:rsid w:val="00347D0E"/>
    <w:rsid w:val="00363E4D"/>
    <w:rsid w:val="00380BE0"/>
    <w:rsid w:val="003B3FA2"/>
    <w:rsid w:val="003E1FBB"/>
    <w:rsid w:val="003E3E2E"/>
    <w:rsid w:val="004149D1"/>
    <w:rsid w:val="004363B6"/>
    <w:rsid w:val="004447B3"/>
    <w:rsid w:val="004633F4"/>
    <w:rsid w:val="004943FB"/>
    <w:rsid w:val="004A46C5"/>
    <w:rsid w:val="004C15DA"/>
    <w:rsid w:val="004D0C82"/>
    <w:rsid w:val="004E4256"/>
    <w:rsid w:val="00504D78"/>
    <w:rsid w:val="00515A18"/>
    <w:rsid w:val="00555140"/>
    <w:rsid w:val="005C53BB"/>
    <w:rsid w:val="0060638A"/>
    <w:rsid w:val="00607324"/>
    <w:rsid w:val="00652CDC"/>
    <w:rsid w:val="00662066"/>
    <w:rsid w:val="006C3D1B"/>
    <w:rsid w:val="006D785D"/>
    <w:rsid w:val="006F20F7"/>
    <w:rsid w:val="00704EF0"/>
    <w:rsid w:val="007076AF"/>
    <w:rsid w:val="007276CB"/>
    <w:rsid w:val="007339B3"/>
    <w:rsid w:val="007360CB"/>
    <w:rsid w:val="00756CC1"/>
    <w:rsid w:val="00757E86"/>
    <w:rsid w:val="00783F04"/>
    <w:rsid w:val="0078703F"/>
    <w:rsid w:val="007A6577"/>
    <w:rsid w:val="007E6E5E"/>
    <w:rsid w:val="00812E43"/>
    <w:rsid w:val="00821162"/>
    <w:rsid w:val="008304B1"/>
    <w:rsid w:val="00836B6B"/>
    <w:rsid w:val="00841181"/>
    <w:rsid w:val="00852E47"/>
    <w:rsid w:val="0086131E"/>
    <w:rsid w:val="0086180A"/>
    <w:rsid w:val="00873D0C"/>
    <w:rsid w:val="00890EF4"/>
    <w:rsid w:val="00891ABC"/>
    <w:rsid w:val="008C7268"/>
    <w:rsid w:val="008D7F05"/>
    <w:rsid w:val="009234C5"/>
    <w:rsid w:val="009264FF"/>
    <w:rsid w:val="00973558"/>
    <w:rsid w:val="009834FC"/>
    <w:rsid w:val="009A30DB"/>
    <w:rsid w:val="009B1AD3"/>
    <w:rsid w:val="00A03F9B"/>
    <w:rsid w:val="00A107A8"/>
    <w:rsid w:val="00AB0AF0"/>
    <w:rsid w:val="00AB4757"/>
    <w:rsid w:val="00AC694A"/>
    <w:rsid w:val="00AD02DE"/>
    <w:rsid w:val="00AD564B"/>
    <w:rsid w:val="00AE3008"/>
    <w:rsid w:val="00B053E8"/>
    <w:rsid w:val="00B0541C"/>
    <w:rsid w:val="00B058F4"/>
    <w:rsid w:val="00B072BE"/>
    <w:rsid w:val="00B7797B"/>
    <w:rsid w:val="00BC7D45"/>
    <w:rsid w:val="00BF13BE"/>
    <w:rsid w:val="00C45624"/>
    <w:rsid w:val="00C72CC2"/>
    <w:rsid w:val="00C956E5"/>
    <w:rsid w:val="00C9596C"/>
    <w:rsid w:val="00CB4745"/>
    <w:rsid w:val="00CC66C5"/>
    <w:rsid w:val="00CE12FE"/>
    <w:rsid w:val="00CF1B97"/>
    <w:rsid w:val="00D06B59"/>
    <w:rsid w:val="00D41369"/>
    <w:rsid w:val="00D65F65"/>
    <w:rsid w:val="00D720C3"/>
    <w:rsid w:val="00D77F96"/>
    <w:rsid w:val="00D87772"/>
    <w:rsid w:val="00D96C2A"/>
    <w:rsid w:val="00DA4EDD"/>
    <w:rsid w:val="00DA69F9"/>
    <w:rsid w:val="00DB1FEA"/>
    <w:rsid w:val="00DB6BF0"/>
    <w:rsid w:val="00E1747E"/>
    <w:rsid w:val="00E47308"/>
    <w:rsid w:val="00E61C2F"/>
    <w:rsid w:val="00E923B6"/>
    <w:rsid w:val="00EB0B64"/>
    <w:rsid w:val="00EB0BC5"/>
    <w:rsid w:val="00EF4024"/>
    <w:rsid w:val="00EF4EEA"/>
    <w:rsid w:val="00F74F40"/>
    <w:rsid w:val="00F826D9"/>
    <w:rsid w:val="00F944D0"/>
    <w:rsid w:val="00FD471A"/>
    <w:rsid w:val="00FD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0A64A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7D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">
    <w:name w:val="annotation"/>
    <w:basedOn w:val="DefaultParagraphFont"/>
    <w:rsid w:val="00347D0E"/>
  </w:style>
  <w:style w:type="paragraph" w:styleId="BalloonText">
    <w:name w:val="Balloon Text"/>
    <w:basedOn w:val="Normal"/>
    <w:link w:val="BalloonTextChar"/>
    <w:uiPriority w:val="99"/>
    <w:semiHidden/>
    <w:unhideWhenUsed/>
    <w:rsid w:val="00347D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47D0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47D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D0E"/>
  </w:style>
  <w:style w:type="paragraph" w:styleId="Footer">
    <w:name w:val="footer"/>
    <w:basedOn w:val="Normal"/>
    <w:link w:val="FooterChar"/>
    <w:uiPriority w:val="99"/>
    <w:unhideWhenUsed/>
    <w:rsid w:val="006F20F7"/>
    <w:pPr>
      <w:tabs>
        <w:tab w:val="center" w:pos="4320"/>
        <w:tab w:val="right" w:pos="8640"/>
      </w:tabs>
    </w:pPr>
    <w:rPr>
      <w:rFonts w:ascii="Arial" w:hAnsi="Arial"/>
      <w:sz w:val="18"/>
    </w:rPr>
  </w:style>
  <w:style w:type="character" w:customStyle="1" w:styleId="FooterChar">
    <w:name w:val="Footer Char"/>
    <w:link w:val="Footer"/>
    <w:uiPriority w:val="99"/>
    <w:rsid w:val="006F20F7"/>
    <w:rPr>
      <w:rFonts w:ascii="Arial" w:hAnsi="Arial"/>
      <w:sz w:val="18"/>
    </w:rPr>
  </w:style>
  <w:style w:type="paragraph" w:styleId="NoSpacing">
    <w:name w:val="No Spacing"/>
    <w:link w:val="NoSpacingChar"/>
    <w:qFormat/>
    <w:rsid w:val="00347D0E"/>
    <w:rPr>
      <w:rFonts w:ascii="PMingLiU" w:hAnsi="PMingLiU"/>
      <w:sz w:val="22"/>
      <w:szCs w:val="22"/>
      <w:lang w:eastAsia="en-US"/>
    </w:rPr>
  </w:style>
  <w:style w:type="character" w:customStyle="1" w:styleId="NoSpacingChar">
    <w:name w:val="No Spacing Char"/>
    <w:link w:val="NoSpacing"/>
    <w:rsid w:val="00347D0E"/>
    <w:rPr>
      <w:rFonts w:ascii="PMingLiU" w:hAnsi="PMingLiU"/>
      <w:sz w:val="22"/>
      <w:szCs w:val="22"/>
    </w:rPr>
  </w:style>
  <w:style w:type="paragraph" w:customStyle="1" w:styleId="NPGImage">
    <w:name w:val="NPGImage"/>
    <w:rsid w:val="000A702E"/>
    <w:pPr>
      <w:pageBreakBefore/>
      <w:widowControl w:val="0"/>
      <w:jc w:val="center"/>
    </w:pPr>
    <w:rPr>
      <w:rFonts w:ascii="Arial" w:eastAsia="Times New Roman" w:hAnsi="Arial"/>
      <w:sz w:val="18"/>
      <w:szCs w:val="24"/>
      <w:lang w:eastAsia="en-IN"/>
    </w:rPr>
  </w:style>
  <w:style w:type="paragraph" w:customStyle="1" w:styleId="NPGFigNum">
    <w:name w:val="NPGFigNum"/>
    <w:rsid w:val="00190B1E"/>
    <w:pPr>
      <w:spacing w:before="120" w:after="120"/>
      <w:jc w:val="both"/>
    </w:pPr>
    <w:rPr>
      <w:rFonts w:ascii="Arial" w:hAnsi="Arial"/>
      <w:sz w:val="18"/>
      <w:szCs w:val="24"/>
      <w:lang w:eastAsia="en-US"/>
    </w:rPr>
  </w:style>
  <w:style w:type="paragraph" w:customStyle="1" w:styleId="NPGTitle">
    <w:name w:val="NPGTitle"/>
    <w:basedOn w:val="NPGFigNum"/>
    <w:rsid w:val="00D96C2A"/>
    <w:pPr>
      <w:outlineLvl w:val="1"/>
    </w:pPr>
    <w:rPr>
      <w:b/>
    </w:rPr>
  </w:style>
  <w:style w:type="paragraph" w:customStyle="1" w:styleId="NPGCaption">
    <w:name w:val="NPGCaption"/>
    <w:basedOn w:val="NPGFigNum"/>
    <w:rsid w:val="007360CB"/>
    <w:rPr>
      <w:rFonts w:eastAsia="Times New Roman"/>
    </w:rPr>
  </w:style>
  <w:style w:type="paragraph" w:styleId="Revision">
    <w:name w:val="Revision"/>
    <w:hidden/>
    <w:uiPriority w:val="99"/>
    <w:semiHidden/>
    <w:rsid w:val="0060638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6922A1-61F6-2149-A599-676D783BE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410</Words>
  <Characters>2337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Group Technology Services</Company>
  <LinksUpToDate>false</LinksUpToDate>
  <CharactersWithSpaces>2742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Gordon</dc:creator>
  <cp:keywords/>
  <cp:lastModifiedBy>casper03</cp:lastModifiedBy>
  <cp:revision>9</cp:revision>
  <dcterms:created xsi:type="dcterms:W3CDTF">2018-03-23T22:02:00Z</dcterms:created>
  <dcterms:modified xsi:type="dcterms:W3CDTF">2018-03-26T16:29:00Z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http://www.zotero.org/styles/chicago-note-bibliography</vt:lpwstr>
  </property>
  <property fmtid="{D5CDD505-2E9C-101B-9397-08002B2CF9AE}" pid="11" name="Mendeley Recent Style Name 4_1">
    <vt:lpwstr>Chicago Manual of Style 17th edition (note)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http://www.zotero.org/styles/chicago-author-date</vt:lpwstr>
  </property>
  <property fmtid="{D5CDD505-2E9C-101B-9397-08002B2CF9AE}" pid="24" name="Mendeley Unique User Id_1">
    <vt:lpwstr>ed8d37de-e8e5-3198-b709-a2d6e9bcbdba</vt:lpwstr>
  </property>
</Properties>
</file>