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0C" w:rsidRPr="00561EE9" w:rsidRDefault="00690A89" w:rsidP="0092670C">
      <w:pPr>
        <w:outlineLvl w:val="0"/>
        <w:rPr>
          <w:rFonts w:ascii="Arial" w:eastAsia="PMingLiU" w:hAnsi="Arial" w:cs="Arial"/>
          <w:b/>
          <w:bCs/>
          <w:caps/>
          <w:sz w:val="24"/>
          <w:szCs w:val="24"/>
          <w:lang w:eastAsia="en-US"/>
        </w:rPr>
      </w:pPr>
      <w:bookmarkStart w:id="0" w:name="OLE_LINK15"/>
      <w:bookmarkStart w:id="1" w:name="OLE_LINK53"/>
      <w:bookmarkStart w:id="2" w:name="_GoBack"/>
      <w:bookmarkEnd w:id="2"/>
      <w:r>
        <w:rPr>
          <w:rFonts w:ascii="Arial" w:hAnsi="Arial" w:cs="Arial"/>
          <w:b/>
          <w:sz w:val="24"/>
          <w:szCs w:val="24"/>
        </w:rPr>
        <w:t xml:space="preserve">ONLINE </w:t>
      </w:r>
      <w:r w:rsidR="0092670C" w:rsidRPr="00561EE9">
        <w:rPr>
          <w:rFonts w:ascii="Arial" w:eastAsia="PMingLiU" w:hAnsi="Arial" w:cs="Arial"/>
          <w:b/>
          <w:bCs/>
          <w:caps/>
          <w:sz w:val="24"/>
          <w:szCs w:val="24"/>
          <w:lang w:eastAsia="en-US"/>
        </w:rPr>
        <w:t xml:space="preserve">Appendix </w:t>
      </w:r>
      <w:r w:rsidR="007742FE">
        <w:rPr>
          <w:rFonts w:ascii="Arial" w:eastAsia="PMingLiU" w:hAnsi="Arial" w:cs="Arial"/>
          <w:b/>
          <w:bCs/>
          <w:caps/>
          <w:sz w:val="24"/>
          <w:szCs w:val="24"/>
          <w:lang w:eastAsia="en-US"/>
        </w:rPr>
        <w:t>5</w:t>
      </w:r>
      <w:r w:rsidR="0092670C" w:rsidRPr="00561EE9">
        <w:rPr>
          <w:rFonts w:ascii="Arial" w:eastAsia="PMingLiU" w:hAnsi="Arial" w:cs="Arial"/>
          <w:b/>
          <w:bCs/>
          <w:caps/>
          <w:sz w:val="24"/>
          <w:szCs w:val="24"/>
          <w:lang w:eastAsia="en-US"/>
        </w:rPr>
        <w:t>: Impact of Florida’s PDMP and Pill Mill Law on Monthly Outcomes Among Non-High-Risk patients</w:t>
      </w:r>
      <w:r w:rsidR="0092670C">
        <w:rPr>
          <w:rFonts w:ascii="Arial" w:eastAsia="PMingLiU" w:hAnsi="Arial" w:cs="Arial"/>
          <w:b/>
          <w:bCs/>
          <w:caps/>
          <w:sz w:val="24"/>
          <w:szCs w:val="24"/>
          <w:lang w:eastAsia="en-US"/>
        </w:rPr>
        <w:t xml:space="preserve"> in florida</w:t>
      </w:r>
    </w:p>
    <w:tbl>
      <w:tblPr>
        <w:tblStyle w:val="TableGrid"/>
        <w:tblW w:w="13140" w:type="dxa"/>
        <w:tblInd w:w="-36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0"/>
        <w:gridCol w:w="2700"/>
        <w:gridCol w:w="2700"/>
      </w:tblGrid>
      <w:tr w:rsidR="0092670C" w:rsidRPr="00561EE9" w:rsidTr="00212BED">
        <w:trPr>
          <w:trHeight w:val="537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Non-Concomitant Users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Non-</w:t>
            </w:r>
            <w:r>
              <w:rPr>
                <w:rFonts w:ascii="Arial" w:hAnsi="Arial" w:cs="Arial"/>
                <w:sz w:val="24"/>
                <w:szCs w:val="24"/>
              </w:rPr>
              <w:t>chronic</w:t>
            </w:r>
            <w:r w:rsidRPr="00561EE9">
              <w:rPr>
                <w:rFonts w:ascii="Arial" w:hAnsi="Arial" w:cs="Arial"/>
                <w:sz w:val="24"/>
                <w:szCs w:val="24"/>
              </w:rPr>
              <w:t xml:space="preserve"> Users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Non-Opioid Shoppers</w:t>
            </w:r>
          </w:p>
        </w:tc>
      </w:tr>
      <w:tr w:rsidR="0092670C" w:rsidRPr="00561EE9" w:rsidTr="00212BED">
        <w:trPr>
          <w:trHeight w:val="537"/>
        </w:trPr>
        <w:tc>
          <w:tcPr>
            <w:tcW w:w="50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2670C" w:rsidRPr="00561EE9" w:rsidTr="00212BED">
        <w:trPr>
          <w:trHeight w:val="537"/>
        </w:trPr>
        <w:tc>
          <w:tcPr>
            <w:tcW w:w="50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N: 1,126,797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93.38%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98.04%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99.54%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Comparative change in level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eastAsia="PMingLiU" w:hAnsi="Arial" w:cs="Arial"/>
                <w:sz w:val="24"/>
                <w:szCs w:val="24"/>
                <w:lang w:eastAsia="en-US"/>
              </w:rPr>
              <w:t>Morphine Milligram Equivalent</w:t>
            </w:r>
            <w:r w:rsidRPr="00561EE9">
              <w:rPr>
                <w:rFonts w:ascii="Arial" w:hAnsi="Arial" w:cs="Arial"/>
                <w:sz w:val="24"/>
                <w:szCs w:val="24"/>
              </w:rPr>
              <w:t>, mg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0.45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(-2.15, 3.04)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0.47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(-2.34, 3.28)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0.24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(-2.18, 2.66)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nil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Total Opioid Volume, kg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12.52*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(0.16, 24.87)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12.20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(-4.57, 28.97)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10.80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(-4.80, 26.41)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Days’ Supply</w:t>
            </w:r>
          </w:p>
        </w:tc>
        <w:tc>
          <w:tcPr>
            <w:tcW w:w="2700" w:type="dxa"/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0.10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(-0.25, 0.44)</w:t>
            </w:r>
          </w:p>
        </w:tc>
        <w:tc>
          <w:tcPr>
            <w:tcW w:w="2700" w:type="dxa"/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0.08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(-0.25, 0.40)</w:t>
            </w:r>
          </w:p>
        </w:tc>
        <w:tc>
          <w:tcPr>
            <w:tcW w:w="2700" w:type="dxa"/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0.08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(-0.24, 0.41)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Opioid Prescriptions, thousand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0.20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(-9.96, 10.35)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-2.42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(-13.07, 8.24)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-3.18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(-14.12, 7.76)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Comparative change in trend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eastAsia="PMingLiU" w:hAnsi="Arial" w:cs="Arial"/>
                <w:sz w:val="24"/>
                <w:szCs w:val="24"/>
                <w:lang w:eastAsia="en-US"/>
              </w:rPr>
              <w:t>Morphine Milligram Equivalent</w:t>
            </w:r>
            <w:r w:rsidRPr="00561EE9">
              <w:rPr>
                <w:rFonts w:ascii="Arial" w:hAnsi="Arial" w:cs="Arial"/>
                <w:sz w:val="24"/>
                <w:szCs w:val="24"/>
              </w:rPr>
              <w:t>, mg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-0.22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(-0.65, 0.22)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-0.12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(-0.60, 0.36)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-0.44*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(-0.84, -0.03)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Total Opioid Volume, kg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0.14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(-1.46, 1.74)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1.83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(-0.60,4.25)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-1.63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(-3.60, 0.34)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Days’ Supply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-0.02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(-0.08, 0.03)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-0.01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(-0.06, 0.04)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-0.02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(-0.07, 0.04)</w:t>
            </w:r>
          </w:p>
        </w:tc>
      </w:tr>
      <w:tr w:rsidR="0092670C" w:rsidRPr="00561EE9" w:rsidTr="00212BED">
        <w:trPr>
          <w:trHeight w:val="607"/>
        </w:trPr>
        <w:tc>
          <w:tcPr>
            <w:tcW w:w="5040" w:type="dxa"/>
            <w:tcBorders>
              <w:top w:val="nil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Opioid Prescriptions, thousand</w:t>
            </w:r>
          </w:p>
        </w:tc>
        <w:tc>
          <w:tcPr>
            <w:tcW w:w="2700" w:type="dxa"/>
            <w:tcBorders>
              <w:top w:val="nil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0.76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(-0.51, 2.02)</w:t>
            </w:r>
          </w:p>
        </w:tc>
        <w:tc>
          <w:tcPr>
            <w:tcW w:w="2700" w:type="dxa"/>
            <w:tcBorders>
              <w:top w:val="nil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0.81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(-0.51, 2.13)</w:t>
            </w:r>
          </w:p>
        </w:tc>
        <w:tc>
          <w:tcPr>
            <w:tcW w:w="2700" w:type="dxa"/>
            <w:tcBorders>
              <w:top w:val="nil"/>
              <w:bottom w:val="double" w:sz="4" w:space="0" w:color="auto"/>
            </w:tcBorders>
            <w:vAlign w:val="center"/>
          </w:tcPr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0.33</w:t>
            </w:r>
          </w:p>
          <w:p w:rsidR="0092670C" w:rsidRPr="00561EE9" w:rsidRDefault="0092670C" w:rsidP="0021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EE9">
              <w:rPr>
                <w:rFonts w:ascii="Arial" w:hAnsi="Arial" w:cs="Arial"/>
                <w:sz w:val="24"/>
                <w:szCs w:val="24"/>
              </w:rPr>
              <w:t>(-1.02, 1.69)</w:t>
            </w:r>
          </w:p>
        </w:tc>
      </w:tr>
    </w:tbl>
    <w:p w:rsidR="0092670C" w:rsidRPr="00561EE9" w:rsidRDefault="0092670C" w:rsidP="0092670C">
      <w:pPr>
        <w:spacing w:after="0"/>
        <w:rPr>
          <w:rFonts w:ascii="Arial" w:hAnsi="Arial" w:cs="Arial"/>
          <w:sz w:val="24"/>
          <w:szCs w:val="24"/>
        </w:rPr>
      </w:pPr>
      <w:r w:rsidRPr="00561EE9">
        <w:rPr>
          <w:rFonts w:ascii="Arial" w:hAnsi="Arial" w:cs="Arial"/>
          <w:sz w:val="24"/>
          <w:szCs w:val="24"/>
        </w:rPr>
        <w:t xml:space="preserve">Source: </w:t>
      </w:r>
      <w:proofErr w:type="spellStart"/>
      <w:r>
        <w:rPr>
          <w:rFonts w:ascii="Arial" w:hAnsi="Arial" w:cs="Arial"/>
          <w:sz w:val="24"/>
          <w:szCs w:val="24"/>
        </w:rPr>
        <w:t>Quintiles</w:t>
      </w:r>
      <w:r w:rsidRPr="00561EE9">
        <w:rPr>
          <w:rFonts w:ascii="Arial" w:hAnsi="Arial" w:cs="Arial"/>
          <w:sz w:val="24"/>
          <w:szCs w:val="24"/>
        </w:rPr>
        <w:t>IMS</w:t>
      </w:r>
      <w:proofErr w:type="spellEnd"/>
      <w:r w:rsidRPr="0056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1EE9">
        <w:rPr>
          <w:rFonts w:ascii="Arial" w:hAnsi="Arial" w:cs="Arial"/>
          <w:sz w:val="24"/>
          <w:szCs w:val="24"/>
        </w:rPr>
        <w:t>Lifelink</w:t>
      </w:r>
      <w:proofErr w:type="spellEnd"/>
      <w:r w:rsidRPr="00561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1EE9">
        <w:rPr>
          <w:rFonts w:ascii="Arial" w:hAnsi="Arial" w:cs="Arial"/>
          <w:sz w:val="24"/>
          <w:szCs w:val="24"/>
        </w:rPr>
        <w:t>LRx</w:t>
      </w:r>
      <w:proofErr w:type="spellEnd"/>
      <w:r w:rsidRPr="00561EE9">
        <w:rPr>
          <w:rFonts w:ascii="Arial" w:hAnsi="Arial" w:cs="Arial"/>
          <w:sz w:val="24"/>
          <w:szCs w:val="24"/>
        </w:rPr>
        <w:t xml:space="preserve"> Data, 2010-2012</w:t>
      </w:r>
    </w:p>
    <w:p w:rsidR="0092670C" w:rsidRPr="00561EE9" w:rsidRDefault="0092670C" w:rsidP="00826C61">
      <w:pPr>
        <w:rPr>
          <w:rFonts w:ascii="Arial" w:eastAsia="Arial" w:hAnsi="Arial" w:cs="Arial"/>
          <w:b/>
          <w:bCs/>
          <w:caps/>
          <w:sz w:val="24"/>
          <w:szCs w:val="24"/>
        </w:rPr>
      </w:pPr>
      <w:r w:rsidRPr="00561EE9">
        <w:rPr>
          <w:rFonts w:ascii="Arial" w:hAnsi="Arial" w:cs="Arial"/>
          <w:sz w:val="24"/>
          <w:szCs w:val="24"/>
        </w:rPr>
        <w:br w:type="page"/>
      </w:r>
      <w:bookmarkEnd w:id="0"/>
      <w:bookmarkEnd w:id="1"/>
    </w:p>
    <w:sectPr w:rsidR="0092670C" w:rsidRPr="00561EE9" w:rsidSect="00426A8A">
      <w:pgSz w:w="15840" w:h="12240" w:orient="landscape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0C"/>
    <w:rsid w:val="001D6259"/>
    <w:rsid w:val="00231F79"/>
    <w:rsid w:val="0037489D"/>
    <w:rsid w:val="00427EAA"/>
    <w:rsid w:val="004A2E7A"/>
    <w:rsid w:val="00690A89"/>
    <w:rsid w:val="007742FE"/>
    <w:rsid w:val="00826C61"/>
    <w:rsid w:val="008D7EAB"/>
    <w:rsid w:val="0092670C"/>
    <w:rsid w:val="00D6387E"/>
    <w:rsid w:val="00E36B0A"/>
    <w:rsid w:val="00E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6CB5"/>
  <w15:chartTrackingRefBased/>
  <w15:docId w15:val="{CB92C915-EB2A-4B10-BB1B-1449477D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2670C"/>
    <w:pPr>
      <w:spacing w:after="0" w:line="240" w:lineRule="auto"/>
    </w:pPr>
    <w:rPr>
      <w:rFonts w:ascii="Times New Roman" w:eastAsia="PMingLiU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Zack</dc:creator>
  <cp:keywords/>
  <dc:description/>
  <cp:lastModifiedBy>Faul, Mark (CDC/DDNID/NCIPC/DUIP)</cp:lastModifiedBy>
  <cp:revision>2</cp:revision>
  <dcterms:created xsi:type="dcterms:W3CDTF">2019-07-16T17:09:00Z</dcterms:created>
  <dcterms:modified xsi:type="dcterms:W3CDTF">2019-07-16T17:09:00Z</dcterms:modified>
</cp:coreProperties>
</file>