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20" w:rsidRPr="00561EE9" w:rsidRDefault="00690A89" w:rsidP="00EA0620">
      <w:pPr>
        <w:keepNext/>
        <w:spacing w:after="0" w:line="276" w:lineRule="auto"/>
        <w:rPr>
          <w:rFonts w:ascii="Arial" w:hAnsi="Arial" w:cs="Arial"/>
          <w:noProof/>
          <w:sz w:val="24"/>
          <w:szCs w:val="24"/>
        </w:rPr>
      </w:pPr>
      <w:bookmarkStart w:id="0" w:name="OLE_LINK15"/>
      <w:bookmarkStart w:id="1" w:name="OLE_LINK53"/>
      <w:r>
        <w:rPr>
          <w:rFonts w:ascii="Arial" w:hAnsi="Arial" w:cs="Arial"/>
          <w:b/>
          <w:sz w:val="24"/>
          <w:szCs w:val="24"/>
        </w:rPr>
        <w:t xml:space="preserve">ONLINE </w:t>
      </w:r>
      <w:r w:rsidR="00EA0620" w:rsidRPr="00561EE9">
        <w:rPr>
          <w:rFonts w:ascii="Arial" w:eastAsia="Arial" w:hAnsi="Arial" w:cs="Arial"/>
          <w:b/>
          <w:bCs/>
          <w:caps/>
          <w:sz w:val="24"/>
          <w:szCs w:val="24"/>
        </w:rPr>
        <w:t xml:space="preserve">Appendix </w:t>
      </w:r>
      <w:r w:rsidR="00EA0620">
        <w:rPr>
          <w:rFonts w:ascii="Arial" w:eastAsia="Arial" w:hAnsi="Arial" w:cs="Arial"/>
          <w:b/>
          <w:bCs/>
          <w:caps/>
          <w:sz w:val="24"/>
          <w:szCs w:val="24"/>
        </w:rPr>
        <w:t>2</w:t>
      </w:r>
      <w:r w:rsidR="00EA0620" w:rsidRPr="00561EE9">
        <w:rPr>
          <w:rFonts w:ascii="Arial" w:eastAsia="Arial" w:hAnsi="Arial" w:cs="Arial"/>
          <w:b/>
          <w:bCs/>
          <w:caps/>
          <w:sz w:val="24"/>
          <w:szCs w:val="24"/>
        </w:rPr>
        <w:t>: Overlap of high-risk patient groups across three high-risk patient groups</w:t>
      </w:r>
      <w:r w:rsidR="00EA0620" w:rsidRPr="00561EE9">
        <w:rPr>
          <w:rFonts w:ascii="Arial" w:hAnsi="Arial" w:cs="Arial"/>
          <w:noProof/>
          <w:sz w:val="24"/>
          <w:szCs w:val="24"/>
        </w:rPr>
        <w:t xml:space="preserve"> </w:t>
      </w:r>
      <w:r w:rsidR="00EA0620" w:rsidRPr="00561EE9"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251E0510" wp14:editId="0BB4FC46">
            <wp:extent cx="8201025" cy="6134100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A0620" w:rsidRPr="00561EE9" w:rsidRDefault="00EA0620" w:rsidP="00EA0620">
      <w:pPr>
        <w:keepNext/>
        <w:spacing w:after="0" w:line="276" w:lineRule="auto"/>
        <w:rPr>
          <w:rFonts w:ascii="Arial" w:hAnsi="Arial" w:cs="Arial"/>
          <w:noProof/>
          <w:sz w:val="24"/>
          <w:szCs w:val="24"/>
        </w:rPr>
      </w:pPr>
      <w:r w:rsidRPr="00561EE9">
        <w:rPr>
          <w:rFonts w:ascii="Arial" w:hAnsi="Arial" w:cs="Arial"/>
          <w:sz w:val="24"/>
          <w:szCs w:val="24"/>
        </w:rPr>
        <w:t xml:space="preserve">Source: </w:t>
      </w:r>
      <w:proofErr w:type="spellStart"/>
      <w:r>
        <w:rPr>
          <w:rFonts w:ascii="Arial" w:hAnsi="Arial" w:cs="Arial"/>
          <w:sz w:val="24"/>
          <w:szCs w:val="24"/>
        </w:rPr>
        <w:t>Quintiles</w:t>
      </w:r>
      <w:r w:rsidRPr="00561EE9">
        <w:rPr>
          <w:rFonts w:ascii="Arial" w:hAnsi="Arial" w:cs="Arial"/>
          <w:sz w:val="24"/>
          <w:szCs w:val="24"/>
        </w:rPr>
        <w:t>IMS</w:t>
      </w:r>
      <w:proofErr w:type="spellEnd"/>
      <w:r w:rsidRPr="00561E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1EE9">
        <w:rPr>
          <w:rFonts w:ascii="Arial" w:hAnsi="Arial" w:cs="Arial"/>
          <w:sz w:val="24"/>
          <w:szCs w:val="24"/>
        </w:rPr>
        <w:t>Lifelink</w:t>
      </w:r>
      <w:proofErr w:type="spellEnd"/>
      <w:r w:rsidRPr="00561E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1EE9">
        <w:rPr>
          <w:rFonts w:ascii="Arial" w:hAnsi="Arial" w:cs="Arial"/>
          <w:sz w:val="24"/>
          <w:szCs w:val="24"/>
        </w:rPr>
        <w:t>LRx</w:t>
      </w:r>
      <w:proofErr w:type="spellEnd"/>
      <w:r w:rsidRPr="00561EE9">
        <w:rPr>
          <w:rFonts w:ascii="Arial" w:hAnsi="Arial" w:cs="Arial"/>
          <w:sz w:val="24"/>
          <w:szCs w:val="24"/>
        </w:rPr>
        <w:t xml:space="preserve"> Data, 2010-2012</w:t>
      </w:r>
    </w:p>
    <w:p w:rsidR="00EA0620" w:rsidRDefault="00EA0620">
      <w:pPr>
        <w:rPr>
          <w:rFonts w:ascii="Arial" w:eastAsia="Arial" w:hAnsi="Arial" w:cs="Arial"/>
          <w:b/>
          <w:bCs/>
          <w:caps/>
          <w:sz w:val="24"/>
          <w:szCs w:val="24"/>
        </w:rPr>
      </w:pPr>
      <w:bookmarkStart w:id="2" w:name="_GoBack"/>
      <w:bookmarkEnd w:id="2"/>
    </w:p>
    <w:bookmarkEnd w:id="0"/>
    <w:bookmarkEnd w:id="1"/>
    <w:sectPr w:rsidR="00EA0620" w:rsidSect="003E7B97">
      <w:pgSz w:w="15840" w:h="12240" w:orient="landscape"/>
      <w:pgMar w:top="54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0C"/>
    <w:rsid w:val="001D6259"/>
    <w:rsid w:val="00231F79"/>
    <w:rsid w:val="0037489D"/>
    <w:rsid w:val="003E7B97"/>
    <w:rsid w:val="00427EAA"/>
    <w:rsid w:val="004A2E7A"/>
    <w:rsid w:val="00690A89"/>
    <w:rsid w:val="007742FE"/>
    <w:rsid w:val="008D7EAB"/>
    <w:rsid w:val="0092670C"/>
    <w:rsid w:val="00D6387E"/>
    <w:rsid w:val="00E36B0A"/>
    <w:rsid w:val="00E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3963"/>
  <w15:chartTrackingRefBased/>
  <w15:docId w15:val="{CB92C915-EB2A-4B10-BB1B-1449477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70C"/>
    <w:pPr>
      <w:spacing w:after="0" w:line="240" w:lineRule="auto"/>
    </w:pPr>
    <w:rPr>
      <w:rFonts w:ascii="Times New Roman" w:eastAsia="PMingLiU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Concomitant Users</c:v>
                </c:pt>
              </c:strCache>
            </c:strRef>
          </c:tx>
          <c:spPr>
            <a:solidFill>
              <a:schemeClr val="tx1"/>
            </a:solidFill>
            <a:ln>
              <a:noFill/>
              <a:prstDash val="solid"/>
            </a:ln>
            <a:effectLst/>
          </c:spPr>
          <c:invertIfNegative val="0"/>
          <c:cat>
            <c:multiLvlStrRef>
              <c:f>Sheet1!$B$1:$G$2</c:f>
              <c:multiLvlStrCache>
                <c:ptCount val="6"/>
                <c:lvl>
                  <c:pt idx="0">
                    <c:v>No</c:v>
                  </c:pt>
                  <c:pt idx="1">
                    <c:v>Yes</c:v>
                  </c:pt>
                  <c:pt idx="2">
                    <c:v>No</c:v>
                  </c:pt>
                  <c:pt idx="3">
                    <c:v>Yes</c:v>
                  </c:pt>
                  <c:pt idx="4">
                    <c:v>No</c:v>
                  </c:pt>
                  <c:pt idx="5">
                    <c:v>Yes</c:v>
                  </c:pt>
                </c:lvl>
                <c:lvl>
                  <c:pt idx="0">
                    <c:v>Concomitant Users</c:v>
                  </c:pt>
                  <c:pt idx="2">
                    <c:v>Chronic Users</c:v>
                  </c:pt>
                  <c:pt idx="4">
                    <c:v>Opioid Shoppers</c:v>
                  </c:pt>
                </c:lvl>
              </c:multiLvlStrCache>
            </c:multiLvl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 formatCode="0.00%">
                  <c:v>5.8500000000000003E-2</c:v>
                </c:pt>
                <c:pt idx="3" formatCode="0.00%">
                  <c:v>0.45100000000000001</c:v>
                </c:pt>
                <c:pt idx="4" formatCode="0.00%">
                  <c:v>6.4799999999999996E-2</c:v>
                </c:pt>
                <c:pt idx="5" formatCode="0.00%">
                  <c:v>0.37959999999999999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A3-4C9A-A702-C1F7BDF0A221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Chronic Users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 w="3175">
              <a:noFill/>
            </a:ln>
            <a:effectLst/>
          </c:spPr>
          <c:invertIfNegative val="0"/>
          <c:cat>
            <c:multiLvlStrRef>
              <c:f>Sheet1!$B$1:$G$2</c:f>
              <c:multiLvlStrCache>
                <c:ptCount val="6"/>
                <c:lvl>
                  <c:pt idx="0">
                    <c:v>No</c:v>
                  </c:pt>
                  <c:pt idx="1">
                    <c:v>Yes</c:v>
                  </c:pt>
                  <c:pt idx="2">
                    <c:v>No</c:v>
                  </c:pt>
                  <c:pt idx="3">
                    <c:v>Yes</c:v>
                  </c:pt>
                  <c:pt idx="4">
                    <c:v>No</c:v>
                  </c:pt>
                  <c:pt idx="5">
                    <c:v>Yes</c:v>
                  </c:pt>
                </c:lvl>
                <c:lvl>
                  <c:pt idx="0">
                    <c:v>Concomitant Users</c:v>
                  </c:pt>
                  <c:pt idx="2">
                    <c:v>Chronic Users</c:v>
                  </c:pt>
                  <c:pt idx="4">
                    <c:v>Opioid Shoppers</c:v>
                  </c:pt>
                </c:lvl>
              </c:multiLvlStrCache>
            </c:multiLvlStrRef>
          </c:cat>
          <c:val>
            <c:numRef>
              <c:f>Sheet1!$B$4:$G$4</c:f>
              <c:numCache>
                <c:formatCode>0.00%</c:formatCode>
                <c:ptCount val="6"/>
                <c:pt idx="0">
                  <c:v>1.15E-2</c:v>
                </c:pt>
                <c:pt idx="1">
                  <c:v>0.13339999999999999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1.8800000000000001E-2</c:v>
                </c:pt>
                <c:pt idx="5">
                  <c:v>0.1948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A3-4C9A-A702-C1F7BDF0A221}"/>
            </c:ext>
          </c:extLst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Opioid Shoppers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multiLvlStrRef>
              <c:f>Sheet1!$B$1:$G$2</c:f>
              <c:multiLvlStrCache>
                <c:ptCount val="6"/>
                <c:lvl>
                  <c:pt idx="0">
                    <c:v>No</c:v>
                  </c:pt>
                  <c:pt idx="1">
                    <c:v>Yes</c:v>
                  </c:pt>
                  <c:pt idx="2">
                    <c:v>No</c:v>
                  </c:pt>
                  <c:pt idx="3">
                    <c:v>Yes</c:v>
                  </c:pt>
                  <c:pt idx="4">
                    <c:v>No</c:v>
                  </c:pt>
                  <c:pt idx="5">
                    <c:v>Yes</c:v>
                  </c:pt>
                </c:lvl>
                <c:lvl>
                  <c:pt idx="0">
                    <c:v>Concomitant Users</c:v>
                  </c:pt>
                  <c:pt idx="2">
                    <c:v>Chronic Users</c:v>
                  </c:pt>
                  <c:pt idx="4">
                    <c:v>Opioid Shoppers</c:v>
                  </c:pt>
                </c:lvl>
              </c:multiLvlStrCache>
            </c:multiLvlStrRef>
          </c:cat>
          <c:val>
            <c:numRef>
              <c:f>Sheet1!$B$5:$G$5</c:f>
              <c:numCache>
                <c:formatCode>0.00%</c:formatCode>
                <c:ptCount val="6"/>
                <c:pt idx="0">
                  <c:v>3.0999999999999999E-3</c:v>
                </c:pt>
                <c:pt idx="1">
                  <c:v>2.6499999999999999E-2</c:v>
                </c:pt>
                <c:pt idx="2">
                  <c:v>3.8E-3</c:v>
                </c:pt>
                <c:pt idx="3">
                  <c:v>4.5900000000000003E-2</c:v>
                </c:pt>
                <c:pt idx="4" formatCode="General">
                  <c:v>0</c:v>
                </c:pt>
                <c:pt idx="5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A3-4C9A-A702-C1F7BDF0A2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58069568"/>
        <c:axId val="-96998768"/>
      </c:barChart>
      <c:catAx>
        <c:axId val="-158069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6998768"/>
        <c:crosses val="autoZero"/>
        <c:auto val="1"/>
        <c:lblAlgn val="ctr"/>
        <c:lblOffset val="100"/>
        <c:noMultiLvlLbl val="0"/>
      </c:catAx>
      <c:valAx>
        <c:axId val="-9699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58069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044415179809799"/>
          <c:y val="0.95158705161854795"/>
          <c:w val="0.72995180480488697"/>
          <c:h val="3.57145356830396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Zack</dc:creator>
  <cp:keywords/>
  <dc:description/>
  <cp:lastModifiedBy>Faul, Mark (CDC/DDNID/NCIPC/DUIP)</cp:lastModifiedBy>
  <cp:revision>3</cp:revision>
  <dcterms:created xsi:type="dcterms:W3CDTF">2019-07-16T17:07:00Z</dcterms:created>
  <dcterms:modified xsi:type="dcterms:W3CDTF">2019-07-16T17:11:00Z</dcterms:modified>
</cp:coreProperties>
</file>