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0C" w:rsidRPr="00BD024B" w:rsidRDefault="00690A89" w:rsidP="0092670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OLE_LINK15"/>
      <w:bookmarkStart w:id="1" w:name="OLE_LINK53"/>
      <w:r>
        <w:rPr>
          <w:rFonts w:ascii="Arial" w:hAnsi="Arial" w:cs="Arial"/>
          <w:b/>
          <w:sz w:val="24"/>
          <w:szCs w:val="24"/>
        </w:rPr>
        <w:t xml:space="preserve">ONLINE </w:t>
      </w:r>
      <w:r w:rsidR="0092670C" w:rsidRPr="00BD024B">
        <w:rPr>
          <w:rFonts w:ascii="Arial" w:hAnsi="Arial" w:cs="Arial"/>
          <w:b/>
          <w:sz w:val="24"/>
          <w:szCs w:val="24"/>
        </w:rPr>
        <w:t>A</w:t>
      </w:r>
      <w:r w:rsidR="0092670C">
        <w:rPr>
          <w:rFonts w:ascii="Arial" w:hAnsi="Arial" w:cs="Arial"/>
          <w:b/>
          <w:sz w:val="24"/>
          <w:szCs w:val="24"/>
        </w:rPr>
        <w:t>PPENDIX</w:t>
      </w:r>
      <w:r w:rsidR="0092670C" w:rsidRPr="00BD024B">
        <w:rPr>
          <w:rFonts w:ascii="Arial" w:hAnsi="Arial" w:cs="Arial"/>
          <w:b/>
          <w:sz w:val="24"/>
          <w:szCs w:val="24"/>
        </w:rPr>
        <w:t xml:space="preserve"> 1: </w:t>
      </w:r>
      <w:r w:rsidR="0092670C">
        <w:rPr>
          <w:rFonts w:ascii="Arial" w:hAnsi="Arial" w:cs="Arial"/>
          <w:b/>
          <w:sz w:val="24"/>
          <w:szCs w:val="24"/>
        </w:rPr>
        <w:t>THE EQUATION OF THE COMPARATIVE INTERRUPTED TIME SERIES ANALYSIS AND THE CALCULATION OF PREDICTED VALUES</w:t>
      </w:r>
    </w:p>
    <w:p w:rsidR="0092670C" w:rsidRPr="00AB2BE9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Pr="00AB2BE9" w:rsidRDefault="0092670C" w:rsidP="0092670C">
      <w:pPr>
        <w:spacing w:after="0"/>
        <w:rPr>
          <w:rFonts w:ascii="Arial" w:hAnsi="Arial" w:cs="Arial"/>
          <w:sz w:val="24"/>
          <w:szCs w:val="24"/>
        </w:rPr>
      </w:pPr>
      <w:r w:rsidRPr="00AB2BE9">
        <w:rPr>
          <w:rFonts w:ascii="Arial" w:hAnsi="Arial" w:cs="Arial"/>
          <w:sz w:val="24"/>
          <w:szCs w:val="24"/>
        </w:rPr>
        <w:t>We examined four outcomes in our study and we built a separate model for each outcome (4 outcomes) of a risk group (3 high-risk patient groups and their 3 counterparts).  For a given outcome, our unit of analysis was a monthly measure which was derived by aggregating all of the transactions associated with a specific patient group in a given state during that month.  For example, we aggregated all transactions that occurred in Dec 201</w:t>
      </w:r>
      <w:r>
        <w:rPr>
          <w:rFonts w:ascii="Arial" w:hAnsi="Arial" w:cs="Arial"/>
          <w:sz w:val="24"/>
          <w:szCs w:val="24"/>
        </w:rPr>
        <w:t>1</w:t>
      </w:r>
      <w:r w:rsidRPr="00AB2BE9">
        <w:rPr>
          <w:rFonts w:ascii="Arial" w:hAnsi="Arial" w:cs="Arial"/>
          <w:sz w:val="24"/>
          <w:szCs w:val="24"/>
        </w:rPr>
        <w:t xml:space="preserve"> from concomitant users who resided in Florida to obtain total opioid volume of concomitant users in Florida in Dec 201</w:t>
      </w:r>
      <w:r>
        <w:rPr>
          <w:rFonts w:ascii="Arial" w:hAnsi="Arial" w:cs="Arial"/>
          <w:sz w:val="24"/>
          <w:szCs w:val="24"/>
        </w:rPr>
        <w:t>1</w:t>
      </w:r>
      <w:r w:rsidRPr="00AB2BE9">
        <w:rPr>
          <w:rFonts w:ascii="Arial" w:hAnsi="Arial" w:cs="Arial"/>
          <w:sz w:val="24"/>
          <w:szCs w:val="24"/>
        </w:rPr>
        <w:t>; there is only one observation for each outcome in a month from a state for a given patient group.  Given that we include both states in our model, we had 50 observations f</w:t>
      </w:r>
      <w:r>
        <w:rPr>
          <w:rFonts w:ascii="Arial" w:hAnsi="Arial" w:cs="Arial"/>
          <w:sz w:val="24"/>
          <w:szCs w:val="24"/>
        </w:rPr>
        <w:t>or each outcome (25 observation</w:t>
      </w:r>
      <w:r w:rsidRPr="00AB2BE9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 xml:space="preserve">the intervention </w:t>
      </w:r>
      <w:r w:rsidRPr="00AB2BE9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Florida and 25 observations from the comparison state Georgia</w:t>
      </w:r>
      <w:r w:rsidRPr="00AB2BE9">
        <w:rPr>
          <w:rFonts w:ascii="Arial" w:hAnsi="Arial" w:cs="Arial"/>
          <w:sz w:val="24"/>
          <w:szCs w:val="24"/>
        </w:rPr>
        <w:t>).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Pr="00AB2BE9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Pr="00CF13EC" w:rsidRDefault="0092670C" w:rsidP="0092670C">
      <w:pPr>
        <w:spacing w:after="0"/>
        <w:rPr>
          <w:rFonts w:ascii="Arial" w:hAnsi="Arial" w:cs="Arial"/>
          <w:b/>
          <w:sz w:val="24"/>
          <w:szCs w:val="24"/>
        </w:rPr>
      </w:pPr>
      <w:r w:rsidRPr="00CF13EC">
        <w:rPr>
          <w:rFonts w:ascii="Arial" w:hAnsi="Arial" w:cs="Arial"/>
          <w:b/>
          <w:sz w:val="24"/>
          <w:szCs w:val="24"/>
        </w:rPr>
        <w:t>The equation of the model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  <w:r w:rsidRPr="00AB2BE9">
        <w:rPr>
          <w:rFonts w:ascii="Arial" w:hAnsi="Arial" w:cs="Arial"/>
          <w:sz w:val="24"/>
          <w:szCs w:val="24"/>
        </w:rPr>
        <w:t xml:space="preserve">Outcome = intercept + </w:t>
      </w:r>
      <w:r>
        <w:rPr>
          <w:rFonts w:ascii="Arial" w:hAnsi="Arial" w:cs="Arial"/>
          <w:sz w:val="24"/>
          <w:szCs w:val="24"/>
        </w:rPr>
        <w:t>β1</w:t>
      </w:r>
      <w:r w:rsidRPr="00AB2BE9">
        <w:rPr>
          <w:rFonts w:ascii="Arial" w:hAnsi="Arial" w:cs="Arial"/>
          <w:sz w:val="24"/>
          <w:szCs w:val="24"/>
        </w:rPr>
        <w:t xml:space="preserve">*month indicator + </w:t>
      </w:r>
      <w:r>
        <w:rPr>
          <w:rFonts w:ascii="Arial" w:hAnsi="Arial" w:cs="Arial"/>
          <w:sz w:val="24"/>
          <w:szCs w:val="24"/>
        </w:rPr>
        <w:t>β2</w:t>
      </w:r>
      <w:r w:rsidRPr="00AB2BE9">
        <w:rPr>
          <w:rFonts w:ascii="Arial" w:hAnsi="Arial" w:cs="Arial"/>
          <w:sz w:val="24"/>
          <w:szCs w:val="24"/>
        </w:rPr>
        <w:t xml:space="preserve">*state indicator + </w:t>
      </w:r>
      <w:r>
        <w:rPr>
          <w:rFonts w:ascii="Arial" w:hAnsi="Arial" w:cs="Arial"/>
          <w:sz w:val="24"/>
          <w:szCs w:val="24"/>
        </w:rPr>
        <w:t>β3</w:t>
      </w:r>
      <w:r w:rsidRPr="00AB2BE9">
        <w:rPr>
          <w:rFonts w:ascii="Arial" w:hAnsi="Arial" w:cs="Arial"/>
          <w:sz w:val="24"/>
          <w:szCs w:val="24"/>
        </w:rPr>
        <w:t xml:space="preserve">*period indicator + </w:t>
      </w:r>
      <w:r>
        <w:rPr>
          <w:rFonts w:ascii="Arial" w:hAnsi="Arial" w:cs="Arial"/>
          <w:sz w:val="24"/>
          <w:szCs w:val="24"/>
        </w:rPr>
        <w:t>β4</w:t>
      </w:r>
      <w:r w:rsidRPr="00AB2BE9">
        <w:rPr>
          <w:rFonts w:ascii="Arial" w:hAnsi="Arial" w:cs="Arial"/>
          <w:sz w:val="24"/>
          <w:szCs w:val="24"/>
        </w:rPr>
        <w:t>*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post-intervention month indicator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 + </w:t>
      </w:r>
      <w:r>
        <w:rPr>
          <w:rFonts w:ascii="Arial" w:hAnsi="Arial" w:cs="Arial"/>
          <w:sz w:val="24"/>
          <w:szCs w:val="24"/>
        </w:rPr>
        <w:t>β5</w:t>
      </w:r>
      <w:r w:rsidRPr="00AB2BE9">
        <w:rPr>
          <w:rFonts w:ascii="Arial" w:hAnsi="Arial" w:cs="Arial"/>
          <w:sz w:val="24"/>
          <w:szCs w:val="24"/>
        </w:rPr>
        <w:t>*state indicator*month indicator +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OLE_LINK46"/>
      <w:bookmarkStart w:id="3" w:name="OLE_LINK47"/>
      <w:r>
        <w:rPr>
          <w:rFonts w:ascii="Arial" w:hAnsi="Arial" w:cs="Arial"/>
          <w:sz w:val="24"/>
          <w:szCs w:val="24"/>
        </w:rPr>
        <w:t>β6</w:t>
      </w:r>
      <w:bookmarkEnd w:id="2"/>
      <w:bookmarkEnd w:id="3"/>
      <w:r w:rsidRPr="00AB2BE9">
        <w:rPr>
          <w:rFonts w:ascii="Arial" w:hAnsi="Arial" w:cs="Arial"/>
          <w:sz w:val="24"/>
          <w:szCs w:val="24"/>
        </w:rPr>
        <w:t>*state indicator*period indicator +</w:t>
      </w:r>
      <w:r>
        <w:rPr>
          <w:rFonts w:ascii="Arial" w:hAnsi="Arial" w:cs="Arial"/>
          <w:sz w:val="24"/>
          <w:szCs w:val="24"/>
        </w:rPr>
        <w:t xml:space="preserve"> β7</w:t>
      </w:r>
      <w:r w:rsidRPr="00AB2BE9">
        <w:rPr>
          <w:rFonts w:ascii="Arial" w:hAnsi="Arial" w:cs="Arial"/>
          <w:sz w:val="24"/>
          <w:szCs w:val="24"/>
        </w:rPr>
        <w:t>*state indicator*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post-intervention month indicator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  <w:proofErr w:type="gramStart"/>
      <w:r>
        <w:rPr>
          <w:rFonts w:ascii="Arial" w:eastAsia="PMingLiU" w:hAnsi="Arial" w:cs="Arial"/>
          <w:sz w:val="24"/>
          <w:szCs w:val="24"/>
          <w:lang w:eastAsia="en-US"/>
        </w:rPr>
        <w:t>month</w:t>
      </w:r>
      <w:proofErr w:type="gramEnd"/>
      <w:r>
        <w:rPr>
          <w:rFonts w:ascii="Arial" w:eastAsia="PMingLiU" w:hAnsi="Arial" w:cs="Arial"/>
          <w:sz w:val="24"/>
          <w:szCs w:val="24"/>
          <w:lang w:eastAsia="en-US"/>
        </w:rPr>
        <w:t xml:space="preserve"> indicator: a number representing which month this observation came from and ranging from 1 to 25.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indicator: a binary indicator representing which state this observation came from (1: Florida / 0: Georgia).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indicator: a binary indicator representing whether this observation came from the pre-policy period (1: No / 0: Yes).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  <w:proofErr w:type="gramStart"/>
      <w:r>
        <w:rPr>
          <w:rFonts w:ascii="Arial" w:eastAsia="PMingLiU" w:hAnsi="Arial" w:cs="Arial"/>
          <w:sz w:val="24"/>
          <w:szCs w:val="24"/>
          <w:lang w:eastAsia="en-US"/>
        </w:rPr>
        <w:t>p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ost-intervention</w:t>
      </w:r>
      <w:proofErr w:type="gramEnd"/>
      <w:r w:rsidRPr="00AB2BE9">
        <w:rPr>
          <w:rFonts w:ascii="Arial" w:eastAsia="PMingLiU" w:hAnsi="Arial" w:cs="Arial"/>
          <w:sz w:val="24"/>
          <w:szCs w:val="24"/>
          <w:lang w:eastAsia="en-US"/>
        </w:rPr>
        <w:t xml:space="preserve"> month indicator</w:t>
      </w:r>
      <w:r>
        <w:rPr>
          <w:rFonts w:ascii="Arial" w:eastAsia="PMingLiU" w:hAnsi="Arial" w:cs="Arial"/>
          <w:sz w:val="24"/>
          <w:szCs w:val="24"/>
          <w:lang w:eastAsia="en-US"/>
        </w:rPr>
        <w:t>: a number representing which post-intervention month this observation came from and ranging from 0 to 13; all 12 observations coming from the pre-intervention period assigned to 0.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B2BE9">
        <w:rPr>
          <w:rFonts w:ascii="Arial" w:hAnsi="Arial" w:cs="Arial"/>
          <w:sz w:val="24"/>
          <w:szCs w:val="24"/>
        </w:rPr>
        <w:t>state</w:t>
      </w:r>
      <w:proofErr w:type="gramEnd"/>
      <w:r w:rsidRPr="00AB2BE9">
        <w:rPr>
          <w:rFonts w:ascii="Arial" w:hAnsi="Arial" w:cs="Arial"/>
          <w:sz w:val="24"/>
          <w:szCs w:val="24"/>
        </w:rPr>
        <w:t xml:space="preserve"> indicator*month indicator</w:t>
      </w:r>
      <w:r>
        <w:rPr>
          <w:rFonts w:ascii="Arial" w:hAnsi="Arial" w:cs="Arial"/>
          <w:sz w:val="24"/>
          <w:szCs w:val="24"/>
        </w:rPr>
        <w:t xml:space="preserve">: the product of </w:t>
      </w:r>
      <w:r w:rsidRPr="00AB2BE9">
        <w:rPr>
          <w:rFonts w:ascii="Arial" w:hAnsi="Arial" w:cs="Arial"/>
          <w:sz w:val="24"/>
          <w:szCs w:val="24"/>
        </w:rPr>
        <w:t>state indicator</w:t>
      </w:r>
      <w:r>
        <w:rPr>
          <w:rFonts w:ascii="Arial" w:hAnsi="Arial" w:cs="Arial"/>
          <w:sz w:val="24"/>
          <w:szCs w:val="24"/>
        </w:rPr>
        <w:t xml:space="preserve"> and </w:t>
      </w:r>
      <w:r w:rsidRPr="00AB2BE9">
        <w:rPr>
          <w:rFonts w:ascii="Arial" w:hAnsi="Arial" w:cs="Arial"/>
          <w:sz w:val="24"/>
          <w:szCs w:val="24"/>
        </w:rPr>
        <w:t>month indicator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B2BE9">
        <w:rPr>
          <w:rFonts w:ascii="Arial" w:hAnsi="Arial" w:cs="Arial"/>
          <w:sz w:val="24"/>
          <w:szCs w:val="24"/>
        </w:rPr>
        <w:t>state</w:t>
      </w:r>
      <w:proofErr w:type="gramEnd"/>
      <w:r w:rsidRPr="00AB2BE9">
        <w:rPr>
          <w:rFonts w:ascii="Arial" w:hAnsi="Arial" w:cs="Arial"/>
          <w:sz w:val="24"/>
          <w:szCs w:val="24"/>
        </w:rPr>
        <w:t xml:space="preserve"> indicator*period indicator</w:t>
      </w:r>
      <w:r>
        <w:rPr>
          <w:rFonts w:ascii="Arial" w:hAnsi="Arial" w:cs="Arial"/>
          <w:sz w:val="24"/>
          <w:szCs w:val="24"/>
        </w:rPr>
        <w:t xml:space="preserve">: the product of </w:t>
      </w:r>
      <w:r w:rsidRPr="00AB2BE9">
        <w:rPr>
          <w:rFonts w:ascii="Arial" w:hAnsi="Arial" w:cs="Arial"/>
          <w:sz w:val="24"/>
          <w:szCs w:val="24"/>
        </w:rPr>
        <w:t>state indicator</w:t>
      </w:r>
      <w:r>
        <w:rPr>
          <w:rFonts w:ascii="Arial" w:hAnsi="Arial" w:cs="Arial"/>
          <w:sz w:val="24"/>
          <w:szCs w:val="24"/>
        </w:rPr>
        <w:t xml:space="preserve"> and period</w:t>
      </w:r>
      <w:r w:rsidRPr="00AB2BE9">
        <w:rPr>
          <w:rFonts w:ascii="Arial" w:hAnsi="Arial" w:cs="Arial"/>
          <w:sz w:val="24"/>
          <w:szCs w:val="24"/>
        </w:rPr>
        <w:t xml:space="preserve"> indicator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  <w:proofErr w:type="gramStart"/>
      <w:r w:rsidRPr="00AB2BE9">
        <w:rPr>
          <w:rFonts w:ascii="Arial" w:hAnsi="Arial" w:cs="Arial"/>
          <w:sz w:val="24"/>
          <w:szCs w:val="24"/>
        </w:rPr>
        <w:t>state</w:t>
      </w:r>
      <w:proofErr w:type="gramEnd"/>
      <w:r w:rsidRPr="00AB2BE9">
        <w:rPr>
          <w:rFonts w:ascii="Arial" w:hAnsi="Arial" w:cs="Arial"/>
          <w:sz w:val="24"/>
          <w:szCs w:val="24"/>
        </w:rPr>
        <w:t xml:space="preserve"> indicator*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post-intervention month indicator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product of </w:t>
      </w:r>
      <w:r w:rsidRPr="00AB2BE9">
        <w:rPr>
          <w:rFonts w:ascii="Arial" w:hAnsi="Arial" w:cs="Arial"/>
          <w:sz w:val="24"/>
          <w:szCs w:val="24"/>
        </w:rPr>
        <w:t>state indicator</w:t>
      </w:r>
      <w:r>
        <w:rPr>
          <w:rFonts w:ascii="Arial" w:hAnsi="Arial" w:cs="Arial"/>
          <w:sz w:val="24"/>
          <w:szCs w:val="24"/>
        </w:rPr>
        <w:t xml:space="preserve"> and 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post-intervention month indicator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p w:rsidR="0092670C" w:rsidRPr="00417F86" w:rsidRDefault="0092670C" w:rsidP="0092670C">
      <w:pPr>
        <w:spacing w:after="0"/>
        <w:rPr>
          <w:rFonts w:ascii="Arial" w:eastAsia="PMingLiU" w:hAnsi="Arial" w:cs="Arial"/>
          <w:b/>
          <w:sz w:val="24"/>
          <w:szCs w:val="24"/>
          <w:lang w:eastAsia="en-US"/>
        </w:rPr>
      </w:pPr>
      <w:r w:rsidRPr="00417F86">
        <w:rPr>
          <w:rFonts w:ascii="Arial" w:eastAsia="PMingLiU" w:hAnsi="Arial" w:cs="Arial"/>
          <w:b/>
          <w:sz w:val="24"/>
          <w:szCs w:val="24"/>
          <w:lang w:eastAsia="en-US"/>
        </w:rPr>
        <w:t xml:space="preserve">Trend/Slope by state and period 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  <w:r>
        <w:rPr>
          <w:rFonts w:ascii="Arial" w:eastAsia="PMingLiU" w:hAnsi="Arial" w:cs="Arial"/>
          <w:sz w:val="24"/>
          <w:szCs w:val="24"/>
          <w:lang w:eastAsia="en-US"/>
        </w:rPr>
        <w:t>Using the equation above, I presented how the comparative change in trend was calculated.</w:t>
      </w:r>
    </w:p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670C" w:rsidTr="00212BED">
        <w:trPr>
          <w:trHeight w:val="607"/>
        </w:trPr>
        <w:tc>
          <w:tcPr>
            <w:tcW w:w="2337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Pre-Intervention</w:t>
            </w:r>
          </w:p>
        </w:tc>
        <w:tc>
          <w:tcPr>
            <w:tcW w:w="2338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Post-Intervention</w:t>
            </w:r>
          </w:p>
        </w:tc>
        <w:tc>
          <w:tcPr>
            <w:tcW w:w="2338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Difference between periods</w:t>
            </w:r>
          </w:p>
        </w:tc>
      </w:tr>
      <w:tr w:rsidR="0092670C" w:rsidTr="00212BED">
        <w:trPr>
          <w:trHeight w:val="607"/>
        </w:trPr>
        <w:tc>
          <w:tcPr>
            <w:tcW w:w="2337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Florida</w:t>
            </w:r>
          </w:p>
        </w:tc>
        <w:tc>
          <w:tcPr>
            <w:tcW w:w="2337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bookmarkStart w:id="4" w:name="OLE_LINK23"/>
            <w:bookmarkStart w:id="5" w:name="OLE_LINK20"/>
            <w:r>
              <w:rPr>
                <w:rFonts w:ascii="Arial" w:hAnsi="Arial" w:cs="Arial"/>
                <w:sz w:val="24"/>
                <w:szCs w:val="24"/>
              </w:rPr>
              <w:t>β1</w:t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+ </w:t>
            </w:r>
            <w:bookmarkStart w:id="6" w:name="OLE_LINK29"/>
            <w:bookmarkStart w:id="7" w:name="OLE_LINK30"/>
            <w:r>
              <w:rPr>
                <w:rFonts w:ascii="Arial" w:hAnsi="Arial" w:cs="Arial"/>
                <w:sz w:val="24"/>
                <w:szCs w:val="24"/>
              </w:rPr>
              <w:t>β5</w:t>
            </w:r>
            <w:bookmarkEnd w:id="5"/>
            <w:bookmarkEnd w:id="6"/>
            <w:bookmarkEnd w:id="7"/>
          </w:p>
        </w:tc>
        <w:tc>
          <w:tcPr>
            <w:tcW w:w="2338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bookmarkStart w:id="8" w:name="OLE_LINK24"/>
            <w:bookmarkStart w:id="9" w:name="OLE_LINK25"/>
            <w:bookmarkStart w:id="10" w:name="OLE_LINK38"/>
            <w:bookmarkStart w:id="11" w:name="OLE_LINK39"/>
            <w:r>
              <w:rPr>
                <w:rFonts w:ascii="Arial" w:hAnsi="Arial" w:cs="Arial"/>
                <w:sz w:val="24"/>
                <w:szCs w:val="24"/>
              </w:rPr>
              <w:t xml:space="preserve">β1 </w:t>
            </w: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+ </w:t>
            </w:r>
            <w:bookmarkStart w:id="12" w:name="OLE_LINK26"/>
            <w:bookmarkStart w:id="13" w:name="OLE_LINK27"/>
            <w:r>
              <w:rPr>
                <w:rFonts w:ascii="Arial" w:hAnsi="Arial" w:cs="Arial"/>
                <w:sz w:val="24"/>
                <w:szCs w:val="24"/>
              </w:rPr>
              <w:t xml:space="preserve">β4 </w:t>
            </w:r>
            <w:bookmarkEnd w:id="8"/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bookmarkStart w:id="14" w:name="OLE_LINK31"/>
            <w:bookmarkStart w:id="15" w:name="OLE_LINK32"/>
            <w:bookmarkStart w:id="16" w:name="OLE_LINK33"/>
            <w:r>
              <w:rPr>
                <w:rFonts w:ascii="Arial" w:hAnsi="Arial" w:cs="Arial"/>
                <w:sz w:val="24"/>
                <w:szCs w:val="24"/>
              </w:rPr>
              <w:t>β5 + β7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338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bookmarkStart w:id="17" w:name="OLE_LINK28"/>
            <w:bookmarkStart w:id="18" w:name="OLE_LINK40"/>
            <w:bookmarkStart w:id="19" w:name="OLE_LINK41"/>
            <w:bookmarkStart w:id="20" w:name="OLE_LINK42"/>
            <w:r>
              <w:rPr>
                <w:rFonts w:ascii="Arial" w:hAnsi="Arial" w:cs="Arial"/>
                <w:sz w:val="24"/>
                <w:szCs w:val="24"/>
              </w:rPr>
              <w:t>β4</w:t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bookmarkStart w:id="21" w:name="OLE_LINK34"/>
            <w:bookmarkStart w:id="22" w:name="OLE_LINK35"/>
            <w:r>
              <w:rPr>
                <w:rFonts w:ascii="Arial" w:hAnsi="Arial" w:cs="Arial"/>
                <w:sz w:val="24"/>
                <w:szCs w:val="24"/>
              </w:rPr>
              <w:t>β7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92670C" w:rsidTr="00212BED">
        <w:trPr>
          <w:trHeight w:val="607"/>
        </w:trPr>
        <w:tc>
          <w:tcPr>
            <w:tcW w:w="2337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Georgia</w:t>
            </w:r>
          </w:p>
        </w:tc>
        <w:tc>
          <w:tcPr>
            <w:tcW w:w="2337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β1</w:t>
            </w:r>
          </w:p>
        </w:tc>
        <w:tc>
          <w:tcPr>
            <w:tcW w:w="2338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β1 </w:t>
            </w: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>β4</w:t>
            </w:r>
          </w:p>
        </w:tc>
        <w:tc>
          <w:tcPr>
            <w:tcW w:w="2338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β4</w:t>
            </w:r>
          </w:p>
        </w:tc>
      </w:tr>
      <w:tr w:rsidR="0092670C" w:rsidTr="00212BED">
        <w:trPr>
          <w:trHeight w:val="607"/>
        </w:trPr>
        <w:tc>
          <w:tcPr>
            <w:tcW w:w="2337" w:type="dxa"/>
          </w:tcPr>
          <w:p w:rsidR="0092670C" w:rsidRDefault="0092670C" w:rsidP="00212BED">
            <w:pPr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Difference between states</w:t>
            </w:r>
          </w:p>
        </w:tc>
        <w:tc>
          <w:tcPr>
            <w:tcW w:w="2337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β5</w:t>
            </w:r>
          </w:p>
        </w:tc>
        <w:tc>
          <w:tcPr>
            <w:tcW w:w="2338" w:type="dxa"/>
          </w:tcPr>
          <w:p w:rsidR="0092670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β5 + β7</w:t>
            </w:r>
          </w:p>
        </w:tc>
        <w:tc>
          <w:tcPr>
            <w:tcW w:w="2338" w:type="dxa"/>
          </w:tcPr>
          <w:p w:rsidR="0092670C" w:rsidRPr="00CF13EC" w:rsidRDefault="0092670C" w:rsidP="00212BED">
            <w:pPr>
              <w:snapToGrid w:val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  <w:lang w:eastAsia="en-US"/>
              </w:rPr>
            </w:pPr>
            <w:r w:rsidRPr="00BD055F">
              <w:rPr>
                <w:rFonts w:ascii="Arial" w:hAnsi="Arial" w:cs="Arial"/>
                <w:sz w:val="24"/>
                <w:szCs w:val="24"/>
              </w:rPr>
              <w:t>β7</w:t>
            </w:r>
          </w:p>
        </w:tc>
      </w:tr>
    </w:tbl>
    <w:p w:rsidR="0092670C" w:rsidRDefault="0092670C" w:rsidP="0092670C">
      <w:pPr>
        <w:spacing w:after="0"/>
        <w:rPr>
          <w:rFonts w:ascii="Arial" w:eastAsia="PMingLiU" w:hAnsi="Arial" w:cs="Arial"/>
          <w:sz w:val="24"/>
          <w:szCs w:val="24"/>
          <w:lang w:eastAsia="en-US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bookmarkStart w:id="23" w:name="OLE_LINK43"/>
      <w:r>
        <w:rPr>
          <w:rFonts w:ascii="Arial" w:hAnsi="Arial" w:cs="Arial"/>
          <w:sz w:val="24"/>
          <w:szCs w:val="24"/>
        </w:rPr>
        <w:t xml:space="preserve">In Florida </w:t>
      </w:r>
      <w:bookmarkStart w:id="24" w:name="OLE_LINK36"/>
      <w:bookmarkStart w:id="25" w:name="OLE_LINK37"/>
      <w:r>
        <w:rPr>
          <w:rFonts w:ascii="Arial" w:hAnsi="Arial" w:cs="Arial"/>
          <w:sz w:val="24"/>
          <w:szCs w:val="24"/>
        </w:rPr>
        <w:t xml:space="preserve">in the pre-intervention period, an outcome variable would increase by “β1 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β5” per month; </w:t>
      </w:r>
      <w:bookmarkEnd w:id="24"/>
      <w:bookmarkEnd w:id="25"/>
      <w:r>
        <w:rPr>
          <w:rFonts w:ascii="Arial" w:hAnsi="Arial" w:cs="Arial"/>
          <w:sz w:val="24"/>
          <w:szCs w:val="24"/>
        </w:rPr>
        <w:t xml:space="preserve">in the post-intervention period, an outcome variable would increase by “β1 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β4 + β5 + β7” per month.  The difference in slope between the pre- and post-intervention in Florida is “β4 + </w:t>
      </w:r>
      <w:bookmarkStart w:id="26" w:name="OLE_LINK44"/>
      <w:bookmarkStart w:id="27" w:name="OLE_LINK45"/>
      <w:r>
        <w:rPr>
          <w:rFonts w:ascii="Arial" w:hAnsi="Arial" w:cs="Arial"/>
          <w:sz w:val="24"/>
          <w:szCs w:val="24"/>
        </w:rPr>
        <w:t>β7</w:t>
      </w:r>
      <w:bookmarkEnd w:id="26"/>
      <w:bookmarkEnd w:id="27"/>
      <w:r>
        <w:rPr>
          <w:rFonts w:ascii="Arial" w:hAnsi="Arial" w:cs="Arial"/>
          <w:sz w:val="24"/>
          <w:szCs w:val="24"/>
        </w:rPr>
        <w:t>”.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bookmarkEnd w:id="23"/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Georgia in the pre-intervention period, an outcome variable would increase by “β1” per month; in the post-intervention period, an outcome variable would increase by “β1 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+ </w:t>
      </w:r>
      <w:r>
        <w:rPr>
          <w:rFonts w:ascii="Arial" w:hAnsi="Arial" w:cs="Arial"/>
          <w:sz w:val="24"/>
          <w:szCs w:val="24"/>
        </w:rPr>
        <w:t>β4” per month.  The difference in slope between the pre- and post-intervention in Georgia is “β4”.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difference between the difference in Florida and the difference in Georgia is “β7”, the main outcome in your study and reported under “comparative change in trend” in table 2.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Pr="00390CCC" w:rsidRDefault="0092670C" w:rsidP="0092670C">
      <w:pPr>
        <w:spacing w:after="0"/>
        <w:rPr>
          <w:rFonts w:ascii="Arial" w:hAnsi="Arial" w:cs="Arial"/>
          <w:b/>
          <w:sz w:val="24"/>
          <w:szCs w:val="24"/>
        </w:rPr>
      </w:pPr>
      <w:r w:rsidRPr="00390CCC">
        <w:rPr>
          <w:rFonts w:ascii="Arial" w:hAnsi="Arial" w:cs="Arial"/>
          <w:b/>
          <w:sz w:val="24"/>
          <w:szCs w:val="24"/>
        </w:rPr>
        <w:t>Predicted Values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Predicted values were calculated under the assumption that the intervention was not implemented.  If the intervention was not implemented, we would not expect to observe a comparative change in either level (β6) or slope (β7). Therefore, using the coefficients derived from the previous equation, the predicted value would be:</w:t>
      </w:r>
    </w:p>
    <w:p w:rsidR="0092670C" w:rsidRDefault="0092670C" w:rsidP="0092670C">
      <w:pPr>
        <w:spacing w:after="0"/>
        <w:rPr>
          <w:rFonts w:ascii="Arial" w:hAnsi="Arial" w:cs="Arial"/>
          <w:sz w:val="24"/>
          <w:szCs w:val="24"/>
        </w:rPr>
      </w:pPr>
    </w:p>
    <w:p w:rsidR="0092670C" w:rsidRPr="00561EE9" w:rsidRDefault="0092670C" w:rsidP="00210E36">
      <w:pPr>
        <w:spacing w:after="0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Predicted </w:t>
      </w:r>
      <w:r w:rsidRPr="00AB2BE9">
        <w:rPr>
          <w:rFonts w:ascii="Arial" w:hAnsi="Arial" w:cs="Arial"/>
          <w:sz w:val="24"/>
          <w:szCs w:val="24"/>
        </w:rPr>
        <w:t xml:space="preserve">Outcome = intercept + </w:t>
      </w:r>
      <w:r>
        <w:rPr>
          <w:rFonts w:ascii="Arial" w:hAnsi="Arial" w:cs="Arial"/>
          <w:sz w:val="24"/>
          <w:szCs w:val="24"/>
        </w:rPr>
        <w:t>β1</w:t>
      </w:r>
      <w:r w:rsidRPr="00AB2BE9">
        <w:rPr>
          <w:rFonts w:ascii="Arial" w:hAnsi="Arial" w:cs="Arial"/>
          <w:sz w:val="24"/>
          <w:szCs w:val="24"/>
        </w:rPr>
        <w:t xml:space="preserve">*month indicator + </w:t>
      </w:r>
      <w:r>
        <w:rPr>
          <w:rFonts w:ascii="Arial" w:hAnsi="Arial" w:cs="Arial"/>
          <w:sz w:val="24"/>
          <w:szCs w:val="24"/>
        </w:rPr>
        <w:t>β2</w:t>
      </w:r>
      <w:r w:rsidRPr="00AB2BE9">
        <w:rPr>
          <w:rFonts w:ascii="Arial" w:hAnsi="Arial" w:cs="Arial"/>
          <w:sz w:val="24"/>
          <w:szCs w:val="24"/>
        </w:rPr>
        <w:t xml:space="preserve">*state indicator + </w:t>
      </w:r>
      <w:r>
        <w:rPr>
          <w:rFonts w:ascii="Arial" w:hAnsi="Arial" w:cs="Arial"/>
          <w:sz w:val="24"/>
          <w:szCs w:val="24"/>
        </w:rPr>
        <w:t>β3</w:t>
      </w:r>
      <w:r w:rsidRPr="00AB2BE9">
        <w:rPr>
          <w:rFonts w:ascii="Arial" w:hAnsi="Arial" w:cs="Arial"/>
          <w:sz w:val="24"/>
          <w:szCs w:val="24"/>
        </w:rPr>
        <w:t xml:space="preserve">*period indicator + </w:t>
      </w:r>
      <w:r>
        <w:rPr>
          <w:rFonts w:ascii="Arial" w:hAnsi="Arial" w:cs="Arial"/>
          <w:sz w:val="24"/>
          <w:szCs w:val="24"/>
        </w:rPr>
        <w:t>β4</w:t>
      </w:r>
      <w:r w:rsidRPr="00AB2BE9">
        <w:rPr>
          <w:rFonts w:ascii="Arial" w:hAnsi="Arial" w:cs="Arial"/>
          <w:sz w:val="24"/>
          <w:szCs w:val="24"/>
        </w:rPr>
        <w:t>*</w:t>
      </w:r>
      <w:r w:rsidRPr="00AB2BE9">
        <w:rPr>
          <w:rFonts w:ascii="Arial" w:eastAsia="PMingLiU" w:hAnsi="Arial" w:cs="Arial"/>
          <w:sz w:val="24"/>
          <w:szCs w:val="24"/>
          <w:lang w:eastAsia="en-US"/>
        </w:rPr>
        <w:t>post-intervention month indicator</w:t>
      </w:r>
      <w:r>
        <w:rPr>
          <w:rFonts w:ascii="Arial" w:eastAsia="PMingLiU" w:hAnsi="Arial" w:cs="Arial"/>
          <w:sz w:val="24"/>
          <w:szCs w:val="24"/>
          <w:lang w:eastAsia="en-US"/>
        </w:rPr>
        <w:t xml:space="preserve"> + </w:t>
      </w:r>
      <w:r>
        <w:rPr>
          <w:rFonts w:ascii="Arial" w:hAnsi="Arial" w:cs="Arial"/>
          <w:sz w:val="24"/>
          <w:szCs w:val="24"/>
        </w:rPr>
        <w:t>β5</w:t>
      </w:r>
      <w:r w:rsidRPr="00AB2BE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state indicator*month indicator</w:t>
      </w:r>
      <w:bookmarkEnd w:id="0"/>
      <w:bookmarkEnd w:id="1"/>
      <w:r w:rsidR="00210E36">
        <w:rPr>
          <w:rFonts w:ascii="Arial" w:hAnsi="Arial" w:cs="Arial"/>
          <w:sz w:val="24"/>
          <w:szCs w:val="24"/>
        </w:rPr>
        <w:t>.</w:t>
      </w:r>
      <w:bookmarkStart w:id="28" w:name="_GoBack"/>
      <w:bookmarkEnd w:id="28"/>
    </w:p>
    <w:sectPr w:rsidR="0092670C" w:rsidRPr="00561EE9" w:rsidSect="00210E36">
      <w:pgSz w:w="15840" w:h="12240" w:orient="landscape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C"/>
    <w:rsid w:val="001D6259"/>
    <w:rsid w:val="00210E36"/>
    <w:rsid w:val="00231F79"/>
    <w:rsid w:val="0037489D"/>
    <w:rsid w:val="00427EAA"/>
    <w:rsid w:val="004A2E7A"/>
    <w:rsid w:val="00690A89"/>
    <w:rsid w:val="007742FE"/>
    <w:rsid w:val="008D7EAB"/>
    <w:rsid w:val="0092670C"/>
    <w:rsid w:val="00D6387E"/>
    <w:rsid w:val="00E36B0A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3C2E"/>
  <w15:chartTrackingRefBased/>
  <w15:docId w15:val="{CB92C915-EB2A-4B10-BB1B-1449477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70C"/>
    <w:pPr>
      <w:spacing w:after="0" w:line="240" w:lineRule="auto"/>
    </w:pPr>
    <w:rPr>
      <w:rFonts w:ascii="Times New Roman" w:eastAsia="PMingLiU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Faul, Mark (CDC/DDNID/NCIPC/DUIP)</cp:lastModifiedBy>
  <cp:revision>3</cp:revision>
  <dcterms:created xsi:type="dcterms:W3CDTF">2019-07-16T17:07:00Z</dcterms:created>
  <dcterms:modified xsi:type="dcterms:W3CDTF">2019-07-16T17:11:00Z</dcterms:modified>
</cp:coreProperties>
</file>