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0C" w:rsidRPr="00561EE9" w:rsidRDefault="00690A89" w:rsidP="0092670C">
      <w:pPr>
        <w:keepNext/>
        <w:spacing w:after="0" w:line="276" w:lineRule="auto"/>
        <w:rPr>
          <w:rFonts w:ascii="Arial" w:eastAsia="PMingLiU" w:hAnsi="Arial" w:cs="Arial"/>
          <w:b/>
          <w:bCs/>
          <w:caps/>
          <w:sz w:val="24"/>
          <w:szCs w:val="24"/>
          <w:lang w:eastAsia="en-US"/>
        </w:rPr>
      </w:pPr>
      <w:bookmarkStart w:id="0" w:name="OLE_LINK15"/>
      <w:bookmarkStart w:id="1" w:name="OLE_LINK53"/>
      <w:bookmarkStart w:id="2" w:name="_GoBack"/>
      <w:bookmarkEnd w:id="2"/>
      <w:r>
        <w:rPr>
          <w:rFonts w:ascii="Arial" w:hAnsi="Arial" w:cs="Arial"/>
          <w:b/>
          <w:sz w:val="24"/>
          <w:szCs w:val="24"/>
        </w:rPr>
        <w:t xml:space="preserve">ONLINE </w:t>
      </w:r>
      <w:r w:rsidR="0092670C" w:rsidRPr="00561EE9">
        <w:rPr>
          <w:rFonts w:ascii="Arial" w:eastAsia="PMingLiU" w:hAnsi="Arial" w:cs="Arial"/>
          <w:b/>
          <w:bCs/>
          <w:caps/>
          <w:sz w:val="24"/>
          <w:szCs w:val="24"/>
          <w:lang w:eastAsia="en-US"/>
        </w:rPr>
        <w:t xml:space="preserve">Appendix </w:t>
      </w:r>
      <w:r w:rsidR="007742FE">
        <w:rPr>
          <w:rFonts w:ascii="Arial" w:eastAsia="PMingLiU" w:hAnsi="Arial" w:cs="Arial"/>
          <w:b/>
          <w:bCs/>
          <w:caps/>
          <w:sz w:val="24"/>
          <w:szCs w:val="24"/>
          <w:lang w:eastAsia="en-US"/>
        </w:rPr>
        <w:t>6</w:t>
      </w:r>
      <w:r w:rsidR="0092670C" w:rsidRPr="00561EE9">
        <w:rPr>
          <w:rFonts w:ascii="Arial" w:eastAsia="PMingLiU" w:hAnsi="Arial" w:cs="Arial"/>
          <w:b/>
          <w:bCs/>
          <w:caps/>
          <w:sz w:val="24"/>
          <w:szCs w:val="24"/>
          <w:lang w:eastAsia="en-US"/>
        </w:rPr>
        <w:t xml:space="preserve">: Difference Between Monthly observed and Predicted Outcomes Without Policy Implementation among non-high-risk patients </w:t>
      </w:r>
    </w:p>
    <w:p w:rsidR="0092670C" w:rsidRPr="00561EE9" w:rsidRDefault="0092670C" w:rsidP="0092670C">
      <w:pPr>
        <w:keepNext/>
        <w:spacing w:after="0" w:line="276" w:lineRule="auto"/>
        <w:rPr>
          <w:rFonts w:ascii="Arial" w:eastAsia="PMingLiU" w:hAnsi="Arial" w:cs="Arial"/>
          <w:b/>
          <w:bCs/>
          <w:caps/>
          <w:sz w:val="24"/>
          <w:szCs w:val="24"/>
          <w:lang w:eastAsia="en-US"/>
        </w:rPr>
      </w:pPr>
    </w:p>
    <w:tbl>
      <w:tblPr>
        <w:tblStyle w:val="TableGrid1"/>
        <w:tblW w:w="15120" w:type="dxa"/>
        <w:tblInd w:w="-972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170"/>
        <w:gridCol w:w="1440"/>
        <w:gridCol w:w="1518"/>
        <w:gridCol w:w="1272"/>
        <w:gridCol w:w="1361"/>
        <w:gridCol w:w="979"/>
        <w:gridCol w:w="84"/>
        <w:gridCol w:w="1176"/>
        <w:gridCol w:w="1205"/>
        <w:gridCol w:w="156"/>
        <w:gridCol w:w="1159"/>
      </w:tblGrid>
      <w:tr w:rsidR="0092670C" w:rsidRPr="00561EE9" w:rsidTr="00212BED">
        <w:trPr>
          <w:trHeight w:val="465"/>
        </w:trPr>
        <w:tc>
          <w:tcPr>
            <w:tcW w:w="3600" w:type="dxa"/>
            <w:tcBorders>
              <w:top w:val="double" w:sz="4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92670C" w:rsidRPr="00561EE9" w:rsidRDefault="0092670C" w:rsidP="00212BE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gridSpan w:val="3"/>
            <w:tcBorders>
              <w:top w:val="doub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 xml:space="preserve">First Half-Year </w:t>
            </w:r>
          </w:p>
          <w:p w:rsidR="0092670C" w:rsidRPr="00561EE9" w:rsidRDefault="0092670C" w:rsidP="00212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After Policy</w:t>
            </w:r>
          </w:p>
        </w:tc>
        <w:tc>
          <w:tcPr>
            <w:tcW w:w="3696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 xml:space="preserve">Second Half-Year </w:t>
            </w:r>
          </w:p>
          <w:p w:rsidR="0092670C" w:rsidRPr="00561EE9" w:rsidRDefault="0092670C" w:rsidP="00212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After Policy</w:t>
            </w:r>
          </w:p>
        </w:tc>
        <w:tc>
          <w:tcPr>
            <w:tcW w:w="3696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 xml:space="preserve">Cumulative One Year </w:t>
            </w:r>
          </w:p>
          <w:p w:rsidR="0092670C" w:rsidRPr="00561EE9" w:rsidRDefault="0092670C" w:rsidP="00212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After Policy</w:t>
            </w:r>
          </w:p>
        </w:tc>
      </w:tr>
      <w:tr w:rsidR="0092670C" w:rsidRPr="00561EE9" w:rsidTr="00212BED">
        <w:trPr>
          <w:trHeight w:val="530"/>
        </w:trPr>
        <w:tc>
          <w:tcPr>
            <w:tcW w:w="3600" w:type="dxa"/>
            <w:tcBorders>
              <w:top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92670C" w:rsidRPr="00561EE9" w:rsidRDefault="0092670C" w:rsidP="00212BED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Actual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Predicted w/o Law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ind w:right="-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Diff, %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Actual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Predicted w/o Law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Diff, 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Actual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Predicted w/o Law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Diff, %</w:t>
            </w:r>
          </w:p>
        </w:tc>
      </w:tr>
      <w:tr w:rsidR="0092670C" w:rsidRPr="00561EE9" w:rsidTr="00212BED">
        <w:trPr>
          <w:gridAfter w:val="2"/>
          <w:wAfter w:w="1315" w:type="dxa"/>
          <w:trHeight w:hRule="exact" w:val="432"/>
        </w:trPr>
        <w:tc>
          <w:tcPr>
            <w:tcW w:w="13805" w:type="dxa"/>
            <w:gridSpan w:val="10"/>
            <w:tcBorders>
              <w:top w:val="single" w:sz="4" w:space="0" w:color="auto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keepNext/>
              <w:keepLines/>
              <w:ind w:left="-2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Concomitant Users</w:t>
            </w:r>
          </w:p>
        </w:tc>
      </w:tr>
      <w:tr w:rsidR="0092670C" w:rsidRPr="00561EE9" w:rsidTr="00212BED">
        <w:trPr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keepNext/>
              <w:keepLines/>
              <w:ind w:left="7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 xml:space="preserve"> MME, mg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47.96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48.18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0.46%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47.14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48.75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3.43%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47.55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48.47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1.93%</w:t>
            </w:r>
          </w:p>
        </w:tc>
      </w:tr>
      <w:tr w:rsidR="0092670C" w:rsidRPr="00561EE9" w:rsidTr="00212BED">
        <w:trPr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keepNext/>
              <w:keepLines/>
              <w:ind w:left="7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 xml:space="preserve"> Total Opioid Volume, kg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214.44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202.06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-5.77%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214.17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200.85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-6.22%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214.31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201.46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-6.00%</w:t>
            </w:r>
          </w:p>
        </w:tc>
      </w:tr>
      <w:tr w:rsidR="0092670C" w:rsidRPr="00561EE9" w:rsidTr="00212BED">
        <w:trPr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keepNext/>
              <w:keepLines/>
              <w:ind w:left="7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 xml:space="preserve"> Days’ Supply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18.31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18.22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-0.49%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18.16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18.32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0.89%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18.23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18.27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0.19%</w:t>
            </w:r>
          </w:p>
        </w:tc>
      </w:tr>
      <w:tr w:rsidR="0092670C" w:rsidRPr="00561EE9" w:rsidTr="00212BED">
        <w:trPr>
          <w:trHeight w:hRule="exact" w:val="360"/>
        </w:trPr>
        <w:tc>
          <w:tcPr>
            <w:tcW w:w="3600" w:type="dxa"/>
            <w:tcBorders>
              <w:top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keepNext/>
              <w:keepLines/>
              <w:ind w:left="7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 xml:space="preserve"> Opioid Prescriptions, 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234,458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232,178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-0.97%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243,565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235,636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-3.26%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239,012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233,907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-2.14%</w:t>
            </w:r>
          </w:p>
        </w:tc>
      </w:tr>
      <w:tr w:rsidR="0092670C" w:rsidRPr="00561EE9" w:rsidTr="00212BED">
        <w:trPr>
          <w:trHeight w:hRule="exact" w:val="360"/>
        </w:trPr>
        <w:tc>
          <w:tcPr>
            <w:tcW w:w="15120" w:type="dxa"/>
            <w:gridSpan w:val="12"/>
            <w:tcBorders>
              <w:top w:val="single" w:sz="4" w:space="0" w:color="auto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keepNext/>
              <w:keepLines/>
              <w:ind w:left="-2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Chronic</w:t>
            </w:r>
            <w:r w:rsidRPr="00561EE9">
              <w:rPr>
                <w:rFonts w:ascii="Arial" w:hAnsi="Arial" w:cs="Arial"/>
                <w:sz w:val="24"/>
                <w:szCs w:val="24"/>
              </w:rPr>
              <w:t xml:space="preserve"> Users</w:t>
            </w:r>
          </w:p>
        </w:tc>
      </w:tr>
      <w:tr w:rsidR="0092670C" w:rsidRPr="00561EE9" w:rsidTr="00212BED">
        <w:trPr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keepNext/>
              <w:keepLines/>
              <w:ind w:left="7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 xml:space="preserve"> MME, mg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42.77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42.39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-0.89%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43.08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43.59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1.19%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42.92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42.99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0.15%</w:t>
            </w:r>
          </w:p>
        </w:tc>
      </w:tr>
      <w:tr w:rsidR="0092670C" w:rsidRPr="00561EE9" w:rsidTr="00212BED">
        <w:trPr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keepNext/>
              <w:keepLines/>
              <w:ind w:left="7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 xml:space="preserve"> Total Opioid Volume, kg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206.34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184.61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-10.53%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213.07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180.69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-15.20%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209.70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182.65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-12.90%</w:t>
            </w:r>
          </w:p>
        </w:tc>
      </w:tr>
      <w:tr w:rsidR="0092670C" w:rsidRPr="00561EE9" w:rsidTr="00212BED">
        <w:trPr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keepNext/>
              <w:keepLines/>
              <w:ind w:left="7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 xml:space="preserve"> Days’ Supply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18.73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18.60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-0.66%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18.62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18.66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0.25%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18.67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18.63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-0.21%</w:t>
            </w:r>
          </w:p>
        </w:tc>
      </w:tr>
      <w:tr w:rsidR="0092670C" w:rsidRPr="00561EE9" w:rsidTr="00212BED">
        <w:trPr>
          <w:trHeight w:hRule="exact" w:val="360"/>
        </w:trPr>
        <w:tc>
          <w:tcPr>
            <w:tcW w:w="3600" w:type="dxa"/>
            <w:tcBorders>
              <w:top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keepNext/>
              <w:keepLines/>
              <w:ind w:left="7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 xml:space="preserve"> Opioid Prescriptions, 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263,530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263,744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0.08%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271,787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265,874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-2.18%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267,659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264,809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-1.06%</w:t>
            </w:r>
          </w:p>
        </w:tc>
      </w:tr>
      <w:tr w:rsidR="0092670C" w:rsidRPr="00561EE9" w:rsidTr="00212BED">
        <w:trPr>
          <w:gridAfter w:val="2"/>
          <w:wAfter w:w="1315" w:type="dxa"/>
          <w:trHeight w:hRule="exact" w:val="360"/>
        </w:trPr>
        <w:tc>
          <w:tcPr>
            <w:tcW w:w="13805" w:type="dxa"/>
            <w:gridSpan w:val="10"/>
            <w:tcBorders>
              <w:top w:val="single" w:sz="4" w:space="0" w:color="auto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keepNext/>
              <w:keepLines/>
              <w:ind w:left="-2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Opioid Shoppers</w:t>
            </w:r>
          </w:p>
        </w:tc>
      </w:tr>
      <w:tr w:rsidR="0092670C" w:rsidRPr="00561EE9" w:rsidTr="00212BED">
        <w:trPr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keepNext/>
              <w:keepLines/>
              <w:ind w:left="7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 xml:space="preserve"> MME, mg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52.13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53.60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2.82%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50.51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54.64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8.18%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51.32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54.12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5.46%</w:t>
            </w:r>
          </w:p>
        </w:tc>
      </w:tr>
      <w:tr w:rsidR="0092670C" w:rsidRPr="00561EE9" w:rsidTr="00212BED">
        <w:trPr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keepNext/>
              <w:keepLines/>
              <w:ind w:left="7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 xml:space="preserve"> Total Opioid Volume, kg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311.44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309.95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-0.48%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299.32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306.47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2.39%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305.38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308.21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0.93%</w:t>
            </w:r>
          </w:p>
        </w:tc>
      </w:tr>
      <w:tr w:rsidR="0092670C" w:rsidRPr="00561EE9" w:rsidTr="00212BED">
        <w:trPr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keepNext/>
              <w:keepLines/>
              <w:ind w:left="7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 xml:space="preserve"> Days’ Supply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19.58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19.50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-0.41%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19.33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19.43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0.53%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19.45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19.47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0.06%</w:t>
            </w:r>
          </w:p>
        </w:tc>
      </w:tr>
      <w:tr w:rsidR="0092670C" w:rsidRPr="00561EE9" w:rsidTr="00212BED">
        <w:trPr>
          <w:trHeight w:hRule="exact" w:val="531"/>
        </w:trPr>
        <w:tc>
          <w:tcPr>
            <w:tcW w:w="3600" w:type="dxa"/>
            <w:tcBorders>
              <w:top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2670C" w:rsidRPr="00561EE9" w:rsidRDefault="0092670C" w:rsidP="00212BED">
            <w:pPr>
              <w:keepNext/>
              <w:keepLines/>
              <w:ind w:left="7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 xml:space="preserve"> Opioid Prescriptions, N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288,712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291,891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1.10%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293,967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293,943</w:t>
            </w:r>
          </w:p>
        </w:tc>
        <w:tc>
          <w:tcPr>
            <w:tcW w:w="97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-0.01%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291,339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292,917</w:t>
            </w:r>
          </w:p>
        </w:tc>
        <w:tc>
          <w:tcPr>
            <w:tcW w:w="11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2670C" w:rsidRPr="00561EE9" w:rsidRDefault="0092670C" w:rsidP="00212B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EE9">
              <w:rPr>
                <w:rFonts w:ascii="Arial" w:hAnsi="Arial" w:cs="Arial"/>
                <w:color w:val="000000"/>
                <w:sz w:val="24"/>
                <w:szCs w:val="24"/>
              </w:rPr>
              <w:t>0.54%</w:t>
            </w:r>
          </w:p>
        </w:tc>
      </w:tr>
    </w:tbl>
    <w:p w:rsidR="0092670C" w:rsidRPr="00561EE9" w:rsidRDefault="0092670C" w:rsidP="0092670C">
      <w:pPr>
        <w:keepNext/>
        <w:spacing w:after="0" w:line="276" w:lineRule="auto"/>
        <w:rPr>
          <w:rFonts w:ascii="Arial" w:hAnsi="Arial" w:cs="Arial"/>
          <w:sz w:val="24"/>
          <w:szCs w:val="24"/>
        </w:rPr>
      </w:pPr>
      <w:r w:rsidRPr="00561EE9">
        <w:rPr>
          <w:rFonts w:ascii="Arial" w:hAnsi="Arial" w:cs="Arial"/>
          <w:sz w:val="24"/>
          <w:szCs w:val="24"/>
        </w:rPr>
        <w:t>MME=</w:t>
      </w:r>
      <w:r w:rsidRPr="00561EE9">
        <w:rPr>
          <w:rFonts w:ascii="Arial" w:eastAsia="PMingLiU" w:hAnsi="Arial" w:cs="Arial"/>
          <w:sz w:val="24"/>
          <w:szCs w:val="24"/>
          <w:lang w:eastAsia="en-US"/>
        </w:rPr>
        <w:t xml:space="preserve"> Morphine Milligram Equivalent;</w:t>
      </w:r>
      <w:r w:rsidRPr="00561EE9">
        <w:rPr>
          <w:rFonts w:ascii="Arial" w:hAnsi="Arial" w:cs="Arial"/>
          <w:sz w:val="24"/>
          <w:szCs w:val="24"/>
        </w:rPr>
        <w:t xml:space="preserve"> Diff=difference</w:t>
      </w:r>
    </w:p>
    <w:p w:rsidR="0092670C" w:rsidRPr="00561EE9" w:rsidRDefault="0092670C" w:rsidP="0092670C">
      <w:pPr>
        <w:keepNext/>
        <w:spacing w:after="0" w:line="276" w:lineRule="auto"/>
        <w:rPr>
          <w:rFonts w:ascii="Arial" w:eastAsia="Arial" w:hAnsi="Arial" w:cs="Arial"/>
          <w:b/>
          <w:bCs/>
          <w:caps/>
          <w:sz w:val="24"/>
          <w:szCs w:val="24"/>
        </w:rPr>
      </w:pPr>
      <w:r w:rsidRPr="00561EE9">
        <w:rPr>
          <w:rFonts w:ascii="Arial" w:hAnsi="Arial" w:cs="Arial"/>
          <w:sz w:val="24"/>
          <w:szCs w:val="24"/>
        </w:rPr>
        <w:t xml:space="preserve">Source: </w:t>
      </w:r>
      <w:proofErr w:type="spellStart"/>
      <w:r>
        <w:rPr>
          <w:rFonts w:ascii="Arial" w:hAnsi="Arial" w:cs="Arial"/>
          <w:sz w:val="24"/>
          <w:szCs w:val="24"/>
        </w:rPr>
        <w:t>Quintiles</w:t>
      </w:r>
      <w:r w:rsidRPr="00561EE9">
        <w:rPr>
          <w:rFonts w:ascii="Arial" w:hAnsi="Arial" w:cs="Arial"/>
          <w:sz w:val="24"/>
          <w:szCs w:val="24"/>
        </w:rPr>
        <w:t>IMS</w:t>
      </w:r>
      <w:proofErr w:type="spellEnd"/>
      <w:r w:rsidRPr="00561E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1EE9">
        <w:rPr>
          <w:rFonts w:ascii="Arial" w:hAnsi="Arial" w:cs="Arial"/>
          <w:sz w:val="24"/>
          <w:szCs w:val="24"/>
        </w:rPr>
        <w:t>Lifelink</w:t>
      </w:r>
      <w:proofErr w:type="spellEnd"/>
      <w:r w:rsidRPr="00561E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1EE9">
        <w:rPr>
          <w:rFonts w:ascii="Arial" w:hAnsi="Arial" w:cs="Arial"/>
          <w:sz w:val="24"/>
          <w:szCs w:val="24"/>
        </w:rPr>
        <w:t>LRx</w:t>
      </w:r>
      <w:proofErr w:type="spellEnd"/>
      <w:r w:rsidRPr="00561EE9">
        <w:rPr>
          <w:rFonts w:ascii="Arial" w:hAnsi="Arial" w:cs="Arial"/>
          <w:sz w:val="24"/>
          <w:szCs w:val="24"/>
        </w:rPr>
        <w:t xml:space="preserve"> Data, 2010-2012</w:t>
      </w:r>
    </w:p>
    <w:bookmarkEnd w:id="0"/>
    <w:bookmarkEnd w:id="1"/>
    <w:p w:rsidR="0092670C" w:rsidRPr="00561EE9" w:rsidRDefault="0092670C" w:rsidP="0092670C">
      <w:pPr>
        <w:spacing w:after="0"/>
        <w:rPr>
          <w:rFonts w:ascii="Arial" w:eastAsia="Arial" w:hAnsi="Arial" w:cs="Arial"/>
          <w:b/>
          <w:bCs/>
          <w:caps/>
          <w:sz w:val="24"/>
          <w:szCs w:val="24"/>
        </w:rPr>
      </w:pPr>
    </w:p>
    <w:sectPr w:rsidR="0092670C" w:rsidRPr="00561EE9" w:rsidSect="00426A8A">
      <w:pgSz w:w="15840" w:h="12240" w:orient="landscape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0C"/>
    <w:rsid w:val="001D6259"/>
    <w:rsid w:val="00231F79"/>
    <w:rsid w:val="0037489D"/>
    <w:rsid w:val="00427EAA"/>
    <w:rsid w:val="004A2E7A"/>
    <w:rsid w:val="00690A89"/>
    <w:rsid w:val="007742FE"/>
    <w:rsid w:val="008D7EAB"/>
    <w:rsid w:val="0092670C"/>
    <w:rsid w:val="00CB1DEC"/>
    <w:rsid w:val="00D6387E"/>
    <w:rsid w:val="00E36B0A"/>
    <w:rsid w:val="00E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2C915-EB2A-4B10-BB1B-1449477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70C"/>
    <w:pPr>
      <w:spacing w:after="0" w:line="240" w:lineRule="auto"/>
    </w:pPr>
    <w:rPr>
      <w:rFonts w:ascii="Times New Roman" w:eastAsia="PMingLiU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Zack</dc:creator>
  <cp:keywords/>
  <dc:description/>
  <cp:lastModifiedBy>Faul, Mark (CDC/DDNID/NCIPC/DUIP)</cp:lastModifiedBy>
  <cp:revision>3</cp:revision>
  <dcterms:created xsi:type="dcterms:W3CDTF">2019-07-16T17:08:00Z</dcterms:created>
  <dcterms:modified xsi:type="dcterms:W3CDTF">2019-07-16T17:08:00Z</dcterms:modified>
</cp:coreProperties>
</file>