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27" w:rsidRPr="00207ED0" w:rsidRDefault="00663527" w:rsidP="005F3E2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63527">
        <w:rPr>
          <w:rFonts w:ascii="Times New Roman" w:hAnsi="Times New Roman" w:cs="Times New Roman"/>
          <w:b/>
          <w:sz w:val="24"/>
          <w:szCs w:val="24"/>
        </w:rPr>
        <w:t>Supplementary</w:t>
      </w:r>
      <w:r w:rsidR="00987712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612DE6" w:rsidRPr="00612DE6">
        <w:rPr>
          <w:rFonts w:ascii="Times New Roman" w:hAnsi="Times New Roman" w:cs="Times New Roman"/>
          <w:b/>
          <w:sz w:val="24"/>
          <w:szCs w:val="24"/>
        </w:rPr>
        <w:t>able 1</w:t>
      </w:r>
      <w:r w:rsidR="005F3E27" w:rsidRPr="00612DE6">
        <w:rPr>
          <w:rFonts w:ascii="Times New Roman" w:hAnsi="Times New Roman" w:cs="Times New Roman"/>
          <w:b/>
          <w:sz w:val="24"/>
          <w:szCs w:val="24"/>
        </w:rPr>
        <w:t>.</w:t>
      </w:r>
      <w:r w:rsidR="005F3E27" w:rsidRPr="00207ED0">
        <w:rPr>
          <w:rFonts w:ascii="Times New Roman" w:hAnsi="Times New Roman" w:cs="Times New Roman"/>
          <w:b/>
          <w:sz w:val="24"/>
          <w:szCs w:val="24"/>
        </w:rPr>
        <w:t xml:space="preserve"> Clinical Classifications Software (CCS) diagnosis codes associated with hospitalizations of patients with </w:t>
      </w:r>
      <w:proofErr w:type="spellStart"/>
      <w:r w:rsidR="005F3E27" w:rsidRPr="00207ED0">
        <w:rPr>
          <w:rFonts w:ascii="Times New Roman" w:hAnsi="Times New Roman" w:cs="Times New Roman"/>
          <w:b/>
          <w:sz w:val="24"/>
          <w:szCs w:val="24"/>
        </w:rPr>
        <w:t>spina</w:t>
      </w:r>
      <w:proofErr w:type="spellEnd"/>
      <w:r w:rsidR="005F3E27" w:rsidRPr="00207ED0">
        <w:rPr>
          <w:rFonts w:ascii="Times New Roman" w:hAnsi="Times New Roman" w:cs="Times New Roman"/>
          <w:b/>
          <w:sz w:val="24"/>
          <w:szCs w:val="24"/>
        </w:rPr>
        <w:t xml:space="preserve"> bifida and </w:t>
      </w:r>
      <w:r w:rsidR="005F3E27" w:rsidRPr="003D5726">
        <w:rPr>
          <w:rFonts w:ascii="Times New Roman" w:hAnsi="Times New Roman" w:cs="Times New Roman"/>
          <w:b/>
          <w:sz w:val="24"/>
          <w:szCs w:val="24"/>
        </w:rPr>
        <w:t xml:space="preserve">pressure </w:t>
      </w:r>
      <w:r w:rsidR="002A50CF" w:rsidRPr="003D5726">
        <w:rPr>
          <w:rFonts w:ascii="Times New Roman" w:hAnsi="Times New Roman" w:cs="Times New Roman"/>
          <w:b/>
        </w:rPr>
        <w:t>injuries</w:t>
      </w:r>
      <w:r w:rsidR="005F3E27" w:rsidRPr="003D572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44"/>
        <w:gridCol w:w="2981"/>
        <w:gridCol w:w="1644"/>
        <w:gridCol w:w="1438"/>
        <w:gridCol w:w="2143"/>
      </w:tblGrid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5F3E27" w:rsidRPr="00C612B7" w:rsidRDefault="005F3E27" w:rsidP="002965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Pressure </w:t>
            </w:r>
            <w:r w:rsidR="003B5DC3" w:rsidRPr="00C612B7">
              <w:rPr>
                <w:rFonts w:ascii="Times New Roman" w:hAnsi="Times New Roman" w:cs="Times New Roman"/>
                <w:b/>
                <w:sz w:val="20"/>
                <w:szCs w:val="20"/>
              </w:rPr>
              <w:t>Injuries</w:t>
            </w:r>
          </w:p>
        </w:tc>
        <w:tc>
          <w:tcPr>
            <w:tcW w:w="233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b/>
                <w:sz w:val="20"/>
                <w:szCs w:val="20"/>
              </w:rPr>
              <w:t>CCS Diagnosis Code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b/>
                <w:sz w:val="20"/>
                <w:szCs w:val="20"/>
              </w:rPr>
              <w:t>Conditions</w:t>
            </w:r>
          </w:p>
        </w:tc>
        <w:tc>
          <w:tcPr>
            <w:tcW w:w="1800" w:type="dxa"/>
          </w:tcPr>
          <w:p w:rsidR="005F3E27" w:rsidRPr="00C612B7" w:rsidRDefault="005F3E27" w:rsidP="002965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 (n= </w:t>
            </w: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17717</w:t>
            </w:r>
            <w:r w:rsidRPr="00C612B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:rsidR="005F3E27" w:rsidRPr="00C612B7" w:rsidRDefault="005F3E27" w:rsidP="002965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b/>
                <w:sz w:val="20"/>
                <w:szCs w:val="20"/>
              </w:rPr>
              <w:t>Yes (n=</w:t>
            </w: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3888</w:t>
            </w:r>
            <w:r w:rsidRPr="00C612B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3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b/>
                <w:sz w:val="20"/>
                <w:szCs w:val="20"/>
              </w:rPr>
              <w:t>Relative Risk (95% Confidence Interval)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 xml:space="preserve">Other diseases of bladder and urethra </w:t>
            </w:r>
          </w:p>
        </w:tc>
        <w:tc>
          <w:tcPr>
            <w:tcW w:w="1800" w:type="dxa"/>
          </w:tcPr>
          <w:p w:rsidR="005F3E27" w:rsidRPr="00C612B7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6263 (35.4%)</w:t>
            </w:r>
          </w:p>
        </w:tc>
        <w:tc>
          <w:tcPr>
            <w:tcW w:w="1530" w:type="dxa"/>
          </w:tcPr>
          <w:p w:rsidR="005F3E27" w:rsidRPr="00C612B7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1466 (37.7%)</w:t>
            </w:r>
          </w:p>
        </w:tc>
        <w:tc>
          <w:tcPr>
            <w:tcW w:w="2335" w:type="dxa"/>
          </w:tcPr>
          <w:p w:rsidR="005F3E27" w:rsidRPr="00C612B7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1.07 (1.02, 1.12)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Other gastrointestinal disorders</w:t>
            </w:r>
          </w:p>
        </w:tc>
        <w:tc>
          <w:tcPr>
            <w:tcW w:w="1800" w:type="dxa"/>
          </w:tcPr>
          <w:p w:rsidR="005F3E27" w:rsidRPr="00C612B7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5815 (32.8%)</w:t>
            </w:r>
          </w:p>
        </w:tc>
        <w:tc>
          <w:tcPr>
            <w:tcW w:w="1530" w:type="dxa"/>
          </w:tcPr>
          <w:p w:rsidR="005F3E27" w:rsidRPr="00C612B7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1409 (36.2%)</w:t>
            </w:r>
          </w:p>
        </w:tc>
        <w:tc>
          <w:tcPr>
            <w:tcW w:w="2335" w:type="dxa"/>
          </w:tcPr>
          <w:p w:rsidR="005F3E27" w:rsidRPr="00C612B7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1.10 (1.05, 1.15)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bCs/>
                <w:sz w:val="20"/>
                <w:szCs w:val="20"/>
              </w:rPr>
              <w:t>Mood disorders</w:t>
            </w:r>
          </w:p>
        </w:tc>
        <w:tc>
          <w:tcPr>
            <w:tcW w:w="1800" w:type="dxa"/>
          </w:tcPr>
          <w:p w:rsidR="005F3E27" w:rsidRPr="00C612B7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2703 (15.3%)</w:t>
            </w:r>
          </w:p>
        </w:tc>
        <w:tc>
          <w:tcPr>
            <w:tcW w:w="1530" w:type="dxa"/>
          </w:tcPr>
          <w:p w:rsidR="005F3E27" w:rsidRPr="00C612B7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652 (16.8%)</w:t>
            </w:r>
          </w:p>
        </w:tc>
        <w:tc>
          <w:tcPr>
            <w:tcW w:w="2335" w:type="dxa"/>
          </w:tcPr>
          <w:p w:rsidR="005F3E27" w:rsidRPr="00C612B7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1.10 (1.02, 1.19)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3240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bCs/>
                <w:sz w:val="20"/>
                <w:szCs w:val="20"/>
              </w:rPr>
              <w:t>Screening and history of mental health and substance abuse codes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2577 (14.5%)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628 (16.2%)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1.11 (1.02, 1.20)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240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Hypertension with complications and secondary hypertension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1204 (6.8%)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305 (7.8%)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1.15 (1.02, 1.30)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3240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Genitourinary symptoms and ill-defined conditions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4008 (22.6%)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1042 (26.8%)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1.18 (1.11, 1.25)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3240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Other bone disease and musculoskeletal deformities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1431 (8.1%)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371 (9.5%)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1.18 (1.06, 1.32)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3240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Other aftercare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1999 (11.3%)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518 (13.3%)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1.18 (1.08, 1.29)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240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Essential hypertension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3253 (18.4%)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855 (22.0%)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1.20 (1.12, 1.28)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3240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Calculus of urinary tract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1176 (6.6%)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310 (8.0%)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1.20 (1.06, 1.35)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3240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Residual codes; unclassified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5178 (29.2%)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1423 (36.6%)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1.25 (1.19, 1.31)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240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 xml:space="preserve">Acute </w:t>
            </w:r>
            <w:proofErr w:type="spellStart"/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posthemorrhagic</w:t>
            </w:r>
            <w:proofErr w:type="spellEnd"/>
            <w:r w:rsidRPr="00C612B7">
              <w:rPr>
                <w:rFonts w:ascii="Times New Roman" w:hAnsi="Times New Roman" w:cs="Times New Roman"/>
                <w:sz w:val="20"/>
                <w:szCs w:val="20"/>
              </w:rPr>
              <w:t xml:space="preserve"> anemia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374 (2.1%)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104 (2.7%)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1.27 (1.02, 1.57)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240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Other nutritional; endocrine; and metabolic disorders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3221 (18.2%)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903 (23.2%)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1.28 (1.20, 1.37)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240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Fluid and electrolyte disorders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3834 (21.6%)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1127 (29.0%)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1.34 (1.27, 1.42)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40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Diseases of white blood cells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579 (3.3%)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171 (4.4%)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1.35 (1.14, 1.60)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3240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bCs/>
                <w:sz w:val="20"/>
                <w:szCs w:val="20"/>
              </w:rPr>
              <w:t>Chronic kidney disease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1628 (9.2%)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483 (12.4%)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1.35 (1.23, 1.49)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3240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Urinary tract infections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5572 (31.5%)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1651 (42.5%)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1.35 (1.29, 1.41)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240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Intestinal infection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325 (1.8%)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101 (2.6%)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1.42 (1.14, 1.77)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244</w:t>
            </w:r>
          </w:p>
        </w:tc>
        <w:tc>
          <w:tcPr>
            <w:tcW w:w="3240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Other injuries and conditions due to external causes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1198 (6.8%)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384 (9.9%)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1.46 (1.31, 1.63)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3240" w:type="dxa"/>
          </w:tcPr>
          <w:p w:rsidR="005F3E27" w:rsidRPr="00C612B7" w:rsidDel="003921D9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Acute and unspecified renal failure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1015 (5.7%)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339 (8.7%)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1.52 (1.35, 1.71)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Diabetes mellitus without complication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1296 (7.3%)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444 (11.4%)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1.56 (1.41, 1.73)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Other connective tissue disease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2014 (11.4%)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695 (17.9%)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1.57 (1.45, 1.70)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Other skin disorders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387 (2.2%)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135 (3.5%)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1.59 (1.31, 1.93)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Other inflammatory condition of skin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194 (1.1%)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69 (1.8%)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1.62 (1.23, 2.13)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Immunizations and screening for infectious disease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522 (2.9%)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191 (4.9%)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1.67 (1.42, 1.96)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Open wounds of extremities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92 (0.5%)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34 (0.9%)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1.68 (1.14, 2.49)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Phlebitis; thrombophlebitis and thromboembolism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825 (4.7%)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319 (8.2%)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1.76 (1.55, 1.99)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Anal and rectal conditions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92 (0.5%)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37 (1.0%)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1.83 (1.25, 2.68)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Neoplasms of unspecified nature or uncertain behavior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151 (0.9%)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62 (1.6%)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1.87 (1.39, 2.51)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Other male genital disorders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95 (0.5%)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39 (1.0%)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1.87 (1.29, 2.71)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Bacterial infection; unspecified site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3552 (20.0%)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1531 (39.4%)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1.96 (1.87, 2.06)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Peripheral and visceral atherosclerosis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222 (1.3%)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97 (2.5%)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1.99 (1.57, 2.52)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Lymphadenitis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50 (0.3%)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22 (0.6%)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2.01 (1.22, 3.31)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Deficiency and other anemia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2571 (14.5%)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1187 (30.5%)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2.10 (1.98, 2.23)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Other infections; including parasitic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489 (2.8%)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232 (6.0%)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2.16 (1.85, 2.52)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Non-Hodgkin`s lymphoma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25 (0.1%)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12 (0.3%)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2.19 (1.10, 4.36)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Mycoses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466 (2.6%)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231 (5.9%)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2.26 (1.94, 2.64)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Diabetes mellitus with complications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451 (2.5%)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229 (5.9%)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2.31 (1.98, 2.70)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Septicemia (except in labor)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1296 (7.3%)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727 (18.7%)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2.56 (2.35, 2.78)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Nutritional deficiencies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629 (3.6%)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369 (9.5%)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2.67 (2.36, 3.02)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Shock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170 (1.0%)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101 (2.6%)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2.71 (2.12, 3.46)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Paralysis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2767 (15.6%)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1741 (44.8%)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2.87 (2.73, 3.01)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Skin and subcutaneous tissue infections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1123 (6.3%)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1027 (26.4%)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4.17 (3.86, 4.50)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Sexually transmitted infections (not HIV or hepatitis)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18 (0.1%)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18 (0.5%)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4.56 (2.37, 8.76)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Other diseases of veins and lymphatics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146 (0.8%)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169 (4.3%)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5.27 (4.23, 6.56)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12B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Infective arthritis and osteomyelitis (except that caused by tuberculosis or sexually </w:t>
            </w:r>
          </w:p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transmitted disease)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298 (1.7%)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802 (20.6%)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12.26 (10.78, 13.94)</w:t>
            </w:r>
          </w:p>
        </w:tc>
      </w:tr>
      <w:tr w:rsidR="005F3E27" w:rsidRPr="00C612B7" w:rsidTr="00296582">
        <w:tc>
          <w:tcPr>
            <w:tcW w:w="1165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3240" w:type="dxa"/>
          </w:tcPr>
          <w:p w:rsidR="005F3E27" w:rsidRPr="00C612B7" w:rsidRDefault="005F3E27" w:rsidP="00296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Gangrene</w:t>
            </w:r>
          </w:p>
        </w:tc>
        <w:tc>
          <w:tcPr>
            <w:tcW w:w="180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20 (0.1%)</w:t>
            </w:r>
          </w:p>
        </w:tc>
        <w:tc>
          <w:tcPr>
            <w:tcW w:w="1530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64 (1.6%)</w:t>
            </w:r>
          </w:p>
        </w:tc>
        <w:tc>
          <w:tcPr>
            <w:tcW w:w="2335" w:type="dxa"/>
          </w:tcPr>
          <w:p w:rsidR="005F3E27" w:rsidRPr="00C612B7" w:rsidDel="003921D9" w:rsidRDefault="005F3E27" w:rsidP="0029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2B7">
              <w:rPr>
                <w:rFonts w:ascii="Times New Roman" w:hAnsi="Times New Roman" w:cs="Times New Roman"/>
                <w:sz w:val="20"/>
                <w:szCs w:val="20"/>
              </w:rPr>
              <w:t>14.58 (8.84, 24.06)</w:t>
            </w:r>
          </w:p>
        </w:tc>
      </w:tr>
    </w:tbl>
    <w:p w:rsidR="005F3E27" w:rsidRPr="00C612B7" w:rsidRDefault="005F3E27" w:rsidP="005F3E27">
      <w:pPr>
        <w:rPr>
          <w:rFonts w:ascii="Times New Roman" w:hAnsi="Times New Roman" w:cs="Times New Roman"/>
          <w:sz w:val="20"/>
          <w:szCs w:val="20"/>
        </w:rPr>
      </w:pPr>
      <w:r w:rsidRPr="00C612B7">
        <w:rPr>
          <w:rFonts w:ascii="Times New Roman" w:hAnsi="Times New Roman" w:cs="Times New Roman"/>
          <w:sz w:val="20"/>
          <w:szCs w:val="20"/>
        </w:rPr>
        <w:t xml:space="preserve">* More details for CCS may be found in the website: </w:t>
      </w:r>
      <w:r w:rsidR="005C073F" w:rsidRPr="00C612B7">
        <w:rPr>
          <w:rFonts w:ascii="Times New Roman" w:hAnsi="Times New Roman" w:cs="Times New Roman"/>
          <w:sz w:val="20"/>
          <w:szCs w:val="20"/>
        </w:rPr>
        <w:t xml:space="preserve">https://www.hcup </w:t>
      </w:r>
      <w:r w:rsidRPr="00C612B7">
        <w:rPr>
          <w:rFonts w:ascii="Times New Roman" w:hAnsi="Times New Roman" w:cs="Times New Roman"/>
          <w:sz w:val="20"/>
          <w:szCs w:val="20"/>
        </w:rPr>
        <w:t>us.ahrq.gov/</w:t>
      </w:r>
      <w:proofErr w:type="spellStart"/>
      <w:r w:rsidRPr="00C612B7">
        <w:rPr>
          <w:rFonts w:ascii="Times New Roman" w:hAnsi="Times New Roman" w:cs="Times New Roman"/>
          <w:sz w:val="20"/>
          <w:szCs w:val="20"/>
        </w:rPr>
        <w:t>toolssoftware</w:t>
      </w:r>
      <w:proofErr w:type="spellEnd"/>
      <w:r w:rsidRPr="00C612B7">
        <w:rPr>
          <w:rFonts w:ascii="Times New Roman" w:hAnsi="Times New Roman" w:cs="Times New Roman"/>
          <w:sz w:val="20"/>
          <w:szCs w:val="20"/>
        </w:rPr>
        <w:t>/ccs/</w:t>
      </w:r>
      <w:proofErr w:type="spellStart"/>
      <w:r w:rsidRPr="00C612B7">
        <w:rPr>
          <w:rFonts w:ascii="Times New Roman" w:hAnsi="Times New Roman" w:cs="Times New Roman"/>
          <w:sz w:val="20"/>
          <w:szCs w:val="20"/>
        </w:rPr>
        <w:t>ccs.jsp</w:t>
      </w:r>
      <w:proofErr w:type="spellEnd"/>
      <w:r w:rsidRPr="00C612B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C70C6" w:rsidRDefault="00FC70C6"/>
    <w:sectPr w:rsidR="00FC70C6" w:rsidSect="005F3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27"/>
    <w:rsid w:val="002A50CF"/>
    <w:rsid w:val="002C58F3"/>
    <w:rsid w:val="003B5DC3"/>
    <w:rsid w:val="003D5726"/>
    <w:rsid w:val="004A7B15"/>
    <w:rsid w:val="005C073F"/>
    <w:rsid w:val="005F3E27"/>
    <w:rsid w:val="00612DE6"/>
    <w:rsid w:val="00663527"/>
    <w:rsid w:val="00667852"/>
    <w:rsid w:val="00987712"/>
    <w:rsid w:val="00C612B7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668DB-643E-4A06-85CE-C073BAB7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E2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F3E2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F3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0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Yinding (CDC/ONDIEH/NCBDDD)</dc:creator>
  <cp:keywords/>
  <dc:description/>
  <cp:lastModifiedBy>Wade, Diane (CDC/DDNID/NCBDDD/OD) (CTR)</cp:lastModifiedBy>
  <cp:revision>2</cp:revision>
  <dcterms:created xsi:type="dcterms:W3CDTF">2019-06-19T14:34:00Z</dcterms:created>
  <dcterms:modified xsi:type="dcterms:W3CDTF">2019-06-19T14:34:00Z</dcterms:modified>
</cp:coreProperties>
</file>