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3FC" w:rsidRPr="001B3894" w:rsidRDefault="003033FC" w:rsidP="003033FC">
      <w:pPr>
        <w:pStyle w:val="Heading2"/>
        <w:rPr>
          <w:rFonts w:ascii="Times New Roman" w:hAnsi="Times New Roman" w:cs="Times New Roman"/>
          <w:b w:val="0"/>
          <w:sz w:val="22"/>
          <w:szCs w:val="22"/>
        </w:rPr>
      </w:pPr>
      <w:bookmarkStart w:id="0" w:name="_Ref421188122"/>
      <w:r w:rsidRPr="009457DB">
        <w:rPr>
          <w:rFonts w:ascii="Times New Roman" w:hAnsi="Times New Roman" w:cs="Times New Roman"/>
          <w:sz w:val="22"/>
          <w:szCs w:val="22"/>
        </w:rPr>
        <w:t>S1 Table</w:t>
      </w:r>
      <w:bookmarkEnd w:id="0"/>
      <w:r w:rsidRPr="009457DB">
        <w:rPr>
          <w:rFonts w:ascii="Times New Roman" w:hAnsi="Times New Roman" w:cs="Times New Roman"/>
          <w:sz w:val="22"/>
          <w:szCs w:val="22"/>
        </w:rPr>
        <w:t xml:space="preserve">: Estimated number of circumcisions conducted in South Africa, by age and year. </w:t>
      </w:r>
      <w:r w:rsidR="001B3894">
        <w:rPr>
          <w:rFonts w:ascii="Times New Roman" w:hAnsi="Times New Roman" w:cs="Times New Roman"/>
          <w:b w:val="0"/>
          <w:sz w:val="22"/>
          <w:szCs w:val="22"/>
        </w:rPr>
        <w:t>Indicated percentage represents the portion of VMMCs done in this age group out of all ages in each year.</w:t>
      </w:r>
    </w:p>
    <w:tbl>
      <w:tblPr>
        <w:tblW w:w="1055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812"/>
        <w:gridCol w:w="683"/>
        <w:gridCol w:w="833"/>
        <w:gridCol w:w="683"/>
        <w:gridCol w:w="870"/>
        <w:gridCol w:w="683"/>
        <w:gridCol w:w="928"/>
        <w:gridCol w:w="683"/>
        <w:gridCol w:w="936"/>
        <w:gridCol w:w="683"/>
        <w:gridCol w:w="1016"/>
        <w:gridCol w:w="683"/>
      </w:tblGrid>
      <w:tr w:rsidR="003033FC" w:rsidRPr="009457DB" w:rsidTr="007E3FCE">
        <w:trPr>
          <w:trHeight w:val="309"/>
        </w:trPr>
        <w:tc>
          <w:tcPr>
            <w:tcW w:w="1150" w:type="dxa"/>
            <w:shd w:val="clear" w:color="auto" w:fill="auto"/>
            <w:noWrap/>
            <w:vAlign w:val="bottom"/>
            <w:hideMark/>
          </w:tcPr>
          <w:p w:rsidR="003033FC" w:rsidRPr="009457DB" w:rsidRDefault="003033FC" w:rsidP="00DC4F9F">
            <w:pPr>
              <w:spacing w:line="240" w:lineRule="auto"/>
              <w:rPr>
                <w:sz w:val="20"/>
              </w:rPr>
            </w:pPr>
            <w:r w:rsidRPr="000A70F8">
              <w:rPr>
                <w:sz w:val="20"/>
              </w:rPr>
              <w:t>Age groups</w:t>
            </w:r>
          </w:p>
          <w:p w:rsidR="003033FC" w:rsidRPr="000A70F8" w:rsidRDefault="003033FC" w:rsidP="00DC4F9F">
            <w:pPr>
              <w:spacing w:line="240" w:lineRule="auto"/>
              <w:rPr>
                <w:sz w:val="20"/>
              </w:rPr>
            </w:pPr>
          </w:p>
        </w:tc>
        <w:tc>
          <w:tcPr>
            <w:tcW w:w="1481" w:type="dxa"/>
            <w:gridSpan w:val="2"/>
            <w:shd w:val="clear" w:color="auto" w:fill="auto"/>
            <w:noWrap/>
            <w:vAlign w:val="bottom"/>
            <w:hideMark/>
          </w:tcPr>
          <w:p w:rsidR="003033FC" w:rsidRPr="000A70F8" w:rsidRDefault="003033FC" w:rsidP="00DC4F9F">
            <w:pPr>
              <w:spacing w:line="240" w:lineRule="auto"/>
              <w:jc w:val="center"/>
              <w:rPr>
                <w:sz w:val="20"/>
              </w:rPr>
            </w:pPr>
            <w:r w:rsidRPr="000A70F8">
              <w:rPr>
                <w:sz w:val="20"/>
              </w:rPr>
              <w:t>2010</w:t>
            </w:r>
          </w:p>
        </w:tc>
        <w:tc>
          <w:tcPr>
            <w:tcW w:w="1503" w:type="dxa"/>
            <w:gridSpan w:val="2"/>
            <w:shd w:val="clear" w:color="auto" w:fill="auto"/>
            <w:noWrap/>
            <w:vAlign w:val="bottom"/>
            <w:hideMark/>
          </w:tcPr>
          <w:p w:rsidR="003033FC" w:rsidRPr="000A70F8" w:rsidRDefault="003033FC" w:rsidP="00DC4F9F">
            <w:pPr>
              <w:spacing w:line="240" w:lineRule="auto"/>
              <w:jc w:val="center"/>
              <w:rPr>
                <w:sz w:val="20"/>
              </w:rPr>
            </w:pPr>
            <w:r w:rsidRPr="000A70F8">
              <w:rPr>
                <w:sz w:val="20"/>
              </w:rPr>
              <w:t>2011</w:t>
            </w:r>
          </w:p>
        </w:tc>
        <w:tc>
          <w:tcPr>
            <w:tcW w:w="1539" w:type="dxa"/>
            <w:gridSpan w:val="2"/>
            <w:shd w:val="clear" w:color="auto" w:fill="auto"/>
            <w:noWrap/>
            <w:vAlign w:val="bottom"/>
            <w:hideMark/>
          </w:tcPr>
          <w:p w:rsidR="003033FC" w:rsidRPr="000A70F8" w:rsidRDefault="003033FC" w:rsidP="00DC4F9F">
            <w:pPr>
              <w:spacing w:line="240" w:lineRule="auto"/>
              <w:jc w:val="center"/>
              <w:rPr>
                <w:sz w:val="20"/>
              </w:rPr>
            </w:pPr>
            <w:r w:rsidRPr="000A70F8">
              <w:rPr>
                <w:sz w:val="20"/>
              </w:rPr>
              <w:t>2012</w:t>
            </w:r>
          </w:p>
        </w:tc>
        <w:tc>
          <w:tcPr>
            <w:tcW w:w="1597" w:type="dxa"/>
            <w:gridSpan w:val="2"/>
            <w:shd w:val="clear" w:color="auto" w:fill="auto"/>
            <w:noWrap/>
            <w:vAlign w:val="bottom"/>
            <w:hideMark/>
          </w:tcPr>
          <w:p w:rsidR="003033FC" w:rsidRPr="000A70F8" w:rsidRDefault="003033FC" w:rsidP="00DC4F9F">
            <w:pPr>
              <w:spacing w:line="240" w:lineRule="auto"/>
              <w:jc w:val="center"/>
              <w:rPr>
                <w:sz w:val="20"/>
              </w:rPr>
            </w:pPr>
            <w:r w:rsidRPr="000A70F8">
              <w:rPr>
                <w:sz w:val="20"/>
              </w:rPr>
              <w:t>2013</w:t>
            </w:r>
          </w:p>
        </w:tc>
        <w:tc>
          <w:tcPr>
            <w:tcW w:w="1606" w:type="dxa"/>
            <w:gridSpan w:val="2"/>
            <w:shd w:val="clear" w:color="auto" w:fill="auto"/>
            <w:noWrap/>
            <w:vAlign w:val="bottom"/>
            <w:hideMark/>
          </w:tcPr>
          <w:p w:rsidR="003033FC" w:rsidRPr="000A70F8" w:rsidRDefault="003033FC" w:rsidP="00DC4F9F">
            <w:pPr>
              <w:spacing w:line="240" w:lineRule="auto"/>
              <w:jc w:val="center"/>
              <w:rPr>
                <w:sz w:val="20"/>
              </w:rPr>
            </w:pPr>
            <w:r w:rsidRPr="000A70F8">
              <w:rPr>
                <w:sz w:val="20"/>
              </w:rPr>
              <w:t>2014</w:t>
            </w:r>
          </w:p>
        </w:tc>
        <w:tc>
          <w:tcPr>
            <w:tcW w:w="1674" w:type="dxa"/>
            <w:gridSpan w:val="2"/>
            <w:shd w:val="clear" w:color="auto" w:fill="auto"/>
            <w:noWrap/>
            <w:vAlign w:val="bottom"/>
            <w:hideMark/>
          </w:tcPr>
          <w:p w:rsidR="003033FC" w:rsidRPr="000A70F8" w:rsidRDefault="003033FC" w:rsidP="00DC4F9F">
            <w:pPr>
              <w:spacing w:line="240" w:lineRule="auto"/>
              <w:jc w:val="center"/>
              <w:rPr>
                <w:sz w:val="20"/>
              </w:rPr>
            </w:pPr>
            <w:r w:rsidRPr="000A70F8">
              <w:rPr>
                <w:sz w:val="20"/>
              </w:rPr>
              <w:t>All years</w:t>
            </w:r>
          </w:p>
        </w:tc>
      </w:tr>
      <w:tr w:rsidR="003033FC" w:rsidRPr="009457DB" w:rsidTr="007E3FCE">
        <w:trPr>
          <w:trHeight w:val="309"/>
        </w:trPr>
        <w:tc>
          <w:tcPr>
            <w:tcW w:w="1150" w:type="dxa"/>
            <w:shd w:val="clear" w:color="auto" w:fill="auto"/>
            <w:noWrap/>
            <w:vAlign w:val="bottom"/>
            <w:hideMark/>
          </w:tcPr>
          <w:p w:rsidR="003033FC" w:rsidRPr="000A70F8" w:rsidRDefault="003033FC" w:rsidP="00DC4F9F">
            <w:pPr>
              <w:spacing w:line="240" w:lineRule="auto"/>
              <w:jc w:val="center"/>
              <w:rPr>
                <w:sz w:val="20"/>
              </w:rPr>
            </w:pPr>
            <w:r w:rsidRPr="000A70F8">
              <w:rPr>
                <w:sz w:val="20"/>
              </w:rPr>
              <w:t>10–14</w:t>
            </w:r>
          </w:p>
        </w:tc>
        <w:tc>
          <w:tcPr>
            <w:tcW w:w="812" w:type="dxa"/>
            <w:shd w:val="clear" w:color="auto" w:fill="auto"/>
            <w:noWrap/>
            <w:vAlign w:val="bottom"/>
            <w:hideMark/>
          </w:tcPr>
          <w:p w:rsidR="003033FC" w:rsidRPr="000A70F8" w:rsidRDefault="003033FC" w:rsidP="00DC4F9F">
            <w:pPr>
              <w:spacing w:line="240" w:lineRule="auto"/>
              <w:rPr>
                <w:sz w:val="20"/>
              </w:rPr>
            </w:pPr>
            <w:r w:rsidRPr="000A70F8">
              <w:rPr>
                <w:sz w:val="20"/>
              </w:rPr>
              <w:t xml:space="preserve">     2,498 </w:t>
            </w:r>
          </w:p>
        </w:tc>
        <w:tc>
          <w:tcPr>
            <w:tcW w:w="670" w:type="dxa"/>
            <w:shd w:val="clear" w:color="auto" w:fill="auto"/>
            <w:noWrap/>
            <w:vAlign w:val="bottom"/>
            <w:hideMark/>
          </w:tcPr>
          <w:p w:rsidR="003033FC" w:rsidRPr="000A70F8" w:rsidRDefault="003033FC" w:rsidP="00DC4F9F">
            <w:pPr>
              <w:spacing w:line="240" w:lineRule="auto"/>
              <w:jc w:val="right"/>
              <w:rPr>
                <w:sz w:val="20"/>
              </w:rPr>
            </w:pPr>
            <w:r w:rsidRPr="000A70F8">
              <w:rPr>
                <w:sz w:val="20"/>
              </w:rPr>
              <w:t>41%</w:t>
            </w:r>
          </w:p>
        </w:tc>
        <w:tc>
          <w:tcPr>
            <w:tcW w:w="833" w:type="dxa"/>
            <w:shd w:val="clear" w:color="auto" w:fill="auto"/>
            <w:noWrap/>
            <w:vAlign w:val="bottom"/>
            <w:hideMark/>
          </w:tcPr>
          <w:p w:rsidR="003033FC" w:rsidRPr="000A70F8" w:rsidRDefault="003033FC" w:rsidP="00DC4F9F">
            <w:pPr>
              <w:spacing w:line="240" w:lineRule="auto"/>
              <w:rPr>
                <w:sz w:val="20"/>
              </w:rPr>
            </w:pPr>
            <w:r w:rsidRPr="000A70F8">
              <w:rPr>
                <w:sz w:val="20"/>
              </w:rPr>
              <w:t xml:space="preserve">    9,087 </w:t>
            </w:r>
          </w:p>
        </w:tc>
        <w:tc>
          <w:tcPr>
            <w:tcW w:w="670" w:type="dxa"/>
            <w:shd w:val="clear" w:color="auto" w:fill="auto"/>
            <w:noWrap/>
            <w:vAlign w:val="bottom"/>
            <w:hideMark/>
          </w:tcPr>
          <w:p w:rsidR="003033FC" w:rsidRPr="000A70F8" w:rsidRDefault="003033FC" w:rsidP="00DC4F9F">
            <w:pPr>
              <w:spacing w:line="240" w:lineRule="auto"/>
              <w:jc w:val="right"/>
              <w:rPr>
                <w:sz w:val="20"/>
              </w:rPr>
            </w:pPr>
            <w:r w:rsidRPr="000A70F8">
              <w:rPr>
                <w:sz w:val="20"/>
              </w:rPr>
              <w:t>41%</w:t>
            </w:r>
          </w:p>
        </w:tc>
        <w:tc>
          <w:tcPr>
            <w:tcW w:w="870" w:type="dxa"/>
            <w:shd w:val="clear" w:color="auto" w:fill="auto"/>
            <w:noWrap/>
            <w:vAlign w:val="bottom"/>
            <w:hideMark/>
          </w:tcPr>
          <w:p w:rsidR="003033FC" w:rsidRPr="000A70F8" w:rsidRDefault="003033FC" w:rsidP="00DC4F9F">
            <w:pPr>
              <w:spacing w:line="240" w:lineRule="auto"/>
              <w:rPr>
                <w:sz w:val="20"/>
              </w:rPr>
            </w:pPr>
            <w:r w:rsidRPr="000A70F8">
              <w:rPr>
                <w:sz w:val="20"/>
              </w:rPr>
              <w:t xml:space="preserve">   47,389 </w:t>
            </w:r>
          </w:p>
        </w:tc>
        <w:tc>
          <w:tcPr>
            <w:tcW w:w="670" w:type="dxa"/>
            <w:shd w:val="clear" w:color="auto" w:fill="auto"/>
            <w:noWrap/>
            <w:vAlign w:val="bottom"/>
            <w:hideMark/>
          </w:tcPr>
          <w:p w:rsidR="003033FC" w:rsidRPr="000A70F8" w:rsidRDefault="003033FC" w:rsidP="00DC4F9F">
            <w:pPr>
              <w:spacing w:line="240" w:lineRule="auto"/>
              <w:jc w:val="right"/>
              <w:rPr>
                <w:sz w:val="20"/>
              </w:rPr>
            </w:pPr>
            <w:r w:rsidRPr="000A70F8">
              <w:rPr>
                <w:sz w:val="20"/>
              </w:rPr>
              <w:t>29%</w:t>
            </w:r>
          </w:p>
        </w:tc>
        <w:tc>
          <w:tcPr>
            <w:tcW w:w="928" w:type="dxa"/>
            <w:shd w:val="clear" w:color="auto" w:fill="auto"/>
            <w:noWrap/>
            <w:vAlign w:val="bottom"/>
            <w:hideMark/>
          </w:tcPr>
          <w:p w:rsidR="003033FC" w:rsidRPr="000A70F8" w:rsidRDefault="003033FC" w:rsidP="00DC4F9F">
            <w:pPr>
              <w:spacing w:line="240" w:lineRule="auto"/>
              <w:rPr>
                <w:sz w:val="20"/>
              </w:rPr>
            </w:pPr>
            <w:r w:rsidRPr="000A70F8">
              <w:rPr>
                <w:sz w:val="20"/>
              </w:rPr>
              <w:t xml:space="preserve">  283,034 </w:t>
            </w:r>
          </w:p>
        </w:tc>
        <w:tc>
          <w:tcPr>
            <w:tcW w:w="670" w:type="dxa"/>
            <w:shd w:val="clear" w:color="auto" w:fill="auto"/>
            <w:noWrap/>
            <w:vAlign w:val="bottom"/>
            <w:hideMark/>
          </w:tcPr>
          <w:p w:rsidR="003033FC" w:rsidRPr="000A70F8" w:rsidRDefault="003033FC" w:rsidP="00DC4F9F">
            <w:pPr>
              <w:spacing w:line="240" w:lineRule="auto"/>
              <w:jc w:val="right"/>
              <w:rPr>
                <w:sz w:val="20"/>
              </w:rPr>
            </w:pPr>
            <w:r w:rsidRPr="000A70F8">
              <w:rPr>
                <w:sz w:val="20"/>
              </w:rPr>
              <w:t>41%</w:t>
            </w:r>
          </w:p>
        </w:tc>
        <w:tc>
          <w:tcPr>
            <w:tcW w:w="936" w:type="dxa"/>
            <w:shd w:val="clear" w:color="auto" w:fill="auto"/>
            <w:noWrap/>
            <w:vAlign w:val="bottom"/>
            <w:hideMark/>
          </w:tcPr>
          <w:p w:rsidR="003033FC" w:rsidRPr="000A70F8" w:rsidRDefault="003033FC" w:rsidP="00DC4F9F">
            <w:pPr>
              <w:spacing w:line="240" w:lineRule="auto"/>
              <w:rPr>
                <w:sz w:val="20"/>
              </w:rPr>
            </w:pPr>
            <w:r w:rsidRPr="000A70F8">
              <w:rPr>
                <w:sz w:val="20"/>
              </w:rPr>
              <w:t xml:space="preserve">  327,144 </w:t>
            </w:r>
          </w:p>
        </w:tc>
        <w:tc>
          <w:tcPr>
            <w:tcW w:w="670" w:type="dxa"/>
            <w:shd w:val="clear" w:color="auto" w:fill="auto"/>
            <w:noWrap/>
            <w:vAlign w:val="bottom"/>
            <w:hideMark/>
          </w:tcPr>
          <w:p w:rsidR="003033FC" w:rsidRPr="000A70F8" w:rsidRDefault="003033FC" w:rsidP="00DC4F9F">
            <w:pPr>
              <w:spacing w:line="240" w:lineRule="auto"/>
              <w:jc w:val="right"/>
              <w:rPr>
                <w:sz w:val="20"/>
              </w:rPr>
            </w:pPr>
            <w:r w:rsidRPr="000A70F8">
              <w:rPr>
                <w:sz w:val="20"/>
              </w:rPr>
              <w:t>45%</w:t>
            </w:r>
          </w:p>
        </w:tc>
        <w:tc>
          <w:tcPr>
            <w:tcW w:w="1004" w:type="dxa"/>
            <w:shd w:val="clear" w:color="auto" w:fill="auto"/>
            <w:noWrap/>
            <w:vAlign w:val="bottom"/>
            <w:hideMark/>
          </w:tcPr>
          <w:p w:rsidR="003033FC" w:rsidRPr="000A70F8" w:rsidRDefault="003033FC" w:rsidP="00DC4F9F">
            <w:pPr>
              <w:spacing w:line="240" w:lineRule="auto"/>
              <w:rPr>
                <w:sz w:val="20"/>
              </w:rPr>
            </w:pPr>
            <w:r w:rsidRPr="000A70F8">
              <w:rPr>
                <w:sz w:val="20"/>
              </w:rPr>
              <w:t xml:space="preserve">  669,153 </w:t>
            </w:r>
          </w:p>
        </w:tc>
        <w:tc>
          <w:tcPr>
            <w:tcW w:w="670" w:type="dxa"/>
            <w:shd w:val="clear" w:color="auto" w:fill="auto"/>
            <w:noWrap/>
            <w:vAlign w:val="bottom"/>
            <w:hideMark/>
          </w:tcPr>
          <w:p w:rsidR="003033FC" w:rsidRPr="000A70F8" w:rsidRDefault="003033FC" w:rsidP="00DC4F9F">
            <w:pPr>
              <w:spacing w:line="240" w:lineRule="auto"/>
              <w:jc w:val="right"/>
              <w:rPr>
                <w:sz w:val="20"/>
              </w:rPr>
            </w:pPr>
            <w:r w:rsidRPr="000A70F8">
              <w:rPr>
                <w:sz w:val="20"/>
              </w:rPr>
              <w:t>41%</w:t>
            </w:r>
          </w:p>
        </w:tc>
      </w:tr>
      <w:tr w:rsidR="003033FC" w:rsidRPr="009457DB" w:rsidTr="007E3FCE">
        <w:trPr>
          <w:trHeight w:val="309"/>
        </w:trPr>
        <w:tc>
          <w:tcPr>
            <w:tcW w:w="1150" w:type="dxa"/>
            <w:shd w:val="clear" w:color="auto" w:fill="auto"/>
            <w:noWrap/>
            <w:vAlign w:val="bottom"/>
            <w:hideMark/>
          </w:tcPr>
          <w:p w:rsidR="003033FC" w:rsidRPr="000A70F8" w:rsidRDefault="003033FC" w:rsidP="00DC4F9F">
            <w:pPr>
              <w:spacing w:line="240" w:lineRule="auto"/>
              <w:jc w:val="center"/>
              <w:rPr>
                <w:sz w:val="20"/>
              </w:rPr>
            </w:pPr>
            <w:r w:rsidRPr="000A70F8">
              <w:rPr>
                <w:sz w:val="20"/>
              </w:rPr>
              <w:t>15–19</w:t>
            </w:r>
          </w:p>
        </w:tc>
        <w:tc>
          <w:tcPr>
            <w:tcW w:w="812" w:type="dxa"/>
            <w:shd w:val="clear" w:color="auto" w:fill="auto"/>
            <w:noWrap/>
            <w:vAlign w:val="bottom"/>
            <w:hideMark/>
          </w:tcPr>
          <w:p w:rsidR="003033FC" w:rsidRPr="000A70F8" w:rsidRDefault="003033FC" w:rsidP="00DC4F9F">
            <w:pPr>
              <w:spacing w:line="240" w:lineRule="auto"/>
              <w:rPr>
                <w:sz w:val="20"/>
              </w:rPr>
            </w:pPr>
            <w:r w:rsidRPr="000A70F8">
              <w:rPr>
                <w:sz w:val="20"/>
              </w:rPr>
              <w:t xml:space="preserve">     1,607 </w:t>
            </w:r>
          </w:p>
        </w:tc>
        <w:tc>
          <w:tcPr>
            <w:tcW w:w="670" w:type="dxa"/>
            <w:shd w:val="clear" w:color="auto" w:fill="auto"/>
            <w:noWrap/>
            <w:vAlign w:val="bottom"/>
            <w:hideMark/>
          </w:tcPr>
          <w:p w:rsidR="003033FC" w:rsidRPr="000A70F8" w:rsidRDefault="003033FC" w:rsidP="00DC4F9F">
            <w:pPr>
              <w:spacing w:line="240" w:lineRule="auto"/>
              <w:jc w:val="right"/>
              <w:rPr>
                <w:sz w:val="20"/>
              </w:rPr>
            </w:pPr>
            <w:r w:rsidRPr="000A70F8">
              <w:rPr>
                <w:sz w:val="20"/>
              </w:rPr>
              <w:t>27%</w:t>
            </w:r>
          </w:p>
        </w:tc>
        <w:tc>
          <w:tcPr>
            <w:tcW w:w="833" w:type="dxa"/>
            <w:shd w:val="clear" w:color="auto" w:fill="auto"/>
            <w:noWrap/>
            <w:vAlign w:val="bottom"/>
            <w:hideMark/>
          </w:tcPr>
          <w:p w:rsidR="003033FC" w:rsidRPr="000A70F8" w:rsidRDefault="003033FC" w:rsidP="00DC4F9F">
            <w:pPr>
              <w:spacing w:line="240" w:lineRule="auto"/>
              <w:rPr>
                <w:sz w:val="20"/>
              </w:rPr>
            </w:pPr>
            <w:r w:rsidRPr="000A70F8">
              <w:rPr>
                <w:sz w:val="20"/>
              </w:rPr>
              <w:t xml:space="preserve">    5,845 </w:t>
            </w:r>
          </w:p>
        </w:tc>
        <w:tc>
          <w:tcPr>
            <w:tcW w:w="670" w:type="dxa"/>
            <w:shd w:val="clear" w:color="auto" w:fill="auto"/>
            <w:noWrap/>
            <w:vAlign w:val="bottom"/>
            <w:hideMark/>
          </w:tcPr>
          <w:p w:rsidR="003033FC" w:rsidRPr="000A70F8" w:rsidRDefault="003033FC" w:rsidP="00DC4F9F">
            <w:pPr>
              <w:spacing w:line="240" w:lineRule="auto"/>
              <w:jc w:val="right"/>
              <w:rPr>
                <w:sz w:val="20"/>
              </w:rPr>
            </w:pPr>
            <w:r w:rsidRPr="000A70F8">
              <w:rPr>
                <w:sz w:val="20"/>
              </w:rPr>
              <w:t>27%</w:t>
            </w:r>
          </w:p>
        </w:tc>
        <w:tc>
          <w:tcPr>
            <w:tcW w:w="870" w:type="dxa"/>
            <w:shd w:val="clear" w:color="auto" w:fill="auto"/>
            <w:noWrap/>
            <w:vAlign w:val="bottom"/>
            <w:hideMark/>
          </w:tcPr>
          <w:p w:rsidR="003033FC" w:rsidRPr="000A70F8" w:rsidRDefault="003033FC" w:rsidP="00DC4F9F">
            <w:pPr>
              <w:spacing w:line="240" w:lineRule="auto"/>
              <w:rPr>
                <w:sz w:val="20"/>
              </w:rPr>
            </w:pPr>
            <w:r w:rsidRPr="000A70F8">
              <w:rPr>
                <w:sz w:val="20"/>
              </w:rPr>
              <w:t xml:space="preserve">   54,152 </w:t>
            </w:r>
          </w:p>
        </w:tc>
        <w:tc>
          <w:tcPr>
            <w:tcW w:w="670" w:type="dxa"/>
            <w:shd w:val="clear" w:color="auto" w:fill="auto"/>
            <w:noWrap/>
            <w:vAlign w:val="bottom"/>
            <w:hideMark/>
          </w:tcPr>
          <w:p w:rsidR="003033FC" w:rsidRPr="000A70F8" w:rsidRDefault="003033FC" w:rsidP="00DC4F9F">
            <w:pPr>
              <w:spacing w:line="240" w:lineRule="auto"/>
              <w:jc w:val="right"/>
              <w:rPr>
                <w:sz w:val="20"/>
              </w:rPr>
            </w:pPr>
            <w:r w:rsidRPr="000A70F8">
              <w:rPr>
                <w:sz w:val="20"/>
              </w:rPr>
              <w:t>33%</w:t>
            </w:r>
          </w:p>
        </w:tc>
        <w:tc>
          <w:tcPr>
            <w:tcW w:w="928" w:type="dxa"/>
            <w:shd w:val="clear" w:color="auto" w:fill="auto"/>
            <w:noWrap/>
            <w:vAlign w:val="bottom"/>
            <w:hideMark/>
          </w:tcPr>
          <w:p w:rsidR="003033FC" w:rsidRPr="000A70F8" w:rsidRDefault="003033FC" w:rsidP="00DC4F9F">
            <w:pPr>
              <w:spacing w:line="240" w:lineRule="auto"/>
              <w:rPr>
                <w:sz w:val="20"/>
              </w:rPr>
            </w:pPr>
            <w:r w:rsidRPr="000A70F8">
              <w:rPr>
                <w:sz w:val="20"/>
              </w:rPr>
              <w:t xml:space="preserve">  177,259 </w:t>
            </w:r>
          </w:p>
        </w:tc>
        <w:tc>
          <w:tcPr>
            <w:tcW w:w="670" w:type="dxa"/>
            <w:shd w:val="clear" w:color="auto" w:fill="auto"/>
            <w:noWrap/>
            <w:vAlign w:val="bottom"/>
            <w:hideMark/>
          </w:tcPr>
          <w:p w:rsidR="003033FC" w:rsidRPr="000A70F8" w:rsidRDefault="003033FC" w:rsidP="00DC4F9F">
            <w:pPr>
              <w:spacing w:line="240" w:lineRule="auto"/>
              <w:jc w:val="right"/>
              <w:rPr>
                <w:sz w:val="20"/>
              </w:rPr>
            </w:pPr>
            <w:r w:rsidRPr="000A70F8">
              <w:rPr>
                <w:sz w:val="20"/>
              </w:rPr>
              <w:t>26%</w:t>
            </w:r>
          </w:p>
        </w:tc>
        <w:tc>
          <w:tcPr>
            <w:tcW w:w="936" w:type="dxa"/>
            <w:shd w:val="clear" w:color="auto" w:fill="auto"/>
            <w:noWrap/>
            <w:vAlign w:val="bottom"/>
            <w:hideMark/>
          </w:tcPr>
          <w:p w:rsidR="003033FC" w:rsidRPr="000A70F8" w:rsidRDefault="003033FC" w:rsidP="00DC4F9F">
            <w:pPr>
              <w:spacing w:line="240" w:lineRule="auto"/>
              <w:rPr>
                <w:sz w:val="20"/>
              </w:rPr>
            </w:pPr>
            <w:r w:rsidRPr="000A70F8">
              <w:rPr>
                <w:sz w:val="20"/>
              </w:rPr>
              <w:t xml:space="preserve">  172,853 </w:t>
            </w:r>
          </w:p>
        </w:tc>
        <w:tc>
          <w:tcPr>
            <w:tcW w:w="670" w:type="dxa"/>
            <w:shd w:val="clear" w:color="auto" w:fill="auto"/>
            <w:noWrap/>
            <w:vAlign w:val="bottom"/>
            <w:hideMark/>
          </w:tcPr>
          <w:p w:rsidR="003033FC" w:rsidRPr="000A70F8" w:rsidRDefault="003033FC" w:rsidP="00DC4F9F">
            <w:pPr>
              <w:spacing w:line="240" w:lineRule="auto"/>
              <w:jc w:val="right"/>
              <w:rPr>
                <w:sz w:val="20"/>
              </w:rPr>
            </w:pPr>
            <w:r w:rsidRPr="000A70F8">
              <w:rPr>
                <w:sz w:val="20"/>
              </w:rPr>
              <w:t>24%</w:t>
            </w:r>
          </w:p>
        </w:tc>
        <w:tc>
          <w:tcPr>
            <w:tcW w:w="1004" w:type="dxa"/>
            <w:shd w:val="clear" w:color="auto" w:fill="auto"/>
            <w:noWrap/>
            <w:vAlign w:val="bottom"/>
            <w:hideMark/>
          </w:tcPr>
          <w:p w:rsidR="003033FC" w:rsidRPr="000A70F8" w:rsidRDefault="003033FC" w:rsidP="00DC4F9F">
            <w:pPr>
              <w:spacing w:line="240" w:lineRule="auto"/>
              <w:rPr>
                <w:sz w:val="20"/>
              </w:rPr>
            </w:pPr>
            <w:r w:rsidRPr="000A70F8">
              <w:rPr>
                <w:sz w:val="20"/>
              </w:rPr>
              <w:t xml:space="preserve">  411,716 </w:t>
            </w:r>
          </w:p>
        </w:tc>
        <w:tc>
          <w:tcPr>
            <w:tcW w:w="670" w:type="dxa"/>
            <w:shd w:val="clear" w:color="auto" w:fill="auto"/>
            <w:noWrap/>
            <w:vAlign w:val="bottom"/>
            <w:hideMark/>
          </w:tcPr>
          <w:p w:rsidR="003033FC" w:rsidRPr="000A70F8" w:rsidRDefault="003033FC" w:rsidP="00DC4F9F">
            <w:pPr>
              <w:spacing w:line="240" w:lineRule="auto"/>
              <w:jc w:val="right"/>
              <w:rPr>
                <w:sz w:val="20"/>
              </w:rPr>
            </w:pPr>
            <w:r w:rsidRPr="000A70F8">
              <w:rPr>
                <w:sz w:val="20"/>
              </w:rPr>
              <w:t>25%</w:t>
            </w:r>
          </w:p>
        </w:tc>
      </w:tr>
      <w:tr w:rsidR="003033FC" w:rsidRPr="009457DB" w:rsidTr="007E3FCE">
        <w:trPr>
          <w:trHeight w:val="309"/>
        </w:trPr>
        <w:tc>
          <w:tcPr>
            <w:tcW w:w="1150" w:type="dxa"/>
            <w:shd w:val="clear" w:color="auto" w:fill="auto"/>
            <w:noWrap/>
            <w:vAlign w:val="bottom"/>
            <w:hideMark/>
          </w:tcPr>
          <w:p w:rsidR="003033FC" w:rsidRPr="000A70F8" w:rsidRDefault="003033FC" w:rsidP="00DC4F9F">
            <w:pPr>
              <w:spacing w:line="240" w:lineRule="auto"/>
              <w:jc w:val="center"/>
              <w:rPr>
                <w:sz w:val="20"/>
              </w:rPr>
            </w:pPr>
            <w:r w:rsidRPr="000A70F8">
              <w:rPr>
                <w:sz w:val="20"/>
              </w:rPr>
              <w:t>20–24</w:t>
            </w:r>
          </w:p>
        </w:tc>
        <w:tc>
          <w:tcPr>
            <w:tcW w:w="812" w:type="dxa"/>
            <w:shd w:val="clear" w:color="auto" w:fill="auto"/>
            <w:noWrap/>
            <w:vAlign w:val="bottom"/>
            <w:hideMark/>
          </w:tcPr>
          <w:p w:rsidR="003033FC" w:rsidRPr="000A70F8" w:rsidRDefault="003033FC" w:rsidP="00DC4F9F">
            <w:pPr>
              <w:spacing w:line="240" w:lineRule="auto"/>
              <w:rPr>
                <w:sz w:val="20"/>
              </w:rPr>
            </w:pPr>
            <w:r w:rsidRPr="000A70F8">
              <w:rPr>
                <w:sz w:val="20"/>
              </w:rPr>
              <w:t xml:space="preserve">        759 </w:t>
            </w:r>
          </w:p>
        </w:tc>
        <w:tc>
          <w:tcPr>
            <w:tcW w:w="670" w:type="dxa"/>
            <w:shd w:val="clear" w:color="auto" w:fill="auto"/>
            <w:noWrap/>
            <w:vAlign w:val="bottom"/>
            <w:hideMark/>
          </w:tcPr>
          <w:p w:rsidR="003033FC" w:rsidRPr="000A70F8" w:rsidRDefault="003033FC" w:rsidP="00DC4F9F">
            <w:pPr>
              <w:spacing w:line="240" w:lineRule="auto"/>
              <w:jc w:val="right"/>
              <w:rPr>
                <w:sz w:val="20"/>
              </w:rPr>
            </w:pPr>
            <w:r w:rsidRPr="000A70F8">
              <w:rPr>
                <w:sz w:val="20"/>
              </w:rPr>
              <w:t>13%</w:t>
            </w:r>
          </w:p>
        </w:tc>
        <w:tc>
          <w:tcPr>
            <w:tcW w:w="833" w:type="dxa"/>
            <w:shd w:val="clear" w:color="auto" w:fill="auto"/>
            <w:noWrap/>
            <w:vAlign w:val="bottom"/>
            <w:hideMark/>
          </w:tcPr>
          <w:p w:rsidR="003033FC" w:rsidRPr="000A70F8" w:rsidRDefault="003033FC" w:rsidP="00DC4F9F">
            <w:pPr>
              <w:spacing w:line="240" w:lineRule="auto"/>
              <w:rPr>
                <w:sz w:val="20"/>
              </w:rPr>
            </w:pPr>
            <w:r w:rsidRPr="000A70F8">
              <w:rPr>
                <w:sz w:val="20"/>
              </w:rPr>
              <w:t xml:space="preserve">    2,760 </w:t>
            </w:r>
          </w:p>
        </w:tc>
        <w:tc>
          <w:tcPr>
            <w:tcW w:w="670" w:type="dxa"/>
            <w:shd w:val="clear" w:color="auto" w:fill="auto"/>
            <w:noWrap/>
            <w:vAlign w:val="bottom"/>
            <w:hideMark/>
          </w:tcPr>
          <w:p w:rsidR="003033FC" w:rsidRPr="000A70F8" w:rsidRDefault="003033FC" w:rsidP="00DC4F9F">
            <w:pPr>
              <w:spacing w:line="240" w:lineRule="auto"/>
              <w:jc w:val="right"/>
              <w:rPr>
                <w:sz w:val="20"/>
              </w:rPr>
            </w:pPr>
            <w:r w:rsidRPr="000A70F8">
              <w:rPr>
                <w:sz w:val="20"/>
              </w:rPr>
              <w:t>13%</w:t>
            </w:r>
          </w:p>
        </w:tc>
        <w:tc>
          <w:tcPr>
            <w:tcW w:w="870" w:type="dxa"/>
            <w:shd w:val="clear" w:color="auto" w:fill="auto"/>
            <w:noWrap/>
            <w:vAlign w:val="bottom"/>
            <w:hideMark/>
          </w:tcPr>
          <w:p w:rsidR="003033FC" w:rsidRPr="000A70F8" w:rsidRDefault="003033FC" w:rsidP="00DC4F9F">
            <w:pPr>
              <w:spacing w:line="240" w:lineRule="auto"/>
              <w:rPr>
                <w:sz w:val="20"/>
              </w:rPr>
            </w:pPr>
            <w:r w:rsidRPr="000A70F8">
              <w:rPr>
                <w:sz w:val="20"/>
              </w:rPr>
              <w:t xml:space="preserve">   28,432 </w:t>
            </w:r>
          </w:p>
        </w:tc>
        <w:tc>
          <w:tcPr>
            <w:tcW w:w="670" w:type="dxa"/>
            <w:shd w:val="clear" w:color="auto" w:fill="auto"/>
            <w:noWrap/>
            <w:vAlign w:val="bottom"/>
            <w:hideMark/>
          </w:tcPr>
          <w:p w:rsidR="003033FC" w:rsidRPr="000A70F8" w:rsidRDefault="003033FC" w:rsidP="00DC4F9F">
            <w:pPr>
              <w:spacing w:line="240" w:lineRule="auto"/>
              <w:jc w:val="right"/>
              <w:rPr>
                <w:sz w:val="20"/>
              </w:rPr>
            </w:pPr>
            <w:r w:rsidRPr="000A70F8">
              <w:rPr>
                <w:sz w:val="20"/>
              </w:rPr>
              <w:t>17%</w:t>
            </w:r>
          </w:p>
        </w:tc>
        <w:tc>
          <w:tcPr>
            <w:tcW w:w="928" w:type="dxa"/>
            <w:shd w:val="clear" w:color="auto" w:fill="auto"/>
            <w:noWrap/>
            <w:vAlign w:val="bottom"/>
            <w:hideMark/>
          </w:tcPr>
          <w:p w:rsidR="003033FC" w:rsidRPr="000A70F8" w:rsidRDefault="003033FC" w:rsidP="00DC4F9F">
            <w:pPr>
              <w:spacing w:line="240" w:lineRule="auto"/>
              <w:rPr>
                <w:sz w:val="20"/>
              </w:rPr>
            </w:pPr>
            <w:r w:rsidRPr="000A70F8">
              <w:rPr>
                <w:sz w:val="20"/>
              </w:rPr>
              <w:t xml:space="preserve">     91,383 </w:t>
            </w:r>
          </w:p>
        </w:tc>
        <w:tc>
          <w:tcPr>
            <w:tcW w:w="670" w:type="dxa"/>
            <w:shd w:val="clear" w:color="auto" w:fill="auto"/>
            <w:noWrap/>
            <w:vAlign w:val="bottom"/>
            <w:hideMark/>
          </w:tcPr>
          <w:p w:rsidR="003033FC" w:rsidRPr="000A70F8" w:rsidRDefault="003033FC" w:rsidP="00DC4F9F">
            <w:pPr>
              <w:spacing w:line="240" w:lineRule="auto"/>
              <w:jc w:val="right"/>
              <w:rPr>
                <w:sz w:val="20"/>
              </w:rPr>
            </w:pPr>
            <w:r w:rsidRPr="000A70F8">
              <w:rPr>
                <w:sz w:val="20"/>
              </w:rPr>
              <w:t>13%</w:t>
            </w:r>
          </w:p>
        </w:tc>
        <w:tc>
          <w:tcPr>
            <w:tcW w:w="936" w:type="dxa"/>
            <w:shd w:val="clear" w:color="auto" w:fill="auto"/>
            <w:noWrap/>
            <w:vAlign w:val="bottom"/>
            <w:hideMark/>
          </w:tcPr>
          <w:p w:rsidR="003033FC" w:rsidRPr="000A70F8" w:rsidRDefault="003033FC" w:rsidP="00DC4F9F">
            <w:pPr>
              <w:spacing w:line="240" w:lineRule="auto"/>
              <w:rPr>
                <w:sz w:val="20"/>
              </w:rPr>
            </w:pPr>
            <w:r w:rsidRPr="000A70F8">
              <w:rPr>
                <w:sz w:val="20"/>
              </w:rPr>
              <w:t xml:space="preserve">    88,203 </w:t>
            </w:r>
          </w:p>
        </w:tc>
        <w:tc>
          <w:tcPr>
            <w:tcW w:w="670" w:type="dxa"/>
            <w:shd w:val="clear" w:color="auto" w:fill="auto"/>
            <w:noWrap/>
            <w:vAlign w:val="bottom"/>
            <w:hideMark/>
          </w:tcPr>
          <w:p w:rsidR="003033FC" w:rsidRPr="000A70F8" w:rsidRDefault="003033FC" w:rsidP="00DC4F9F">
            <w:pPr>
              <w:spacing w:line="240" w:lineRule="auto"/>
              <w:jc w:val="right"/>
              <w:rPr>
                <w:sz w:val="20"/>
              </w:rPr>
            </w:pPr>
            <w:r w:rsidRPr="000A70F8">
              <w:rPr>
                <w:sz w:val="20"/>
              </w:rPr>
              <w:t>12%</w:t>
            </w:r>
          </w:p>
        </w:tc>
        <w:tc>
          <w:tcPr>
            <w:tcW w:w="1004" w:type="dxa"/>
            <w:shd w:val="clear" w:color="auto" w:fill="auto"/>
            <w:noWrap/>
            <w:vAlign w:val="bottom"/>
            <w:hideMark/>
          </w:tcPr>
          <w:p w:rsidR="003033FC" w:rsidRPr="000A70F8" w:rsidRDefault="003033FC" w:rsidP="00DC4F9F">
            <w:pPr>
              <w:spacing w:line="240" w:lineRule="auto"/>
              <w:rPr>
                <w:sz w:val="20"/>
              </w:rPr>
            </w:pPr>
            <w:r w:rsidRPr="000A70F8">
              <w:rPr>
                <w:sz w:val="20"/>
              </w:rPr>
              <w:t xml:space="preserve">  211,537 </w:t>
            </w:r>
          </w:p>
        </w:tc>
        <w:tc>
          <w:tcPr>
            <w:tcW w:w="670" w:type="dxa"/>
            <w:shd w:val="clear" w:color="auto" w:fill="auto"/>
            <w:noWrap/>
            <w:vAlign w:val="bottom"/>
            <w:hideMark/>
          </w:tcPr>
          <w:p w:rsidR="003033FC" w:rsidRPr="000A70F8" w:rsidRDefault="003033FC" w:rsidP="00DC4F9F">
            <w:pPr>
              <w:spacing w:line="240" w:lineRule="auto"/>
              <w:jc w:val="right"/>
              <w:rPr>
                <w:sz w:val="20"/>
              </w:rPr>
            </w:pPr>
            <w:r w:rsidRPr="000A70F8">
              <w:rPr>
                <w:sz w:val="20"/>
              </w:rPr>
              <w:t>13%</w:t>
            </w:r>
          </w:p>
        </w:tc>
      </w:tr>
      <w:tr w:rsidR="003033FC" w:rsidRPr="009457DB" w:rsidTr="007E3FCE">
        <w:trPr>
          <w:trHeight w:val="309"/>
        </w:trPr>
        <w:tc>
          <w:tcPr>
            <w:tcW w:w="1150" w:type="dxa"/>
            <w:shd w:val="clear" w:color="auto" w:fill="auto"/>
            <w:noWrap/>
            <w:vAlign w:val="bottom"/>
            <w:hideMark/>
          </w:tcPr>
          <w:p w:rsidR="003033FC" w:rsidRPr="000A70F8" w:rsidRDefault="003033FC" w:rsidP="00DC4F9F">
            <w:pPr>
              <w:spacing w:line="240" w:lineRule="auto"/>
              <w:jc w:val="center"/>
              <w:rPr>
                <w:sz w:val="20"/>
              </w:rPr>
            </w:pPr>
            <w:r w:rsidRPr="000A70F8">
              <w:rPr>
                <w:sz w:val="20"/>
              </w:rPr>
              <w:t>25–34</w:t>
            </w:r>
          </w:p>
        </w:tc>
        <w:tc>
          <w:tcPr>
            <w:tcW w:w="812" w:type="dxa"/>
            <w:shd w:val="clear" w:color="auto" w:fill="auto"/>
            <w:noWrap/>
            <w:vAlign w:val="bottom"/>
            <w:hideMark/>
          </w:tcPr>
          <w:p w:rsidR="003033FC" w:rsidRPr="000A70F8" w:rsidRDefault="003033FC" w:rsidP="00DC4F9F">
            <w:pPr>
              <w:spacing w:line="240" w:lineRule="auto"/>
              <w:rPr>
                <w:sz w:val="20"/>
              </w:rPr>
            </w:pPr>
            <w:r w:rsidRPr="000A70F8">
              <w:rPr>
                <w:sz w:val="20"/>
              </w:rPr>
              <w:t xml:space="preserve">        803 </w:t>
            </w:r>
          </w:p>
        </w:tc>
        <w:tc>
          <w:tcPr>
            <w:tcW w:w="670" w:type="dxa"/>
            <w:shd w:val="clear" w:color="auto" w:fill="auto"/>
            <w:noWrap/>
            <w:vAlign w:val="bottom"/>
            <w:hideMark/>
          </w:tcPr>
          <w:p w:rsidR="003033FC" w:rsidRPr="000A70F8" w:rsidRDefault="003033FC" w:rsidP="00DC4F9F">
            <w:pPr>
              <w:spacing w:line="240" w:lineRule="auto"/>
              <w:jc w:val="right"/>
              <w:rPr>
                <w:sz w:val="20"/>
              </w:rPr>
            </w:pPr>
            <w:r w:rsidRPr="000A70F8">
              <w:rPr>
                <w:sz w:val="20"/>
              </w:rPr>
              <w:t>13%</w:t>
            </w:r>
          </w:p>
        </w:tc>
        <w:tc>
          <w:tcPr>
            <w:tcW w:w="833" w:type="dxa"/>
            <w:shd w:val="clear" w:color="auto" w:fill="auto"/>
            <w:noWrap/>
            <w:vAlign w:val="bottom"/>
            <w:hideMark/>
          </w:tcPr>
          <w:p w:rsidR="003033FC" w:rsidRPr="000A70F8" w:rsidRDefault="003033FC" w:rsidP="00DC4F9F">
            <w:pPr>
              <w:spacing w:line="240" w:lineRule="auto"/>
              <w:rPr>
                <w:sz w:val="20"/>
              </w:rPr>
            </w:pPr>
            <w:r w:rsidRPr="000A70F8">
              <w:rPr>
                <w:sz w:val="20"/>
              </w:rPr>
              <w:t xml:space="preserve">    2,919 </w:t>
            </w:r>
          </w:p>
        </w:tc>
        <w:tc>
          <w:tcPr>
            <w:tcW w:w="670" w:type="dxa"/>
            <w:shd w:val="clear" w:color="auto" w:fill="auto"/>
            <w:noWrap/>
            <w:vAlign w:val="bottom"/>
            <w:hideMark/>
          </w:tcPr>
          <w:p w:rsidR="003033FC" w:rsidRPr="000A70F8" w:rsidRDefault="003033FC" w:rsidP="00DC4F9F">
            <w:pPr>
              <w:spacing w:line="240" w:lineRule="auto"/>
              <w:jc w:val="right"/>
              <w:rPr>
                <w:sz w:val="20"/>
              </w:rPr>
            </w:pPr>
            <w:r w:rsidRPr="000A70F8">
              <w:rPr>
                <w:sz w:val="20"/>
              </w:rPr>
              <w:t>13%</w:t>
            </w:r>
          </w:p>
        </w:tc>
        <w:tc>
          <w:tcPr>
            <w:tcW w:w="870" w:type="dxa"/>
            <w:shd w:val="clear" w:color="auto" w:fill="auto"/>
            <w:noWrap/>
            <w:vAlign w:val="bottom"/>
            <w:hideMark/>
          </w:tcPr>
          <w:p w:rsidR="003033FC" w:rsidRPr="000A70F8" w:rsidRDefault="003033FC" w:rsidP="00DC4F9F">
            <w:pPr>
              <w:spacing w:line="240" w:lineRule="auto"/>
              <w:rPr>
                <w:sz w:val="20"/>
              </w:rPr>
            </w:pPr>
            <w:r w:rsidRPr="000A70F8">
              <w:rPr>
                <w:sz w:val="20"/>
              </w:rPr>
              <w:t xml:space="preserve">   25,193 </w:t>
            </w:r>
          </w:p>
        </w:tc>
        <w:tc>
          <w:tcPr>
            <w:tcW w:w="670" w:type="dxa"/>
            <w:shd w:val="clear" w:color="auto" w:fill="auto"/>
            <w:noWrap/>
            <w:vAlign w:val="bottom"/>
            <w:hideMark/>
          </w:tcPr>
          <w:p w:rsidR="003033FC" w:rsidRPr="000A70F8" w:rsidRDefault="003033FC" w:rsidP="00DC4F9F">
            <w:pPr>
              <w:spacing w:line="240" w:lineRule="auto"/>
              <w:jc w:val="right"/>
              <w:rPr>
                <w:sz w:val="20"/>
              </w:rPr>
            </w:pPr>
            <w:r w:rsidRPr="000A70F8">
              <w:rPr>
                <w:sz w:val="20"/>
              </w:rPr>
              <w:t>15%</w:t>
            </w:r>
          </w:p>
        </w:tc>
        <w:tc>
          <w:tcPr>
            <w:tcW w:w="928" w:type="dxa"/>
            <w:shd w:val="clear" w:color="auto" w:fill="auto"/>
            <w:noWrap/>
            <w:vAlign w:val="bottom"/>
            <w:hideMark/>
          </w:tcPr>
          <w:p w:rsidR="003033FC" w:rsidRPr="000A70F8" w:rsidRDefault="003033FC" w:rsidP="00DC4F9F">
            <w:pPr>
              <w:spacing w:line="240" w:lineRule="auto"/>
              <w:rPr>
                <w:sz w:val="20"/>
              </w:rPr>
            </w:pPr>
            <w:r w:rsidRPr="000A70F8">
              <w:rPr>
                <w:sz w:val="20"/>
              </w:rPr>
              <w:t xml:space="preserve">     97,337 </w:t>
            </w:r>
          </w:p>
        </w:tc>
        <w:tc>
          <w:tcPr>
            <w:tcW w:w="670" w:type="dxa"/>
            <w:shd w:val="clear" w:color="auto" w:fill="auto"/>
            <w:noWrap/>
            <w:vAlign w:val="bottom"/>
            <w:hideMark/>
          </w:tcPr>
          <w:p w:rsidR="003033FC" w:rsidRPr="000A70F8" w:rsidRDefault="003033FC" w:rsidP="00DC4F9F">
            <w:pPr>
              <w:spacing w:line="240" w:lineRule="auto"/>
              <w:jc w:val="right"/>
              <w:rPr>
                <w:sz w:val="20"/>
              </w:rPr>
            </w:pPr>
            <w:r w:rsidRPr="000A70F8">
              <w:rPr>
                <w:sz w:val="20"/>
              </w:rPr>
              <w:t>14%</w:t>
            </w:r>
          </w:p>
        </w:tc>
        <w:tc>
          <w:tcPr>
            <w:tcW w:w="936" w:type="dxa"/>
            <w:shd w:val="clear" w:color="auto" w:fill="auto"/>
            <w:noWrap/>
            <w:vAlign w:val="bottom"/>
            <w:hideMark/>
          </w:tcPr>
          <w:p w:rsidR="003033FC" w:rsidRPr="000A70F8" w:rsidRDefault="003033FC" w:rsidP="00DC4F9F">
            <w:pPr>
              <w:spacing w:line="240" w:lineRule="auto"/>
              <w:rPr>
                <w:sz w:val="20"/>
              </w:rPr>
            </w:pPr>
            <w:r w:rsidRPr="000A70F8">
              <w:rPr>
                <w:sz w:val="20"/>
              </w:rPr>
              <w:t xml:space="preserve">    98,260 </w:t>
            </w:r>
          </w:p>
        </w:tc>
        <w:tc>
          <w:tcPr>
            <w:tcW w:w="670" w:type="dxa"/>
            <w:shd w:val="clear" w:color="auto" w:fill="auto"/>
            <w:noWrap/>
            <w:vAlign w:val="bottom"/>
            <w:hideMark/>
          </w:tcPr>
          <w:p w:rsidR="003033FC" w:rsidRPr="000A70F8" w:rsidRDefault="003033FC" w:rsidP="00DC4F9F">
            <w:pPr>
              <w:spacing w:line="240" w:lineRule="auto"/>
              <w:jc w:val="right"/>
              <w:rPr>
                <w:sz w:val="20"/>
              </w:rPr>
            </w:pPr>
            <w:r w:rsidRPr="000A70F8">
              <w:rPr>
                <w:sz w:val="20"/>
              </w:rPr>
              <w:t>13%</w:t>
            </w:r>
          </w:p>
        </w:tc>
        <w:tc>
          <w:tcPr>
            <w:tcW w:w="1004" w:type="dxa"/>
            <w:shd w:val="clear" w:color="auto" w:fill="auto"/>
            <w:noWrap/>
            <w:vAlign w:val="bottom"/>
            <w:hideMark/>
          </w:tcPr>
          <w:p w:rsidR="003033FC" w:rsidRPr="000A70F8" w:rsidRDefault="003033FC" w:rsidP="00DC4F9F">
            <w:pPr>
              <w:spacing w:line="240" w:lineRule="auto"/>
              <w:rPr>
                <w:sz w:val="20"/>
              </w:rPr>
            </w:pPr>
            <w:r w:rsidRPr="000A70F8">
              <w:rPr>
                <w:sz w:val="20"/>
              </w:rPr>
              <w:t xml:space="preserve">  224,512 </w:t>
            </w:r>
          </w:p>
        </w:tc>
        <w:tc>
          <w:tcPr>
            <w:tcW w:w="670" w:type="dxa"/>
            <w:shd w:val="clear" w:color="auto" w:fill="auto"/>
            <w:noWrap/>
            <w:vAlign w:val="bottom"/>
            <w:hideMark/>
          </w:tcPr>
          <w:p w:rsidR="003033FC" w:rsidRPr="000A70F8" w:rsidRDefault="003033FC" w:rsidP="00DC4F9F">
            <w:pPr>
              <w:spacing w:line="240" w:lineRule="auto"/>
              <w:jc w:val="right"/>
              <w:rPr>
                <w:sz w:val="20"/>
              </w:rPr>
            </w:pPr>
            <w:r w:rsidRPr="000A70F8">
              <w:rPr>
                <w:sz w:val="20"/>
              </w:rPr>
              <w:t>14%</w:t>
            </w:r>
          </w:p>
        </w:tc>
      </w:tr>
      <w:tr w:rsidR="003033FC" w:rsidRPr="009457DB" w:rsidTr="007E3FCE">
        <w:trPr>
          <w:trHeight w:val="309"/>
        </w:trPr>
        <w:tc>
          <w:tcPr>
            <w:tcW w:w="1150" w:type="dxa"/>
            <w:shd w:val="clear" w:color="auto" w:fill="auto"/>
            <w:noWrap/>
            <w:vAlign w:val="bottom"/>
            <w:hideMark/>
          </w:tcPr>
          <w:p w:rsidR="003033FC" w:rsidRPr="000A70F8" w:rsidRDefault="003033FC" w:rsidP="00DC4F9F">
            <w:pPr>
              <w:spacing w:line="240" w:lineRule="auto"/>
              <w:jc w:val="center"/>
              <w:rPr>
                <w:sz w:val="20"/>
              </w:rPr>
            </w:pPr>
            <w:r w:rsidRPr="000A70F8">
              <w:rPr>
                <w:sz w:val="20"/>
              </w:rPr>
              <w:t>35–49</w:t>
            </w:r>
          </w:p>
        </w:tc>
        <w:tc>
          <w:tcPr>
            <w:tcW w:w="812" w:type="dxa"/>
            <w:shd w:val="clear" w:color="auto" w:fill="auto"/>
            <w:noWrap/>
            <w:vAlign w:val="bottom"/>
            <w:hideMark/>
          </w:tcPr>
          <w:p w:rsidR="003033FC" w:rsidRPr="000A70F8" w:rsidRDefault="003033FC" w:rsidP="00DC4F9F">
            <w:pPr>
              <w:spacing w:line="240" w:lineRule="auto"/>
              <w:rPr>
                <w:sz w:val="20"/>
              </w:rPr>
            </w:pPr>
            <w:r w:rsidRPr="000A70F8">
              <w:rPr>
                <w:sz w:val="20"/>
              </w:rPr>
              <w:t xml:space="preserve">        319 </w:t>
            </w:r>
          </w:p>
        </w:tc>
        <w:tc>
          <w:tcPr>
            <w:tcW w:w="670" w:type="dxa"/>
            <w:shd w:val="clear" w:color="auto" w:fill="auto"/>
            <w:noWrap/>
            <w:vAlign w:val="bottom"/>
            <w:hideMark/>
          </w:tcPr>
          <w:p w:rsidR="003033FC" w:rsidRPr="000A70F8" w:rsidRDefault="003033FC" w:rsidP="00DC4F9F">
            <w:pPr>
              <w:spacing w:line="240" w:lineRule="auto"/>
              <w:jc w:val="right"/>
              <w:rPr>
                <w:sz w:val="20"/>
              </w:rPr>
            </w:pPr>
            <w:r w:rsidRPr="000A70F8">
              <w:rPr>
                <w:sz w:val="20"/>
              </w:rPr>
              <w:t>5%</w:t>
            </w:r>
          </w:p>
        </w:tc>
        <w:tc>
          <w:tcPr>
            <w:tcW w:w="833" w:type="dxa"/>
            <w:shd w:val="clear" w:color="auto" w:fill="auto"/>
            <w:noWrap/>
            <w:vAlign w:val="bottom"/>
            <w:hideMark/>
          </w:tcPr>
          <w:p w:rsidR="003033FC" w:rsidRPr="000A70F8" w:rsidRDefault="003033FC" w:rsidP="00DC4F9F">
            <w:pPr>
              <w:spacing w:line="240" w:lineRule="auto"/>
              <w:rPr>
                <w:sz w:val="20"/>
              </w:rPr>
            </w:pPr>
            <w:r w:rsidRPr="000A70F8">
              <w:rPr>
                <w:sz w:val="20"/>
              </w:rPr>
              <w:t xml:space="preserve">    1,161 </w:t>
            </w:r>
          </w:p>
        </w:tc>
        <w:tc>
          <w:tcPr>
            <w:tcW w:w="670" w:type="dxa"/>
            <w:shd w:val="clear" w:color="auto" w:fill="auto"/>
            <w:noWrap/>
            <w:vAlign w:val="bottom"/>
            <w:hideMark/>
          </w:tcPr>
          <w:p w:rsidR="003033FC" w:rsidRPr="000A70F8" w:rsidRDefault="003033FC" w:rsidP="00DC4F9F">
            <w:pPr>
              <w:spacing w:line="240" w:lineRule="auto"/>
              <w:jc w:val="right"/>
              <w:rPr>
                <w:sz w:val="20"/>
              </w:rPr>
            </w:pPr>
            <w:r w:rsidRPr="000A70F8">
              <w:rPr>
                <w:sz w:val="20"/>
              </w:rPr>
              <w:t>5%</w:t>
            </w:r>
          </w:p>
        </w:tc>
        <w:tc>
          <w:tcPr>
            <w:tcW w:w="870" w:type="dxa"/>
            <w:shd w:val="clear" w:color="auto" w:fill="auto"/>
            <w:noWrap/>
            <w:vAlign w:val="bottom"/>
            <w:hideMark/>
          </w:tcPr>
          <w:p w:rsidR="003033FC" w:rsidRPr="000A70F8" w:rsidRDefault="003033FC" w:rsidP="00DC4F9F">
            <w:pPr>
              <w:spacing w:line="240" w:lineRule="auto"/>
              <w:rPr>
                <w:sz w:val="20"/>
              </w:rPr>
            </w:pPr>
            <w:r w:rsidRPr="000A70F8">
              <w:rPr>
                <w:sz w:val="20"/>
              </w:rPr>
              <w:t xml:space="preserve">     8,880 </w:t>
            </w:r>
          </w:p>
        </w:tc>
        <w:tc>
          <w:tcPr>
            <w:tcW w:w="670" w:type="dxa"/>
            <w:shd w:val="clear" w:color="auto" w:fill="auto"/>
            <w:noWrap/>
            <w:vAlign w:val="bottom"/>
            <w:hideMark/>
          </w:tcPr>
          <w:p w:rsidR="003033FC" w:rsidRPr="000A70F8" w:rsidRDefault="003033FC" w:rsidP="00DC4F9F">
            <w:pPr>
              <w:spacing w:line="240" w:lineRule="auto"/>
              <w:jc w:val="right"/>
              <w:rPr>
                <w:sz w:val="20"/>
              </w:rPr>
            </w:pPr>
            <w:r w:rsidRPr="000A70F8">
              <w:rPr>
                <w:sz w:val="20"/>
              </w:rPr>
              <w:t>5%</w:t>
            </w:r>
          </w:p>
        </w:tc>
        <w:tc>
          <w:tcPr>
            <w:tcW w:w="928" w:type="dxa"/>
            <w:shd w:val="clear" w:color="auto" w:fill="auto"/>
            <w:noWrap/>
            <w:vAlign w:val="bottom"/>
            <w:hideMark/>
          </w:tcPr>
          <w:p w:rsidR="003033FC" w:rsidRPr="000A70F8" w:rsidRDefault="003033FC" w:rsidP="00DC4F9F">
            <w:pPr>
              <w:spacing w:line="240" w:lineRule="auto"/>
              <w:rPr>
                <w:sz w:val="20"/>
              </w:rPr>
            </w:pPr>
            <w:r w:rsidRPr="000A70F8">
              <w:rPr>
                <w:sz w:val="20"/>
              </w:rPr>
              <w:t xml:space="preserve">     36,776 </w:t>
            </w:r>
          </w:p>
        </w:tc>
        <w:tc>
          <w:tcPr>
            <w:tcW w:w="670" w:type="dxa"/>
            <w:shd w:val="clear" w:color="auto" w:fill="auto"/>
            <w:noWrap/>
            <w:vAlign w:val="bottom"/>
            <w:hideMark/>
          </w:tcPr>
          <w:p w:rsidR="003033FC" w:rsidRPr="000A70F8" w:rsidRDefault="003033FC" w:rsidP="00DC4F9F">
            <w:pPr>
              <w:spacing w:line="240" w:lineRule="auto"/>
              <w:jc w:val="right"/>
              <w:rPr>
                <w:sz w:val="20"/>
              </w:rPr>
            </w:pPr>
            <w:r w:rsidRPr="000A70F8">
              <w:rPr>
                <w:sz w:val="20"/>
              </w:rPr>
              <w:t>5%</w:t>
            </w:r>
          </w:p>
        </w:tc>
        <w:tc>
          <w:tcPr>
            <w:tcW w:w="936" w:type="dxa"/>
            <w:shd w:val="clear" w:color="auto" w:fill="auto"/>
            <w:noWrap/>
            <w:vAlign w:val="bottom"/>
            <w:hideMark/>
          </w:tcPr>
          <w:p w:rsidR="003033FC" w:rsidRPr="000A70F8" w:rsidRDefault="003033FC" w:rsidP="00DC4F9F">
            <w:pPr>
              <w:spacing w:line="240" w:lineRule="auto"/>
              <w:rPr>
                <w:sz w:val="20"/>
              </w:rPr>
            </w:pPr>
            <w:r w:rsidRPr="000A70F8">
              <w:rPr>
                <w:sz w:val="20"/>
              </w:rPr>
              <w:t xml:space="preserve">    38,142 </w:t>
            </w:r>
          </w:p>
        </w:tc>
        <w:tc>
          <w:tcPr>
            <w:tcW w:w="670" w:type="dxa"/>
            <w:shd w:val="clear" w:color="auto" w:fill="auto"/>
            <w:noWrap/>
            <w:vAlign w:val="bottom"/>
            <w:hideMark/>
          </w:tcPr>
          <w:p w:rsidR="003033FC" w:rsidRPr="000A70F8" w:rsidRDefault="003033FC" w:rsidP="00DC4F9F">
            <w:pPr>
              <w:spacing w:line="240" w:lineRule="auto"/>
              <w:jc w:val="right"/>
              <w:rPr>
                <w:sz w:val="20"/>
              </w:rPr>
            </w:pPr>
            <w:r w:rsidRPr="000A70F8">
              <w:rPr>
                <w:sz w:val="20"/>
              </w:rPr>
              <w:t>5%</w:t>
            </w:r>
          </w:p>
        </w:tc>
        <w:tc>
          <w:tcPr>
            <w:tcW w:w="1004" w:type="dxa"/>
            <w:shd w:val="clear" w:color="auto" w:fill="auto"/>
            <w:noWrap/>
            <w:vAlign w:val="bottom"/>
            <w:hideMark/>
          </w:tcPr>
          <w:p w:rsidR="003033FC" w:rsidRPr="000A70F8" w:rsidRDefault="003033FC" w:rsidP="00DC4F9F">
            <w:pPr>
              <w:spacing w:line="240" w:lineRule="auto"/>
              <w:rPr>
                <w:sz w:val="20"/>
              </w:rPr>
            </w:pPr>
            <w:r w:rsidRPr="000A70F8">
              <w:rPr>
                <w:sz w:val="20"/>
              </w:rPr>
              <w:t xml:space="preserve">     85,278 </w:t>
            </w:r>
          </w:p>
        </w:tc>
        <w:tc>
          <w:tcPr>
            <w:tcW w:w="670" w:type="dxa"/>
            <w:shd w:val="clear" w:color="auto" w:fill="auto"/>
            <w:noWrap/>
            <w:vAlign w:val="bottom"/>
            <w:hideMark/>
          </w:tcPr>
          <w:p w:rsidR="003033FC" w:rsidRPr="000A70F8" w:rsidRDefault="003033FC" w:rsidP="00DC4F9F">
            <w:pPr>
              <w:spacing w:line="240" w:lineRule="auto"/>
              <w:jc w:val="right"/>
              <w:rPr>
                <w:sz w:val="20"/>
              </w:rPr>
            </w:pPr>
            <w:bookmarkStart w:id="1" w:name="_GoBack"/>
            <w:bookmarkEnd w:id="1"/>
            <w:r w:rsidRPr="000A70F8">
              <w:rPr>
                <w:sz w:val="20"/>
              </w:rPr>
              <w:t>5%</w:t>
            </w:r>
          </w:p>
        </w:tc>
      </w:tr>
      <w:tr w:rsidR="003033FC" w:rsidRPr="009457DB" w:rsidTr="007E3FCE">
        <w:trPr>
          <w:trHeight w:val="309"/>
        </w:trPr>
        <w:tc>
          <w:tcPr>
            <w:tcW w:w="1150" w:type="dxa"/>
            <w:shd w:val="clear" w:color="auto" w:fill="auto"/>
            <w:noWrap/>
            <w:vAlign w:val="bottom"/>
            <w:hideMark/>
          </w:tcPr>
          <w:p w:rsidR="003033FC" w:rsidRPr="000A70F8" w:rsidRDefault="003033FC" w:rsidP="00DC4F9F">
            <w:pPr>
              <w:spacing w:line="240" w:lineRule="auto"/>
              <w:jc w:val="center"/>
              <w:rPr>
                <w:sz w:val="20"/>
              </w:rPr>
            </w:pPr>
            <w:r w:rsidRPr="000A70F8">
              <w:rPr>
                <w:sz w:val="20"/>
              </w:rPr>
              <w:t>50+</w:t>
            </w:r>
          </w:p>
        </w:tc>
        <w:tc>
          <w:tcPr>
            <w:tcW w:w="812" w:type="dxa"/>
            <w:shd w:val="clear" w:color="auto" w:fill="auto"/>
            <w:noWrap/>
            <w:vAlign w:val="bottom"/>
            <w:hideMark/>
          </w:tcPr>
          <w:p w:rsidR="003033FC" w:rsidRPr="000A70F8" w:rsidRDefault="003033FC" w:rsidP="00DC4F9F">
            <w:pPr>
              <w:spacing w:line="240" w:lineRule="auto"/>
              <w:rPr>
                <w:sz w:val="20"/>
              </w:rPr>
            </w:pPr>
            <w:r w:rsidRPr="000A70F8">
              <w:rPr>
                <w:sz w:val="20"/>
              </w:rPr>
              <w:t xml:space="preserve">           49 </w:t>
            </w:r>
          </w:p>
        </w:tc>
        <w:tc>
          <w:tcPr>
            <w:tcW w:w="670" w:type="dxa"/>
            <w:shd w:val="clear" w:color="auto" w:fill="auto"/>
            <w:noWrap/>
            <w:vAlign w:val="bottom"/>
            <w:hideMark/>
          </w:tcPr>
          <w:p w:rsidR="003033FC" w:rsidRPr="000A70F8" w:rsidRDefault="003033FC" w:rsidP="00DC4F9F">
            <w:pPr>
              <w:spacing w:line="240" w:lineRule="auto"/>
              <w:jc w:val="right"/>
              <w:rPr>
                <w:sz w:val="20"/>
              </w:rPr>
            </w:pPr>
            <w:r w:rsidRPr="000A70F8">
              <w:rPr>
                <w:sz w:val="20"/>
              </w:rPr>
              <w:t>1%</w:t>
            </w:r>
          </w:p>
        </w:tc>
        <w:tc>
          <w:tcPr>
            <w:tcW w:w="833" w:type="dxa"/>
            <w:shd w:val="clear" w:color="auto" w:fill="auto"/>
            <w:noWrap/>
            <w:vAlign w:val="bottom"/>
            <w:hideMark/>
          </w:tcPr>
          <w:p w:rsidR="003033FC" w:rsidRPr="000A70F8" w:rsidRDefault="003033FC" w:rsidP="00DC4F9F">
            <w:pPr>
              <w:spacing w:line="240" w:lineRule="auto"/>
              <w:rPr>
                <w:sz w:val="20"/>
              </w:rPr>
            </w:pPr>
            <w:r w:rsidRPr="000A70F8">
              <w:rPr>
                <w:sz w:val="20"/>
              </w:rPr>
              <w:t xml:space="preserve">        179 </w:t>
            </w:r>
          </w:p>
        </w:tc>
        <w:tc>
          <w:tcPr>
            <w:tcW w:w="670" w:type="dxa"/>
            <w:shd w:val="clear" w:color="auto" w:fill="auto"/>
            <w:noWrap/>
            <w:vAlign w:val="bottom"/>
            <w:hideMark/>
          </w:tcPr>
          <w:p w:rsidR="003033FC" w:rsidRPr="000A70F8" w:rsidRDefault="003033FC" w:rsidP="00DC4F9F">
            <w:pPr>
              <w:spacing w:line="240" w:lineRule="auto"/>
              <w:jc w:val="right"/>
              <w:rPr>
                <w:sz w:val="20"/>
              </w:rPr>
            </w:pPr>
            <w:r w:rsidRPr="000A70F8">
              <w:rPr>
                <w:sz w:val="20"/>
              </w:rPr>
              <w:t>1%</w:t>
            </w:r>
          </w:p>
        </w:tc>
        <w:tc>
          <w:tcPr>
            <w:tcW w:w="870" w:type="dxa"/>
            <w:shd w:val="clear" w:color="auto" w:fill="auto"/>
            <w:noWrap/>
            <w:vAlign w:val="bottom"/>
            <w:hideMark/>
          </w:tcPr>
          <w:p w:rsidR="003033FC" w:rsidRPr="000A70F8" w:rsidRDefault="003033FC" w:rsidP="00DC4F9F">
            <w:pPr>
              <w:spacing w:line="240" w:lineRule="auto"/>
              <w:rPr>
                <w:sz w:val="20"/>
              </w:rPr>
            </w:pPr>
            <w:r w:rsidRPr="000A70F8">
              <w:rPr>
                <w:sz w:val="20"/>
              </w:rPr>
              <w:t xml:space="preserve">     1,289 </w:t>
            </w:r>
          </w:p>
        </w:tc>
        <w:tc>
          <w:tcPr>
            <w:tcW w:w="670" w:type="dxa"/>
            <w:shd w:val="clear" w:color="auto" w:fill="auto"/>
            <w:noWrap/>
            <w:vAlign w:val="bottom"/>
            <w:hideMark/>
          </w:tcPr>
          <w:p w:rsidR="003033FC" w:rsidRPr="000A70F8" w:rsidRDefault="003033FC" w:rsidP="00DC4F9F">
            <w:pPr>
              <w:spacing w:line="240" w:lineRule="auto"/>
              <w:jc w:val="right"/>
              <w:rPr>
                <w:sz w:val="20"/>
              </w:rPr>
            </w:pPr>
            <w:r w:rsidRPr="000A70F8">
              <w:rPr>
                <w:sz w:val="20"/>
              </w:rPr>
              <w:t>1%</w:t>
            </w:r>
          </w:p>
        </w:tc>
        <w:tc>
          <w:tcPr>
            <w:tcW w:w="928" w:type="dxa"/>
            <w:shd w:val="clear" w:color="auto" w:fill="auto"/>
            <w:noWrap/>
            <w:vAlign w:val="bottom"/>
            <w:hideMark/>
          </w:tcPr>
          <w:p w:rsidR="003033FC" w:rsidRPr="000A70F8" w:rsidRDefault="003033FC" w:rsidP="00DC4F9F">
            <w:pPr>
              <w:spacing w:line="240" w:lineRule="auto"/>
              <w:rPr>
                <w:sz w:val="20"/>
              </w:rPr>
            </w:pPr>
            <w:r w:rsidRPr="000A70F8">
              <w:rPr>
                <w:sz w:val="20"/>
              </w:rPr>
              <w:t xml:space="preserve">       5,766 </w:t>
            </w:r>
          </w:p>
        </w:tc>
        <w:tc>
          <w:tcPr>
            <w:tcW w:w="670" w:type="dxa"/>
            <w:shd w:val="clear" w:color="auto" w:fill="auto"/>
            <w:noWrap/>
            <w:vAlign w:val="bottom"/>
            <w:hideMark/>
          </w:tcPr>
          <w:p w:rsidR="003033FC" w:rsidRPr="000A70F8" w:rsidRDefault="003033FC" w:rsidP="00DC4F9F">
            <w:pPr>
              <w:spacing w:line="240" w:lineRule="auto"/>
              <w:jc w:val="right"/>
              <w:rPr>
                <w:sz w:val="20"/>
              </w:rPr>
            </w:pPr>
            <w:r w:rsidRPr="000A70F8">
              <w:rPr>
                <w:sz w:val="20"/>
              </w:rPr>
              <w:t>1%</w:t>
            </w:r>
          </w:p>
        </w:tc>
        <w:tc>
          <w:tcPr>
            <w:tcW w:w="936" w:type="dxa"/>
            <w:shd w:val="clear" w:color="auto" w:fill="auto"/>
            <w:noWrap/>
            <w:vAlign w:val="bottom"/>
            <w:hideMark/>
          </w:tcPr>
          <w:p w:rsidR="003033FC" w:rsidRPr="000A70F8" w:rsidRDefault="003033FC" w:rsidP="00DC4F9F">
            <w:pPr>
              <w:spacing w:line="240" w:lineRule="auto"/>
              <w:rPr>
                <w:sz w:val="20"/>
              </w:rPr>
            </w:pPr>
            <w:r w:rsidRPr="000A70F8">
              <w:rPr>
                <w:sz w:val="20"/>
              </w:rPr>
              <w:t xml:space="preserve">       6,249 </w:t>
            </w:r>
          </w:p>
        </w:tc>
        <w:tc>
          <w:tcPr>
            <w:tcW w:w="670" w:type="dxa"/>
            <w:shd w:val="clear" w:color="auto" w:fill="auto"/>
            <w:noWrap/>
            <w:vAlign w:val="bottom"/>
            <w:hideMark/>
          </w:tcPr>
          <w:p w:rsidR="003033FC" w:rsidRPr="000A70F8" w:rsidRDefault="003033FC" w:rsidP="00DC4F9F">
            <w:pPr>
              <w:spacing w:line="240" w:lineRule="auto"/>
              <w:jc w:val="right"/>
              <w:rPr>
                <w:sz w:val="20"/>
              </w:rPr>
            </w:pPr>
            <w:r w:rsidRPr="000A70F8">
              <w:rPr>
                <w:sz w:val="20"/>
              </w:rPr>
              <w:t>1%</w:t>
            </w:r>
          </w:p>
        </w:tc>
        <w:tc>
          <w:tcPr>
            <w:tcW w:w="1004" w:type="dxa"/>
            <w:shd w:val="clear" w:color="auto" w:fill="auto"/>
            <w:noWrap/>
            <w:vAlign w:val="bottom"/>
            <w:hideMark/>
          </w:tcPr>
          <w:p w:rsidR="003033FC" w:rsidRPr="000A70F8" w:rsidRDefault="003033FC" w:rsidP="00DC4F9F">
            <w:pPr>
              <w:spacing w:line="240" w:lineRule="auto"/>
              <w:rPr>
                <w:sz w:val="20"/>
              </w:rPr>
            </w:pPr>
            <w:r w:rsidRPr="000A70F8">
              <w:rPr>
                <w:sz w:val="20"/>
              </w:rPr>
              <w:t xml:space="preserve">     13,532 </w:t>
            </w:r>
          </w:p>
        </w:tc>
        <w:tc>
          <w:tcPr>
            <w:tcW w:w="670" w:type="dxa"/>
            <w:shd w:val="clear" w:color="auto" w:fill="auto"/>
            <w:noWrap/>
            <w:vAlign w:val="bottom"/>
            <w:hideMark/>
          </w:tcPr>
          <w:p w:rsidR="003033FC" w:rsidRPr="000A70F8" w:rsidRDefault="003033FC" w:rsidP="00DC4F9F">
            <w:pPr>
              <w:spacing w:line="240" w:lineRule="auto"/>
              <w:jc w:val="right"/>
              <w:rPr>
                <w:sz w:val="20"/>
              </w:rPr>
            </w:pPr>
            <w:r w:rsidRPr="000A70F8">
              <w:rPr>
                <w:sz w:val="20"/>
              </w:rPr>
              <w:t>1%</w:t>
            </w:r>
          </w:p>
        </w:tc>
      </w:tr>
      <w:tr w:rsidR="007E3FCE" w:rsidRPr="009457DB" w:rsidTr="007E3FCE">
        <w:trPr>
          <w:trHeight w:val="309"/>
        </w:trPr>
        <w:tc>
          <w:tcPr>
            <w:tcW w:w="1150" w:type="dxa"/>
            <w:shd w:val="clear" w:color="auto" w:fill="auto"/>
            <w:noWrap/>
            <w:vAlign w:val="bottom"/>
          </w:tcPr>
          <w:p w:rsidR="007E3FCE" w:rsidRPr="000A70F8" w:rsidRDefault="007E3FCE" w:rsidP="00DC4F9F">
            <w:pPr>
              <w:spacing w:line="240" w:lineRule="auto"/>
              <w:jc w:val="center"/>
              <w:rPr>
                <w:sz w:val="20"/>
              </w:rPr>
            </w:pPr>
            <w:r>
              <w:rPr>
                <w:sz w:val="20"/>
              </w:rPr>
              <w:t>Total</w:t>
            </w:r>
          </w:p>
        </w:tc>
        <w:tc>
          <w:tcPr>
            <w:tcW w:w="812" w:type="dxa"/>
            <w:shd w:val="clear" w:color="auto" w:fill="auto"/>
            <w:noWrap/>
            <w:vAlign w:val="bottom"/>
          </w:tcPr>
          <w:p w:rsidR="007E3FCE" w:rsidRPr="000A70F8" w:rsidRDefault="007E3FCE" w:rsidP="00DC4F9F">
            <w:pPr>
              <w:spacing w:line="240" w:lineRule="auto"/>
              <w:rPr>
                <w:sz w:val="20"/>
              </w:rPr>
            </w:pPr>
            <w:r>
              <w:rPr>
                <w:sz w:val="20"/>
              </w:rPr>
              <w:t>6,035</w:t>
            </w:r>
          </w:p>
        </w:tc>
        <w:tc>
          <w:tcPr>
            <w:tcW w:w="670" w:type="dxa"/>
            <w:shd w:val="clear" w:color="auto" w:fill="auto"/>
            <w:noWrap/>
            <w:vAlign w:val="bottom"/>
          </w:tcPr>
          <w:p w:rsidR="007E3FCE" w:rsidRPr="000A70F8" w:rsidRDefault="007E3FCE" w:rsidP="00DC4F9F">
            <w:pPr>
              <w:spacing w:line="240" w:lineRule="auto"/>
              <w:jc w:val="right"/>
              <w:rPr>
                <w:sz w:val="20"/>
              </w:rPr>
            </w:pPr>
            <w:r>
              <w:rPr>
                <w:sz w:val="20"/>
              </w:rPr>
              <w:t>100%</w:t>
            </w:r>
          </w:p>
        </w:tc>
        <w:tc>
          <w:tcPr>
            <w:tcW w:w="833" w:type="dxa"/>
            <w:shd w:val="clear" w:color="auto" w:fill="auto"/>
            <w:noWrap/>
            <w:vAlign w:val="bottom"/>
          </w:tcPr>
          <w:p w:rsidR="007E3FCE" w:rsidRPr="000A70F8" w:rsidRDefault="007E3FCE" w:rsidP="00DC4F9F">
            <w:pPr>
              <w:spacing w:line="240" w:lineRule="auto"/>
              <w:rPr>
                <w:sz w:val="20"/>
              </w:rPr>
            </w:pPr>
            <w:r>
              <w:rPr>
                <w:sz w:val="20"/>
              </w:rPr>
              <w:t>21,951</w:t>
            </w:r>
          </w:p>
        </w:tc>
        <w:tc>
          <w:tcPr>
            <w:tcW w:w="670" w:type="dxa"/>
            <w:shd w:val="clear" w:color="auto" w:fill="auto"/>
            <w:noWrap/>
            <w:vAlign w:val="bottom"/>
          </w:tcPr>
          <w:p w:rsidR="007E3FCE" w:rsidRPr="000A70F8" w:rsidRDefault="007E3FCE" w:rsidP="00DC4F9F">
            <w:pPr>
              <w:spacing w:line="240" w:lineRule="auto"/>
              <w:jc w:val="right"/>
              <w:rPr>
                <w:sz w:val="20"/>
              </w:rPr>
            </w:pPr>
            <w:r>
              <w:rPr>
                <w:sz w:val="20"/>
              </w:rPr>
              <w:t>100%</w:t>
            </w:r>
          </w:p>
        </w:tc>
        <w:tc>
          <w:tcPr>
            <w:tcW w:w="870" w:type="dxa"/>
            <w:shd w:val="clear" w:color="auto" w:fill="auto"/>
            <w:noWrap/>
            <w:vAlign w:val="bottom"/>
          </w:tcPr>
          <w:p w:rsidR="007E3FCE" w:rsidRPr="000A70F8" w:rsidRDefault="007E3FCE" w:rsidP="00DC4F9F">
            <w:pPr>
              <w:spacing w:line="240" w:lineRule="auto"/>
              <w:rPr>
                <w:sz w:val="20"/>
              </w:rPr>
            </w:pPr>
            <w:r>
              <w:rPr>
                <w:sz w:val="20"/>
              </w:rPr>
              <w:t>165,335</w:t>
            </w:r>
          </w:p>
        </w:tc>
        <w:tc>
          <w:tcPr>
            <w:tcW w:w="670" w:type="dxa"/>
            <w:shd w:val="clear" w:color="auto" w:fill="auto"/>
            <w:noWrap/>
            <w:vAlign w:val="bottom"/>
          </w:tcPr>
          <w:p w:rsidR="007E3FCE" w:rsidRPr="000A70F8" w:rsidRDefault="007E3FCE" w:rsidP="00DC4F9F">
            <w:pPr>
              <w:spacing w:line="240" w:lineRule="auto"/>
              <w:jc w:val="right"/>
              <w:rPr>
                <w:sz w:val="20"/>
              </w:rPr>
            </w:pPr>
            <w:r>
              <w:rPr>
                <w:sz w:val="20"/>
              </w:rPr>
              <w:t>100%</w:t>
            </w:r>
          </w:p>
        </w:tc>
        <w:tc>
          <w:tcPr>
            <w:tcW w:w="928" w:type="dxa"/>
            <w:shd w:val="clear" w:color="auto" w:fill="auto"/>
            <w:noWrap/>
            <w:vAlign w:val="bottom"/>
          </w:tcPr>
          <w:p w:rsidR="007E3FCE" w:rsidRPr="000A70F8" w:rsidRDefault="007E3FCE" w:rsidP="00DC4F9F">
            <w:pPr>
              <w:spacing w:line="240" w:lineRule="auto"/>
              <w:rPr>
                <w:sz w:val="20"/>
              </w:rPr>
            </w:pPr>
            <w:r>
              <w:rPr>
                <w:sz w:val="20"/>
              </w:rPr>
              <w:t>691,555</w:t>
            </w:r>
          </w:p>
        </w:tc>
        <w:tc>
          <w:tcPr>
            <w:tcW w:w="670" w:type="dxa"/>
            <w:shd w:val="clear" w:color="auto" w:fill="auto"/>
            <w:noWrap/>
            <w:vAlign w:val="bottom"/>
          </w:tcPr>
          <w:p w:rsidR="007E3FCE" w:rsidRPr="000A70F8" w:rsidRDefault="007E3FCE" w:rsidP="00DC4F9F">
            <w:pPr>
              <w:spacing w:line="240" w:lineRule="auto"/>
              <w:jc w:val="right"/>
              <w:rPr>
                <w:sz w:val="20"/>
              </w:rPr>
            </w:pPr>
            <w:r>
              <w:rPr>
                <w:sz w:val="20"/>
              </w:rPr>
              <w:t>100%</w:t>
            </w:r>
          </w:p>
        </w:tc>
        <w:tc>
          <w:tcPr>
            <w:tcW w:w="936" w:type="dxa"/>
            <w:shd w:val="clear" w:color="auto" w:fill="auto"/>
            <w:noWrap/>
            <w:vAlign w:val="bottom"/>
          </w:tcPr>
          <w:p w:rsidR="007E3FCE" w:rsidRPr="000A70F8" w:rsidRDefault="007E3FCE" w:rsidP="00DC4F9F">
            <w:pPr>
              <w:spacing w:line="240" w:lineRule="auto"/>
              <w:rPr>
                <w:sz w:val="20"/>
              </w:rPr>
            </w:pPr>
            <w:r>
              <w:rPr>
                <w:sz w:val="20"/>
              </w:rPr>
              <w:t>730,851</w:t>
            </w:r>
          </w:p>
        </w:tc>
        <w:tc>
          <w:tcPr>
            <w:tcW w:w="670" w:type="dxa"/>
            <w:shd w:val="clear" w:color="auto" w:fill="auto"/>
            <w:noWrap/>
            <w:vAlign w:val="bottom"/>
          </w:tcPr>
          <w:p w:rsidR="007E3FCE" w:rsidRPr="000A70F8" w:rsidRDefault="007E3FCE" w:rsidP="00DC4F9F">
            <w:pPr>
              <w:spacing w:line="240" w:lineRule="auto"/>
              <w:jc w:val="right"/>
              <w:rPr>
                <w:sz w:val="20"/>
              </w:rPr>
            </w:pPr>
            <w:r>
              <w:rPr>
                <w:sz w:val="20"/>
              </w:rPr>
              <w:t>100%</w:t>
            </w:r>
          </w:p>
        </w:tc>
        <w:tc>
          <w:tcPr>
            <w:tcW w:w="1004" w:type="dxa"/>
            <w:shd w:val="clear" w:color="auto" w:fill="auto"/>
            <w:noWrap/>
            <w:vAlign w:val="bottom"/>
          </w:tcPr>
          <w:p w:rsidR="007E3FCE" w:rsidRPr="000A70F8" w:rsidRDefault="007E3FCE" w:rsidP="00DC4F9F">
            <w:pPr>
              <w:spacing w:line="240" w:lineRule="auto"/>
              <w:rPr>
                <w:sz w:val="20"/>
              </w:rPr>
            </w:pPr>
            <w:r>
              <w:rPr>
                <w:sz w:val="20"/>
              </w:rPr>
              <w:t>1,615,728</w:t>
            </w:r>
          </w:p>
        </w:tc>
        <w:tc>
          <w:tcPr>
            <w:tcW w:w="670" w:type="dxa"/>
            <w:shd w:val="clear" w:color="auto" w:fill="auto"/>
            <w:noWrap/>
            <w:vAlign w:val="bottom"/>
          </w:tcPr>
          <w:p w:rsidR="007E3FCE" w:rsidRPr="000A70F8" w:rsidRDefault="007E3FCE" w:rsidP="00DC4F9F">
            <w:pPr>
              <w:spacing w:line="240" w:lineRule="auto"/>
              <w:jc w:val="right"/>
              <w:rPr>
                <w:sz w:val="20"/>
              </w:rPr>
            </w:pPr>
            <w:r>
              <w:rPr>
                <w:sz w:val="20"/>
              </w:rPr>
              <w:t>100%</w:t>
            </w:r>
          </w:p>
        </w:tc>
      </w:tr>
    </w:tbl>
    <w:p w:rsidR="003033FC" w:rsidRPr="009457DB" w:rsidRDefault="003033FC" w:rsidP="003033FC">
      <w:pPr>
        <w:pStyle w:val="ListParagraph"/>
      </w:pPr>
    </w:p>
    <w:p w:rsidR="009B4279" w:rsidRDefault="00160F0D" w:rsidP="000B17B7">
      <w:pPr>
        <w:spacing w:line="240" w:lineRule="auto"/>
      </w:pPr>
      <w:r w:rsidRPr="000B17B7">
        <w:rPr>
          <w:b/>
        </w:rPr>
        <w:t>Methodology</w:t>
      </w:r>
      <w:r>
        <w:t>: USAID and CDC circumcision data by month were provided by Clinton Health Access Initiative (CHAI), South Africa in 2015.CDC data was disaggregated by the age distribution of historical CDC data from all sites (fixed and mobile) provided by CHAI, using year-specific data (2010/2011 distribution was used for 2010/2011 data; 2011/12 distribution for 2011/2012, etc.). USAID data was disaggregated by the age distribution of historical USAID data from all sites (fixed and mobile) provided by CHAI, using year-specific data. Government-only data was derived by subtracting out the USAID and CDC numbers from the reported DHIS numbers, as provided by CHAI.</w:t>
      </w:r>
      <w:r w:rsidR="00C00E58">
        <w:t xml:space="preserve"> </w:t>
      </w:r>
      <w:r>
        <w:t xml:space="preserve">Because the DHIS data only officially reports MCs in the 15-49 age </w:t>
      </w:r>
      <w:proofErr w:type="gramStart"/>
      <w:r>
        <w:t>group</w:t>
      </w:r>
      <w:proofErr w:type="gramEnd"/>
      <w:r>
        <w:t>, the number of MCs in the 10-14 age group was estimated by applying the age distribution of historical</w:t>
      </w:r>
      <w:r w:rsidR="00C00E58">
        <w:t xml:space="preserve"> USAID fixed-site circumcisions. </w:t>
      </w:r>
      <w:r>
        <w:t>The government-only data were then broken up further into age groups based again on the age distribution of historical USAID fixed-site circumcisions</w:t>
      </w:r>
      <w:r w:rsidR="00C00E58">
        <w:t>.</w:t>
      </w:r>
    </w:p>
    <w:sectPr w:rsidR="009B42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3FC"/>
    <w:rsid w:val="000B17B7"/>
    <w:rsid w:val="00160F0D"/>
    <w:rsid w:val="001B3894"/>
    <w:rsid w:val="003033FC"/>
    <w:rsid w:val="0044098E"/>
    <w:rsid w:val="00532028"/>
    <w:rsid w:val="007035BD"/>
    <w:rsid w:val="007E3FCE"/>
    <w:rsid w:val="008039F5"/>
    <w:rsid w:val="009B4279"/>
    <w:rsid w:val="00A17B44"/>
    <w:rsid w:val="00C00E58"/>
    <w:rsid w:val="00FE3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3FC"/>
    <w:pPr>
      <w:spacing w:after="0" w:line="480" w:lineRule="auto"/>
    </w:pPr>
    <w:rPr>
      <w:rFonts w:ascii="Times New Roman" w:eastAsia="Times New Roman" w:hAnsi="Times New Roman" w:cs="Times New Roman"/>
    </w:rPr>
  </w:style>
  <w:style w:type="paragraph" w:styleId="Heading2">
    <w:name w:val="heading 2"/>
    <w:next w:val="Normal"/>
    <w:link w:val="Heading2Char"/>
    <w:qFormat/>
    <w:rsid w:val="003033FC"/>
    <w:pPr>
      <w:keepNext/>
      <w:spacing w:after="120" w:line="240" w:lineRule="auto"/>
      <w:outlineLvl w:val="1"/>
    </w:pPr>
    <w:rPr>
      <w:rFonts w:ascii="Century Gothic" w:eastAsia="Times New Roman" w:hAnsi="Century Gothic"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34E8"/>
    <w:pPr>
      <w:spacing w:after="0" w:line="240" w:lineRule="auto"/>
    </w:pPr>
    <w:rPr>
      <w:rFonts w:ascii="Times New Roman" w:hAnsi="Times New Roman"/>
      <w:sz w:val="24"/>
    </w:rPr>
  </w:style>
  <w:style w:type="character" w:customStyle="1" w:styleId="Heading2Char">
    <w:name w:val="Heading 2 Char"/>
    <w:basedOn w:val="DefaultParagraphFont"/>
    <w:link w:val="Heading2"/>
    <w:rsid w:val="003033FC"/>
    <w:rPr>
      <w:rFonts w:ascii="Century Gothic" w:eastAsia="Times New Roman" w:hAnsi="Century Gothic" w:cs="Arial"/>
      <w:b/>
      <w:bCs/>
      <w:iCs/>
      <w:sz w:val="28"/>
      <w:szCs w:val="28"/>
    </w:rPr>
  </w:style>
  <w:style w:type="paragraph" w:styleId="ListParagraph">
    <w:name w:val="List Paragraph"/>
    <w:basedOn w:val="Normal"/>
    <w:uiPriority w:val="34"/>
    <w:qFormat/>
    <w:rsid w:val="003033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3FC"/>
    <w:pPr>
      <w:spacing w:after="0" w:line="480" w:lineRule="auto"/>
    </w:pPr>
    <w:rPr>
      <w:rFonts w:ascii="Times New Roman" w:eastAsia="Times New Roman" w:hAnsi="Times New Roman" w:cs="Times New Roman"/>
    </w:rPr>
  </w:style>
  <w:style w:type="paragraph" w:styleId="Heading2">
    <w:name w:val="heading 2"/>
    <w:next w:val="Normal"/>
    <w:link w:val="Heading2Char"/>
    <w:qFormat/>
    <w:rsid w:val="003033FC"/>
    <w:pPr>
      <w:keepNext/>
      <w:spacing w:after="120" w:line="240" w:lineRule="auto"/>
      <w:outlineLvl w:val="1"/>
    </w:pPr>
    <w:rPr>
      <w:rFonts w:ascii="Century Gothic" w:eastAsia="Times New Roman" w:hAnsi="Century Gothic"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34E8"/>
    <w:pPr>
      <w:spacing w:after="0" w:line="240" w:lineRule="auto"/>
    </w:pPr>
    <w:rPr>
      <w:rFonts w:ascii="Times New Roman" w:hAnsi="Times New Roman"/>
      <w:sz w:val="24"/>
    </w:rPr>
  </w:style>
  <w:style w:type="character" w:customStyle="1" w:styleId="Heading2Char">
    <w:name w:val="Heading 2 Char"/>
    <w:basedOn w:val="DefaultParagraphFont"/>
    <w:link w:val="Heading2"/>
    <w:rsid w:val="003033FC"/>
    <w:rPr>
      <w:rFonts w:ascii="Century Gothic" w:eastAsia="Times New Roman" w:hAnsi="Century Gothic" w:cs="Arial"/>
      <w:b/>
      <w:bCs/>
      <w:iCs/>
      <w:sz w:val="28"/>
      <w:szCs w:val="28"/>
    </w:rPr>
  </w:style>
  <w:style w:type="paragraph" w:styleId="ListParagraph">
    <w:name w:val="List Paragraph"/>
    <w:basedOn w:val="Normal"/>
    <w:uiPriority w:val="34"/>
    <w:qFormat/>
    <w:rsid w:val="003033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43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Futures Group</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Schnure</dc:creator>
  <cp:lastModifiedBy>Melissa Schnure</cp:lastModifiedBy>
  <cp:revision>5</cp:revision>
  <dcterms:created xsi:type="dcterms:W3CDTF">2015-11-18T15:49:00Z</dcterms:created>
  <dcterms:modified xsi:type="dcterms:W3CDTF">2016-04-01T15:33:00Z</dcterms:modified>
</cp:coreProperties>
</file>