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DC" w:rsidRDefault="00113BDC" w:rsidP="00113BDC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 w:cs="Times New Roman"/>
          <w:b/>
          <w:sz w:val="24"/>
          <w:szCs w:val="24"/>
        </w:rPr>
        <w:t xml:space="preserve">Supplementary </w:t>
      </w:r>
      <w:r w:rsidRPr="00063FEB">
        <w:rPr>
          <w:rFonts w:ascii="Arial Narrow" w:hAnsi="Arial Narrow" w:cs="Times New Roman"/>
          <w:b/>
          <w:sz w:val="24"/>
          <w:szCs w:val="24"/>
        </w:rPr>
        <w:t xml:space="preserve">Table 1. International Classification of Diseases, versions 9 and 10 (ICD-9-CM, ICD-10-CM) codes used to identify </w:t>
      </w:r>
      <w:r>
        <w:rPr>
          <w:rFonts w:ascii="Arial Narrow" w:hAnsi="Arial Narrow" w:cs="Times New Roman"/>
          <w:b/>
          <w:sz w:val="24"/>
          <w:szCs w:val="24"/>
        </w:rPr>
        <w:t xml:space="preserve">type 2 </w:t>
      </w:r>
      <w:r w:rsidRPr="00063FEB">
        <w:rPr>
          <w:rFonts w:ascii="Arial Narrow" w:hAnsi="Arial Narrow" w:cs="Times New Roman"/>
          <w:b/>
          <w:sz w:val="24"/>
          <w:szCs w:val="24"/>
        </w:rPr>
        <w:t>diabetes a</w:t>
      </w:r>
      <w:r>
        <w:rPr>
          <w:rFonts w:ascii="Arial Narrow" w:hAnsi="Arial Narrow" w:cs="Times New Roman"/>
          <w:b/>
          <w:sz w:val="24"/>
          <w:szCs w:val="24"/>
        </w:rPr>
        <w:t>nd conditions used in propensity score calculations.</w:t>
      </w:r>
    </w:p>
    <w:p w:rsidR="00113BDC" w:rsidRPr="002B2CED" w:rsidRDefault="00113BDC" w:rsidP="00113BDC">
      <w:pPr>
        <w:spacing w:after="0" w:line="240" w:lineRule="auto"/>
        <w:rPr>
          <w:rFonts w:ascii="Arial Narrow" w:eastAsia="MS Mincho" w:hAnsi="Arial Narrow" w:cs="Arial"/>
          <w:b/>
          <w:lang w:eastAsia="ja-JP"/>
        </w:rPr>
      </w:pPr>
    </w:p>
    <w:tbl>
      <w:tblPr>
        <w:tblW w:w="12960" w:type="dxa"/>
        <w:tblLook w:val="04A0" w:firstRow="1" w:lastRow="0" w:firstColumn="1" w:lastColumn="0" w:noHBand="0" w:noVBand="1"/>
      </w:tblPr>
      <w:tblGrid>
        <w:gridCol w:w="2700"/>
        <w:gridCol w:w="10260"/>
      </w:tblGrid>
      <w:tr w:rsidR="00113BDC" w:rsidRPr="00A701E5" w:rsidTr="00854705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BDC" w:rsidRPr="00A701E5" w:rsidRDefault="00113BDC" w:rsidP="00854705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  <w:r w:rsidRPr="00A701E5">
              <w:rPr>
                <w:rFonts w:ascii="Arial Narrow" w:eastAsia="Times New Roman" w:hAnsi="Arial Narrow" w:cs="Arial"/>
                <w:b/>
              </w:rPr>
              <w:t>Condition</w:t>
            </w:r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BDC" w:rsidRPr="00A701E5" w:rsidRDefault="00113BDC" w:rsidP="00854705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  <w:r w:rsidRPr="00A701E5">
              <w:rPr>
                <w:rFonts w:ascii="Arial Narrow" w:eastAsia="Times New Roman" w:hAnsi="Arial Narrow" w:cs="Arial"/>
                <w:b/>
              </w:rPr>
              <w:t>Related diagnosis codes</w:t>
            </w:r>
          </w:p>
        </w:tc>
      </w:tr>
      <w:tr w:rsidR="00113BDC" w:rsidRPr="00A701E5" w:rsidTr="00854705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BDC" w:rsidRPr="00A701E5" w:rsidRDefault="00113BDC" w:rsidP="00854705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</w:rPr>
            </w:pPr>
            <w:r w:rsidRPr="00A701E5">
              <w:rPr>
                <w:rFonts w:ascii="Arial Narrow" w:eastAsia="Times New Roman" w:hAnsi="Arial Narrow" w:cs="Arial"/>
              </w:rPr>
              <w:t>Diabetes mellitus</w:t>
            </w:r>
            <w:r>
              <w:rPr>
                <w:rFonts w:ascii="Arial Narrow" w:eastAsia="Times New Roman" w:hAnsi="Arial Narrow" w:cs="Arial"/>
              </w:rPr>
              <w:t xml:space="preserve"> type 2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BDC" w:rsidRPr="00A701E5" w:rsidRDefault="00113BDC" w:rsidP="00854705">
            <w:pPr>
              <w:autoSpaceDE w:val="0"/>
              <w:autoSpaceDN w:val="0"/>
              <w:spacing w:after="0"/>
              <w:contextualSpacing/>
              <w:rPr>
                <w:rFonts w:ascii="Arial Narrow" w:eastAsia="Times New Roman" w:hAnsi="Arial Narrow" w:cs="Arial"/>
              </w:rPr>
            </w:pPr>
            <w:r w:rsidRPr="00A701E5">
              <w:rPr>
                <w:rFonts w:ascii="Arial Narrow" w:eastAsia="Times New Roman" w:hAnsi="Arial Narrow" w:cs="Arial"/>
              </w:rPr>
              <w:t xml:space="preserve">ICD-9-CM  </w:t>
            </w:r>
            <w:r w:rsidRPr="00A701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250.00, 250.02, 250.10, 250.12, 250.20, 250.22, 250.30, 250.32, 250.40, 250.42, 250.50, 250.52, 250.60, 250.62, 250.70, 250.72, 250.80, 250.82, 250.90, 250.92</w:t>
            </w:r>
            <w:r w:rsidRPr="00A701E5">
              <w:rPr>
                <w:rFonts w:ascii="Arial Narrow" w:eastAsia="Times New Roman" w:hAnsi="Arial Narrow" w:cs="Arial"/>
              </w:rPr>
              <w:t>;  ICD-10-CM E11</w:t>
            </w:r>
          </w:p>
        </w:tc>
      </w:tr>
      <w:tr w:rsidR="00113BDC" w:rsidRPr="00A701E5" w:rsidTr="00854705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3BDC" w:rsidRPr="00A701E5" w:rsidRDefault="00113BDC" w:rsidP="00854705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</w:rPr>
            </w:pPr>
            <w:r w:rsidRPr="00A701E5">
              <w:rPr>
                <w:rFonts w:ascii="Arial Narrow" w:eastAsia="Times New Roman" w:hAnsi="Arial Narrow" w:cs="Arial"/>
              </w:rPr>
              <w:t>Hypertension</w:t>
            </w:r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3BDC" w:rsidRPr="00A701E5" w:rsidRDefault="00113BDC" w:rsidP="00854705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</w:rPr>
            </w:pPr>
            <w:r w:rsidRPr="00A701E5">
              <w:rPr>
                <w:rFonts w:ascii="Arial Narrow" w:eastAsia="Times New Roman" w:hAnsi="Arial Narrow" w:cs="Arial"/>
              </w:rPr>
              <w:t>ICD-9-CM  401 ~ 405; ICD-10-CM I10,  I11.0,  I11.9,  I12.0,  I12.9,  I13.10,  I13.11,  I13.2</w:t>
            </w:r>
          </w:p>
        </w:tc>
      </w:tr>
      <w:tr w:rsidR="00113BDC" w:rsidRPr="00A701E5" w:rsidTr="00854705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3BDC" w:rsidRPr="00A701E5" w:rsidRDefault="00113BDC" w:rsidP="00854705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</w:rPr>
            </w:pPr>
            <w:r w:rsidRPr="00A701E5">
              <w:rPr>
                <w:rFonts w:ascii="Arial Narrow" w:eastAsia="Times New Roman" w:hAnsi="Arial Narrow" w:cs="Arial"/>
              </w:rPr>
              <w:t>Hyperlipidemia</w:t>
            </w:r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3BDC" w:rsidRPr="00A701E5" w:rsidRDefault="00113BDC" w:rsidP="00854705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</w:rPr>
            </w:pPr>
            <w:r w:rsidRPr="00A701E5">
              <w:rPr>
                <w:rFonts w:ascii="Arial Narrow" w:eastAsia="Times New Roman" w:hAnsi="Arial Narrow" w:cs="Arial"/>
              </w:rPr>
              <w:t>ICD-9-CM  272.0 ~ 272.3; ICD-10-CM E78</w:t>
            </w:r>
          </w:p>
        </w:tc>
      </w:tr>
    </w:tbl>
    <w:p w:rsidR="00113BDC" w:rsidRDefault="00113BDC" w:rsidP="00113BDC">
      <w:pPr>
        <w:spacing w:after="120" w:line="240" w:lineRule="auto"/>
        <w:contextualSpacing/>
        <w:rPr>
          <w:rFonts w:ascii="Arial Narrow" w:eastAsia="Calibri" w:hAnsi="Arial Narrow" w:cs="Arial"/>
          <w:b/>
          <w:color w:val="231F20"/>
          <w:kern w:val="2"/>
          <w:lang w:eastAsia="ko-KR"/>
          <w14:cntxtAlts/>
        </w:rPr>
      </w:pPr>
      <w:r>
        <w:rPr>
          <w:rFonts w:ascii="Arial Narrow" w:eastAsia="Calibri" w:hAnsi="Arial Narrow" w:cs="Arial"/>
          <w:b/>
          <w:color w:val="231F20"/>
          <w:kern w:val="2"/>
          <w:lang w:eastAsia="ko-KR"/>
          <w14:cntxtAlts/>
        </w:rPr>
        <w:br w:type="page"/>
      </w:r>
    </w:p>
    <w:p w:rsidR="00113BDC" w:rsidRDefault="00113BDC" w:rsidP="00113BDC">
      <w:pPr>
        <w:spacing w:after="120" w:line="240" w:lineRule="auto"/>
        <w:contextualSpacing/>
        <w:rPr>
          <w:rFonts w:ascii="Arial Narrow" w:eastAsia="Calibri" w:hAnsi="Arial Narrow" w:cs="Arial"/>
          <w:b/>
          <w:color w:val="231F20"/>
          <w:kern w:val="2"/>
          <w:lang w:eastAsia="ko-KR"/>
          <w14:cntxtAlts/>
        </w:rPr>
        <w:sectPr w:rsidR="00113BDC" w:rsidSect="00836DF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13BDC" w:rsidRDefault="00113BDC" w:rsidP="00113BDC">
      <w:pPr>
        <w:spacing w:after="120" w:line="240" w:lineRule="auto"/>
        <w:contextualSpacing/>
        <w:rPr>
          <w:rFonts w:ascii="Arial Narrow" w:eastAsia="Calibri" w:hAnsi="Arial Narrow" w:cs="Arial"/>
          <w:b/>
          <w:kern w:val="2"/>
          <w14:cntxtAlts/>
        </w:rPr>
      </w:pPr>
      <w:r>
        <w:rPr>
          <w:rFonts w:ascii="Arial Narrow" w:eastAsia="Calibri" w:hAnsi="Arial Narrow" w:cs="Arial"/>
          <w:b/>
          <w:color w:val="231F20"/>
          <w:kern w:val="2"/>
          <w:lang w:eastAsia="ko-KR"/>
          <w14:cntxtAlts/>
        </w:rPr>
        <w:lastRenderedPageBreak/>
        <w:t>Supplementary Table 2</w:t>
      </w:r>
      <w:r w:rsidRPr="00337118">
        <w:rPr>
          <w:rFonts w:ascii="Arial Narrow" w:eastAsia="Calibri" w:hAnsi="Arial Narrow" w:cs="Arial"/>
          <w:b/>
          <w:color w:val="231F20"/>
          <w:kern w:val="2"/>
          <w:lang w:eastAsia="ko-KR"/>
          <w14:cntxtAlts/>
        </w:rPr>
        <w:t>: Differences in exposure</w:t>
      </w:r>
      <w:r>
        <w:rPr>
          <w:rFonts w:ascii="Arial Narrow" w:eastAsia="Calibri" w:hAnsi="Arial Narrow" w:cs="Arial"/>
          <w:b/>
          <w:color w:val="231F20"/>
          <w:kern w:val="2"/>
          <w:lang w:eastAsia="ko-KR"/>
          <w14:cntxtAlts/>
        </w:rPr>
        <w:t>s</w:t>
      </w:r>
      <w:r w:rsidRPr="00337118">
        <w:rPr>
          <w:rFonts w:ascii="Arial Narrow" w:eastAsia="Calibri" w:hAnsi="Arial Narrow" w:cs="Arial"/>
          <w:b/>
          <w:color w:val="231F20"/>
          <w:kern w:val="2"/>
          <w:lang w:eastAsia="ko-KR"/>
          <w14:cntxtAlts/>
        </w:rPr>
        <w:t xml:space="preserve"> and </w:t>
      </w:r>
      <w:r w:rsidRPr="00337118">
        <w:rPr>
          <w:rFonts w:ascii="Arial Narrow" w:eastAsia="Calibri" w:hAnsi="Arial Narrow" w:cs="Arial"/>
          <w:b/>
          <w:kern w:val="2"/>
          <w14:cntxtAlts/>
        </w:rPr>
        <w:t>treatment at index da</w:t>
      </w:r>
      <w:r>
        <w:rPr>
          <w:rFonts w:ascii="Arial Narrow" w:eastAsia="Calibri" w:hAnsi="Arial Narrow" w:cs="Arial"/>
          <w:b/>
          <w:kern w:val="2"/>
          <w14:cntxtAlts/>
        </w:rPr>
        <w:t xml:space="preserve">te for 1:1 matched cohort </w:t>
      </w:r>
      <w:r w:rsidRPr="00337118">
        <w:rPr>
          <w:rFonts w:ascii="Arial Narrow" w:eastAsia="Calibri" w:hAnsi="Arial Narrow" w:cs="Arial"/>
          <w:b/>
          <w:kern w:val="2"/>
          <w14:cntxtAlts/>
        </w:rPr>
        <w:t>using propensity scores</w:t>
      </w:r>
      <w:r>
        <w:rPr>
          <w:rFonts w:ascii="Arial Narrow" w:eastAsia="Calibri" w:hAnsi="Arial Narrow" w:cs="Arial"/>
          <w:b/>
          <w:kern w:val="2"/>
          <w14:cntxtAlts/>
        </w:rPr>
        <w:t xml:space="preserve"> in patients undergoing DAA therapy</w:t>
      </w:r>
      <w:r w:rsidRPr="00337118">
        <w:rPr>
          <w:rFonts w:ascii="Arial Narrow" w:eastAsia="Calibri" w:hAnsi="Arial Narrow" w:cs="Arial"/>
          <w:b/>
          <w:kern w:val="2"/>
          <w14:cntxtAlts/>
        </w:rPr>
        <w:t xml:space="preserve">. </w:t>
      </w:r>
    </w:p>
    <w:tbl>
      <w:tblPr>
        <w:tblW w:w="93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5"/>
        <w:gridCol w:w="1809"/>
        <w:gridCol w:w="1221"/>
        <w:gridCol w:w="1123"/>
        <w:gridCol w:w="829"/>
      </w:tblGrid>
      <w:tr w:rsidR="00113BDC" w:rsidRPr="005D7AAA" w:rsidTr="00854705">
        <w:trPr>
          <w:cantSplit/>
          <w:trHeight w:hRule="exact" w:val="613"/>
          <w:tblHeader/>
          <w:jc w:val="center"/>
        </w:trPr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13BDC" w:rsidRPr="00681EF7" w:rsidRDefault="00113BDC" w:rsidP="0085470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1EF7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13BDC" w:rsidRPr="00681EF7" w:rsidRDefault="00113BDC" w:rsidP="0085470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1EF7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13BDC" w:rsidRPr="00681EF7" w:rsidRDefault="00113BDC" w:rsidP="0085470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1EF7">
              <w:rPr>
                <w:rFonts w:ascii="Arial" w:hAnsi="Arial" w:cs="Arial"/>
                <w:b/>
                <w:color w:val="000000"/>
                <w:sz w:val="20"/>
                <w:szCs w:val="20"/>
              </w:rPr>
              <w:t>Untreated</w:t>
            </w:r>
            <w:r w:rsidRPr="00681EF7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(N=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</w:t>
            </w:r>
            <w:r w:rsidRPr="00681EF7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13BDC" w:rsidRPr="00681EF7" w:rsidRDefault="00113BDC" w:rsidP="0085470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1EF7">
              <w:rPr>
                <w:rFonts w:ascii="Arial" w:hAnsi="Arial" w:cs="Arial"/>
                <w:b/>
                <w:color w:val="000000"/>
                <w:sz w:val="20"/>
                <w:szCs w:val="20"/>
              </w:rPr>
              <w:t>Treated</w:t>
            </w:r>
            <w:r w:rsidRPr="00681EF7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(N=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</w:t>
            </w:r>
            <w:r w:rsidRPr="00681EF7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13BDC" w:rsidRPr="00681EF7" w:rsidRDefault="00113BDC" w:rsidP="0085470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1EF7">
              <w:rPr>
                <w:rFonts w:ascii="Arial" w:hAnsi="Arial" w:cs="Arial"/>
                <w:b/>
                <w:color w:val="000000"/>
                <w:sz w:val="20"/>
                <w:szCs w:val="20"/>
              </w:rPr>
              <w:t>p-value</w:t>
            </w:r>
          </w:p>
        </w:tc>
      </w:tr>
      <w:tr w:rsidR="00113BDC" w:rsidRPr="005D7AAA" w:rsidTr="00854705">
        <w:trPr>
          <w:cantSplit/>
          <w:trHeight w:hRule="exact" w:val="288"/>
          <w:tblHeader/>
          <w:jc w:val="center"/>
        </w:trPr>
        <w:tc>
          <w:tcPr>
            <w:tcW w:w="4415" w:type="dxa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13BDC" w:rsidRPr="00681EF7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1E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Age  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13BDC" w:rsidRPr="005D7AAA" w:rsidRDefault="00113BDC" w:rsidP="0085470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59.7 ± 9.7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59.1 ± 8.6</w:t>
            </w: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13BDC" w:rsidRPr="00257964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964">
              <w:rPr>
                <w:rFonts w:ascii="Arial" w:hAnsi="Arial" w:cs="Arial"/>
                <w:color w:val="000000"/>
                <w:sz w:val="20"/>
                <w:szCs w:val="20"/>
              </w:rPr>
              <w:t>0.699</w:t>
            </w:r>
          </w:p>
        </w:tc>
      </w:tr>
      <w:tr w:rsidR="00113BDC" w:rsidRPr="005D7AAA" w:rsidTr="00854705">
        <w:trPr>
          <w:cantSplit/>
          <w:trHeight w:hRule="exact" w:val="288"/>
          <w:tblHeader/>
          <w:jc w:val="center"/>
        </w:trPr>
        <w:tc>
          <w:tcPr>
            <w:tcW w:w="4415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681EF7" w:rsidRDefault="00113BDC" w:rsidP="00854705">
            <w:pPr>
              <w:tabs>
                <w:tab w:val="left" w:pos="1373"/>
              </w:tabs>
              <w:adjustRightInd w:val="0"/>
              <w:spacing w:before="67" w:after="6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1EF7">
              <w:rPr>
                <w:rFonts w:ascii="Arial" w:hAnsi="Arial" w:cs="Arial"/>
                <w:b/>
                <w:color w:val="000000"/>
                <w:sz w:val="20"/>
                <w:szCs w:val="20"/>
              </w:rPr>
              <w:t>Study site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180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5D7AAA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GHS</w:t>
            </w:r>
          </w:p>
        </w:tc>
        <w:tc>
          <w:tcPr>
            <w:tcW w:w="1221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12 (16%)</w:t>
            </w:r>
          </w:p>
        </w:tc>
        <w:tc>
          <w:tcPr>
            <w:tcW w:w="1123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10 (14%)</w:t>
            </w:r>
          </w:p>
        </w:tc>
        <w:tc>
          <w:tcPr>
            <w:tcW w:w="82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57964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964">
              <w:rPr>
                <w:rFonts w:ascii="Arial" w:hAnsi="Arial" w:cs="Arial"/>
                <w:color w:val="000000"/>
                <w:sz w:val="20"/>
                <w:szCs w:val="20"/>
              </w:rPr>
              <w:t>0.961</w:t>
            </w:r>
          </w:p>
        </w:tc>
      </w:tr>
      <w:tr w:rsidR="00113BDC" w:rsidRPr="005D7AAA" w:rsidTr="00854705">
        <w:trPr>
          <w:cantSplit/>
          <w:trHeight w:hRule="exact" w:val="288"/>
          <w:tblHeader/>
          <w:jc w:val="center"/>
        </w:trPr>
        <w:tc>
          <w:tcPr>
            <w:tcW w:w="4415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681EF7" w:rsidRDefault="00113BDC" w:rsidP="00854705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5D7AAA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AAA">
              <w:rPr>
                <w:rFonts w:ascii="Arial" w:hAnsi="Arial" w:cs="Arial"/>
                <w:color w:val="000000"/>
                <w:sz w:val="20"/>
                <w:szCs w:val="20"/>
              </w:rPr>
              <w:t>HFHS</w:t>
            </w:r>
          </w:p>
        </w:tc>
        <w:tc>
          <w:tcPr>
            <w:tcW w:w="1221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7%)</w:t>
            </w:r>
          </w:p>
        </w:tc>
        <w:tc>
          <w:tcPr>
            <w:tcW w:w="1123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8%)</w:t>
            </w:r>
          </w:p>
        </w:tc>
        <w:tc>
          <w:tcPr>
            <w:tcW w:w="82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57964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BDC" w:rsidRPr="005D7AAA" w:rsidTr="00854705">
        <w:trPr>
          <w:cantSplit/>
          <w:trHeight w:hRule="exact" w:val="288"/>
          <w:tblHeader/>
          <w:jc w:val="center"/>
        </w:trPr>
        <w:tc>
          <w:tcPr>
            <w:tcW w:w="4415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681EF7" w:rsidRDefault="00113BDC" w:rsidP="00854705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5D7AAA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AAA">
              <w:rPr>
                <w:rFonts w:ascii="Arial" w:hAnsi="Arial" w:cs="Arial"/>
                <w:color w:val="000000"/>
                <w:sz w:val="20"/>
                <w:szCs w:val="20"/>
              </w:rPr>
              <w:t>KPHI</w:t>
            </w:r>
          </w:p>
        </w:tc>
        <w:tc>
          <w:tcPr>
            <w:tcW w:w="1221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34 (47%)</w:t>
            </w:r>
          </w:p>
        </w:tc>
        <w:tc>
          <w:tcPr>
            <w:tcW w:w="1123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34 (47%)</w:t>
            </w:r>
          </w:p>
        </w:tc>
        <w:tc>
          <w:tcPr>
            <w:tcW w:w="82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57964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BDC" w:rsidRPr="005D7AAA" w:rsidTr="00854705">
        <w:trPr>
          <w:cantSplit/>
          <w:trHeight w:hRule="exact" w:val="288"/>
          <w:tblHeader/>
          <w:jc w:val="center"/>
        </w:trPr>
        <w:tc>
          <w:tcPr>
            <w:tcW w:w="4415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681EF7" w:rsidRDefault="00113BDC" w:rsidP="00854705">
            <w:pPr>
              <w:tabs>
                <w:tab w:val="left" w:pos="1373"/>
              </w:tabs>
              <w:adjustRightInd w:val="0"/>
              <w:spacing w:before="67" w:after="6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5D7AAA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KPNW</w:t>
            </w:r>
          </w:p>
        </w:tc>
        <w:tc>
          <w:tcPr>
            <w:tcW w:w="1221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22 (30%)</w:t>
            </w:r>
          </w:p>
        </w:tc>
        <w:tc>
          <w:tcPr>
            <w:tcW w:w="1123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 xml:space="preserve">23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32%)</w:t>
            </w:r>
          </w:p>
        </w:tc>
        <w:tc>
          <w:tcPr>
            <w:tcW w:w="82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57964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BDC" w:rsidRPr="005D7AAA" w:rsidTr="00854705">
        <w:trPr>
          <w:cantSplit/>
          <w:trHeight w:hRule="exact" w:val="288"/>
          <w:tblHeader/>
          <w:jc w:val="center"/>
        </w:trPr>
        <w:tc>
          <w:tcPr>
            <w:tcW w:w="4415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681EF7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80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5D7AAA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AAA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21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24 (33%)</w:t>
            </w:r>
          </w:p>
        </w:tc>
        <w:tc>
          <w:tcPr>
            <w:tcW w:w="1123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41%)</w:t>
            </w:r>
          </w:p>
        </w:tc>
        <w:tc>
          <w:tcPr>
            <w:tcW w:w="82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57964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964">
              <w:rPr>
                <w:rFonts w:ascii="Arial" w:hAnsi="Arial" w:cs="Arial"/>
                <w:color w:val="000000"/>
                <w:sz w:val="20"/>
                <w:szCs w:val="20"/>
              </w:rPr>
              <w:t>0.304</w:t>
            </w:r>
          </w:p>
        </w:tc>
      </w:tr>
      <w:tr w:rsidR="00113BDC" w:rsidRPr="005D7AAA" w:rsidTr="00854705">
        <w:trPr>
          <w:cantSplit/>
          <w:trHeight w:hRule="exact" w:val="288"/>
          <w:tblHeader/>
          <w:jc w:val="center"/>
        </w:trPr>
        <w:tc>
          <w:tcPr>
            <w:tcW w:w="4415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681EF7" w:rsidRDefault="00113BDC" w:rsidP="00854705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5D7AAA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AAA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21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 xml:space="preserve">49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67%)</w:t>
            </w:r>
          </w:p>
        </w:tc>
        <w:tc>
          <w:tcPr>
            <w:tcW w:w="1123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 xml:space="preserve">43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59%)</w:t>
            </w:r>
          </w:p>
        </w:tc>
        <w:tc>
          <w:tcPr>
            <w:tcW w:w="82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57964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BDC" w:rsidRPr="005D7AAA" w:rsidTr="00854705">
        <w:trPr>
          <w:cantSplit/>
          <w:trHeight w:hRule="exact" w:val="288"/>
          <w:tblHeader/>
          <w:jc w:val="center"/>
        </w:trPr>
        <w:tc>
          <w:tcPr>
            <w:tcW w:w="4415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681EF7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1EF7">
              <w:rPr>
                <w:rFonts w:ascii="Arial" w:hAnsi="Arial" w:cs="Arial"/>
                <w:b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1809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13BDC" w:rsidRPr="00784A1B" w:rsidRDefault="00113BDC" w:rsidP="00854705">
            <w:pPr>
              <w:adjustRightInd w:val="0"/>
              <w:spacing w:before="29" w:after="29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African American</w:t>
            </w:r>
          </w:p>
        </w:tc>
        <w:tc>
          <w:tcPr>
            <w:tcW w:w="1221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7%)</w:t>
            </w:r>
          </w:p>
        </w:tc>
        <w:tc>
          <w:tcPr>
            <w:tcW w:w="1123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7%)</w:t>
            </w:r>
          </w:p>
        </w:tc>
        <w:tc>
          <w:tcPr>
            <w:tcW w:w="82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57964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964">
              <w:rPr>
                <w:rFonts w:ascii="Arial" w:hAnsi="Arial" w:cs="Arial"/>
                <w:color w:val="000000"/>
                <w:sz w:val="20"/>
                <w:szCs w:val="20"/>
              </w:rPr>
              <w:t>0.790</w:t>
            </w:r>
          </w:p>
        </w:tc>
      </w:tr>
      <w:tr w:rsidR="00113BDC" w:rsidRPr="005D7AAA" w:rsidTr="00854705">
        <w:trPr>
          <w:cantSplit/>
          <w:trHeight w:hRule="exact" w:val="288"/>
          <w:tblHeader/>
          <w:jc w:val="center"/>
        </w:trPr>
        <w:tc>
          <w:tcPr>
            <w:tcW w:w="4415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681EF7" w:rsidRDefault="00113BDC" w:rsidP="00854705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13BDC" w:rsidRPr="00784A1B" w:rsidRDefault="00113BDC" w:rsidP="00854705">
            <w:pPr>
              <w:adjustRightInd w:val="0"/>
              <w:spacing w:before="29" w:after="29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A1B">
              <w:rPr>
                <w:rFonts w:ascii="Arial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221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 xml:space="preserve">35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48%)</w:t>
            </w:r>
          </w:p>
        </w:tc>
        <w:tc>
          <w:tcPr>
            <w:tcW w:w="1123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 xml:space="preserve">31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42%)</w:t>
            </w:r>
          </w:p>
        </w:tc>
        <w:tc>
          <w:tcPr>
            <w:tcW w:w="82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57964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BDC" w:rsidRPr="005D7AAA" w:rsidTr="00854705">
        <w:trPr>
          <w:cantSplit/>
          <w:trHeight w:hRule="exact" w:val="288"/>
          <w:tblHeader/>
          <w:jc w:val="center"/>
        </w:trPr>
        <w:tc>
          <w:tcPr>
            <w:tcW w:w="4415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681EF7" w:rsidRDefault="00113BDC" w:rsidP="00854705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Default="00113BDC" w:rsidP="00854705">
            <w:pPr>
              <w:adjustRightInd w:val="0"/>
              <w:spacing w:before="29" w:after="29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Other/Unknown</w:t>
            </w:r>
          </w:p>
        </w:tc>
        <w:tc>
          <w:tcPr>
            <w:tcW w:w="1221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 xml:space="preserve">33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45%)</w:t>
            </w:r>
          </w:p>
        </w:tc>
        <w:tc>
          <w:tcPr>
            <w:tcW w:w="1123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 xml:space="preserve">37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51%)</w:t>
            </w:r>
          </w:p>
        </w:tc>
        <w:tc>
          <w:tcPr>
            <w:tcW w:w="82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57964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BDC" w:rsidRPr="005D7AAA" w:rsidTr="00854705">
        <w:trPr>
          <w:cantSplit/>
          <w:trHeight w:hRule="exact" w:val="288"/>
          <w:tblHeader/>
          <w:jc w:val="center"/>
        </w:trPr>
        <w:tc>
          <w:tcPr>
            <w:tcW w:w="4415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681EF7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1EF7">
              <w:rPr>
                <w:rFonts w:ascii="Arial" w:hAnsi="Arial" w:cs="Arial"/>
                <w:b/>
                <w:color w:val="000000"/>
                <w:sz w:val="20"/>
                <w:szCs w:val="20"/>
              </w:rPr>
              <w:t>FIB4</w:t>
            </w:r>
          </w:p>
        </w:tc>
        <w:tc>
          <w:tcPr>
            <w:tcW w:w="180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5D7AAA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≤</w:t>
            </w:r>
            <w:r w:rsidRPr="005D7AAA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221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 xml:space="preserve">11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15%)</w:t>
            </w:r>
          </w:p>
        </w:tc>
        <w:tc>
          <w:tcPr>
            <w:tcW w:w="1123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 xml:space="preserve">12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16%)</w:t>
            </w:r>
          </w:p>
        </w:tc>
        <w:tc>
          <w:tcPr>
            <w:tcW w:w="82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57964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964">
              <w:rPr>
                <w:rFonts w:ascii="Arial" w:hAnsi="Arial" w:cs="Arial"/>
                <w:color w:val="000000"/>
                <w:sz w:val="20"/>
                <w:szCs w:val="20"/>
              </w:rPr>
              <w:t>0.829</w:t>
            </w:r>
          </w:p>
        </w:tc>
      </w:tr>
      <w:tr w:rsidR="00113BDC" w:rsidRPr="005D7AAA" w:rsidTr="00854705">
        <w:trPr>
          <w:cantSplit/>
          <w:trHeight w:hRule="exact" w:val="288"/>
          <w:tblHeader/>
          <w:jc w:val="center"/>
        </w:trPr>
        <w:tc>
          <w:tcPr>
            <w:tcW w:w="4415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681EF7" w:rsidRDefault="00113BDC" w:rsidP="00854705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5D7AAA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AAA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≤</w:t>
            </w:r>
            <w:r w:rsidRPr="005D7AAA">
              <w:rPr>
                <w:rFonts w:ascii="Arial" w:hAnsi="Arial" w:cs="Arial"/>
                <w:color w:val="000000"/>
                <w:sz w:val="20"/>
                <w:szCs w:val="20"/>
              </w:rPr>
              <w:t>5.88</w:t>
            </w:r>
          </w:p>
        </w:tc>
        <w:tc>
          <w:tcPr>
            <w:tcW w:w="1221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 xml:space="preserve">46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63%)</w:t>
            </w:r>
          </w:p>
        </w:tc>
        <w:tc>
          <w:tcPr>
            <w:tcW w:w="1123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 xml:space="preserve">43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59%)</w:t>
            </w:r>
          </w:p>
        </w:tc>
        <w:tc>
          <w:tcPr>
            <w:tcW w:w="82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57964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BDC" w:rsidRPr="005D7AAA" w:rsidTr="00854705">
        <w:trPr>
          <w:cantSplit/>
          <w:trHeight w:hRule="exact" w:val="288"/>
          <w:tblHeader/>
          <w:jc w:val="center"/>
        </w:trPr>
        <w:tc>
          <w:tcPr>
            <w:tcW w:w="4415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681EF7" w:rsidRDefault="00113BDC" w:rsidP="00854705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5D7AAA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AAA">
              <w:rPr>
                <w:rFonts w:ascii="Arial" w:hAnsi="Arial" w:cs="Arial"/>
                <w:color w:val="000000"/>
                <w:sz w:val="20"/>
                <w:szCs w:val="20"/>
              </w:rPr>
              <w:t>&gt;5.88</w:t>
            </w:r>
          </w:p>
        </w:tc>
        <w:tc>
          <w:tcPr>
            <w:tcW w:w="1221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 xml:space="preserve">11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15%)</w:t>
            </w:r>
          </w:p>
        </w:tc>
        <w:tc>
          <w:tcPr>
            <w:tcW w:w="1123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 xml:space="preserve">10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14%)</w:t>
            </w:r>
          </w:p>
        </w:tc>
        <w:tc>
          <w:tcPr>
            <w:tcW w:w="82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57964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BDC" w:rsidRPr="005D7AAA" w:rsidTr="00854705">
        <w:trPr>
          <w:cantSplit/>
          <w:trHeight w:hRule="exact" w:val="288"/>
          <w:tblHeader/>
          <w:jc w:val="center"/>
        </w:trPr>
        <w:tc>
          <w:tcPr>
            <w:tcW w:w="4415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681EF7" w:rsidRDefault="00113BDC" w:rsidP="00854705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5D7AAA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221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7%)</w:t>
            </w:r>
          </w:p>
        </w:tc>
        <w:tc>
          <w:tcPr>
            <w:tcW w:w="1123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 xml:space="preserve">8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11%)</w:t>
            </w:r>
          </w:p>
        </w:tc>
        <w:tc>
          <w:tcPr>
            <w:tcW w:w="82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57964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BDC" w:rsidRPr="005D7AAA" w:rsidTr="00854705">
        <w:trPr>
          <w:cantSplit/>
          <w:trHeight w:hRule="exact" w:val="288"/>
          <w:tblHeader/>
          <w:jc w:val="center"/>
        </w:trPr>
        <w:tc>
          <w:tcPr>
            <w:tcW w:w="4415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681EF7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1EF7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Insurance</w:t>
            </w:r>
          </w:p>
        </w:tc>
        <w:tc>
          <w:tcPr>
            <w:tcW w:w="180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Default="00113BDC" w:rsidP="00854705">
            <w:pPr>
              <w:adjustRightInd w:val="0"/>
              <w:spacing w:before="29" w:after="29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Medicaid</w:t>
            </w:r>
          </w:p>
        </w:tc>
        <w:tc>
          <w:tcPr>
            <w:tcW w:w="1221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 xml:space="preserve">12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16%)</w:t>
            </w:r>
          </w:p>
        </w:tc>
        <w:tc>
          <w:tcPr>
            <w:tcW w:w="1123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 xml:space="preserve">12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16%)</w:t>
            </w:r>
          </w:p>
        </w:tc>
        <w:tc>
          <w:tcPr>
            <w:tcW w:w="82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57964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964">
              <w:rPr>
                <w:rFonts w:ascii="Arial" w:hAnsi="Arial" w:cs="Arial"/>
                <w:color w:val="000000"/>
                <w:sz w:val="20"/>
                <w:szCs w:val="20"/>
              </w:rPr>
              <w:t>0.673</w:t>
            </w:r>
          </w:p>
        </w:tc>
      </w:tr>
      <w:tr w:rsidR="00113BDC" w:rsidRPr="005D7AAA" w:rsidTr="00854705">
        <w:trPr>
          <w:cantSplit/>
          <w:trHeight w:hRule="exact" w:val="288"/>
          <w:tblHeader/>
          <w:jc w:val="center"/>
        </w:trPr>
        <w:tc>
          <w:tcPr>
            <w:tcW w:w="4415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681EF7" w:rsidRDefault="00113BDC" w:rsidP="00854705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Default="00113BDC" w:rsidP="00854705">
            <w:pPr>
              <w:adjustRightInd w:val="0"/>
              <w:spacing w:before="29" w:after="29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Medicare</w:t>
            </w:r>
          </w:p>
        </w:tc>
        <w:tc>
          <w:tcPr>
            <w:tcW w:w="1221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 xml:space="preserve">8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11%)</w:t>
            </w:r>
          </w:p>
        </w:tc>
        <w:tc>
          <w:tcPr>
            <w:tcW w:w="1123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10%)</w:t>
            </w:r>
          </w:p>
        </w:tc>
        <w:tc>
          <w:tcPr>
            <w:tcW w:w="82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57964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BDC" w:rsidRPr="005D7AAA" w:rsidTr="00854705">
        <w:trPr>
          <w:cantSplit/>
          <w:trHeight w:hRule="exact" w:val="288"/>
          <w:tblHeader/>
          <w:jc w:val="center"/>
        </w:trPr>
        <w:tc>
          <w:tcPr>
            <w:tcW w:w="4415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681EF7" w:rsidRDefault="00113BDC" w:rsidP="00854705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Default="00113BDC" w:rsidP="00854705">
            <w:pPr>
              <w:adjustRightInd w:val="0"/>
              <w:spacing w:before="29" w:after="29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Private</w:t>
            </w:r>
          </w:p>
        </w:tc>
        <w:tc>
          <w:tcPr>
            <w:tcW w:w="1221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 xml:space="preserve">21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29%)</w:t>
            </w:r>
          </w:p>
        </w:tc>
        <w:tc>
          <w:tcPr>
            <w:tcW w:w="1123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27%)</w:t>
            </w:r>
          </w:p>
        </w:tc>
        <w:tc>
          <w:tcPr>
            <w:tcW w:w="82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57964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BDC" w:rsidRPr="005D7AAA" w:rsidTr="00854705">
        <w:trPr>
          <w:cantSplit/>
          <w:trHeight w:hRule="exact" w:val="288"/>
          <w:tblHeader/>
          <w:jc w:val="center"/>
        </w:trPr>
        <w:tc>
          <w:tcPr>
            <w:tcW w:w="4415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681EF7" w:rsidRDefault="00113BDC" w:rsidP="00854705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Default="00113BDC" w:rsidP="00854705">
            <w:pPr>
              <w:adjustRightInd w:val="0"/>
              <w:spacing w:before="29" w:after="29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None or unknown</w:t>
            </w:r>
          </w:p>
        </w:tc>
        <w:tc>
          <w:tcPr>
            <w:tcW w:w="1221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41%)</w:t>
            </w:r>
          </w:p>
        </w:tc>
        <w:tc>
          <w:tcPr>
            <w:tcW w:w="1123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 xml:space="preserve">34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47%)</w:t>
            </w:r>
          </w:p>
        </w:tc>
        <w:tc>
          <w:tcPr>
            <w:tcW w:w="82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57964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BDC" w:rsidRPr="005D7AAA" w:rsidTr="00854705">
        <w:trPr>
          <w:cantSplit/>
          <w:trHeight w:hRule="exact" w:val="288"/>
          <w:tblHeader/>
          <w:jc w:val="center"/>
        </w:trPr>
        <w:tc>
          <w:tcPr>
            <w:tcW w:w="4415" w:type="dxa"/>
            <w:vMerge w:val="restart"/>
            <w:shd w:val="clear" w:color="auto" w:fill="FFFFFF"/>
            <w:tcMar>
              <w:left w:w="67" w:type="dxa"/>
              <w:right w:w="67" w:type="dxa"/>
            </w:tcMar>
          </w:tcPr>
          <w:p w:rsidR="00113BDC" w:rsidRPr="00681EF7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1E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Weighted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Charlson-D</w:t>
            </w:r>
            <w:r w:rsidRPr="00681EF7">
              <w:rPr>
                <w:rFonts w:ascii="Arial" w:hAnsi="Arial" w:cs="Arial"/>
                <w:b/>
                <w:color w:val="000000"/>
                <w:sz w:val="20"/>
                <w:szCs w:val="20"/>
              </w:rPr>
              <w:t>eyo</w:t>
            </w:r>
            <w:proofErr w:type="spellEnd"/>
            <w:r w:rsidRPr="00681E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Comorbidity S</w:t>
            </w:r>
            <w:r w:rsidRPr="00681E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core </w:t>
            </w:r>
          </w:p>
        </w:tc>
        <w:tc>
          <w:tcPr>
            <w:tcW w:w="1809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13BDC" w:rsidRPr="00784A1B" w:rsidRDefault="00113BDC" w:rsidP="00854705">
            <w:pPr>
              <w:adjustRightInd w:val="0"/>
              <w:spacing w:before="29" w:after="29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A1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57964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964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57964">
              <w:rPr>
                <w:rFonts w:ascii="Arial" w:hAnsi="Arial" w:cs="Arial"/>
                <w:color w:val="000000"/>
                <w:sz w:val="20"/>
                <w:szCs w:val="20"/>
              </w:rPr>
              <w:t>4%)</w:t>
            </w:r>
          </w:p>
        </w:tc>
        <w:tc>
          <w:tcPr>
            <w:tcW w:w="1123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57964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964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57964">
              <w:rPr>
                <w:rFonts w:ascii="Arial" w:hAnsi="Arial" w:cs="Arial"/>
                <w:color w:val="000000"/>
                <w:sz w:val="20"/>
                <w:szCs w:val="20"/>
              </w:rPr>
              <w:t>3%)</w:t>
            </w:r>
          </w:p>
        </w:tc>
        <w:tc>
          <w:tcPr>
            <w:tcW w:w="82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57964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964">
              <w:rPr>
                <w:rFonts w:ascii="Arial" w:hAnsi="Arial" w:cs="Arial"/>
                <w:color w:val="000000"/>
                <w:sz w:val="20"/>
                <w:szCs w:val="20"/>
              </w:rPr>
              <w:t>0.624</w:t>
            </w:r>
          </w:p>
        </w:tc>
      </w:tr>
      <w:tr w:rsidR="00113BDC" w:rsidRPr="005D7AAA" w:rsidTr="00854705">
        <w:trPr>
          <w:cantSplit/>
          <w:trHeight w:hRule="exact" w:val="288"/>
          <w:tblHeader/>
          <w:jc w:val="center"/>
        </w:trPr>
        <w:tc>
          <w:tcPr>
            <w:tcW w:w="4415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:rsidR="00113BDC" w:rsidRPr="00681EF7" w:rsidRDefault="00113BDC" w:rsidP="00854705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13BDC" w:rsidRPr="00784A1B" w:rsidRDefault="00113BDC" w:rsidP="00854705">
            <w:pPr>
              <w:adjustRightInd w:val="0"/>
              <w:spacing w:before="29" w:after="29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A1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1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57964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964">
              <w:rPr>
                <w:rFonts w:ascii="Arial" w:hAnsi="Arial" w:cs="Arial"/>
                <w:color w:val="000000"/>
                <w:sz w:val="20"/>
                <w:szCs w:val="20"/>
              </w:rPr>
              <w:t xml:space="preserve">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57964">
              <w:rPr>
                <w:rFonts w:ascii="Arial" w:hAnsi="Arial" w:cs="Arial"/>
                <w:color w:val="000000"/>
                <w:sz w:val="20"/>
                <w:szCs w:val="20"/>
              </w:rPr>
              <w:t>26%)</w:t>
            </w:r>
          </w:p>
        </w:tc>
        <w:tc>
          <w:tcPr>
            <w:tcW w:w="1123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57964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964">
              <w:rPr>
                <w:rFonts w:ascii="Arial" w:hAnsi="Arial" w:cs="Arial"/>
                <w:color w:val="000000"/>
                <w:sz w:val="20"/>
                <w:szCs w:val="20"/>
              </w:rPr>
              <w:t xml:space="preserve">24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57964">
              <w:rPr>
                <w:rFonts w:ascii="Arial" w:hAnsi="Arial" w:cs="Arial"/>
                <w:color w:val="000000"/>
                <w:sz w:val="20"/>
                <w:szCs w:val="20"/>
              </w:rPr>
              <w:t>33%)</w:t>
            </w:r>
          </w:p>
        </w:tc>
        <w:tc>
          <w:tcPr>
            <w:tcW w:w="82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57964" w:rsidRDefault="00113BDC" w:rsidP="0085470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BDC" w:rsidRPr="005D7AAA" w:rsidTr="00854705">
        <w:trPr>
          <w:cantSplit/>
          <w:trHeight w:hRule="exact" w:val="288"/>
          <w:tblHeader/>
          <w:jc w:val="center"/>
        </w:trPr>
        <w:tc>
          <w:tcPr>
            <w:tcW w:w="4415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:rsidR="00113BDC" w:rsidRPr="00681EF7" w:rsidRDefault="00113BDC" w:rsidP="00854705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13BDC" w:rsidRPr="00784A1B" w:rsidRDefault="00113BDC" w:rsidP="00854705">
            <w:pPr>
              <w:adjustRightInd w:val="0"/>
              <w:spacing w:before="29" w:after="29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≥</w:t>
            </w:r>
            <w:r w:rsidRPr="00784A1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57964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964">
              <w:rPr>
                <w:rFonts w:ascii="Arial" w:hAnsi="Arial" w:cs="Arial"/>
                <w:color w:val="000000"/>
                <w:sz w:val="20"/>
                <w:szCs w:val="20"/>
              </w:rPr>
              <w:t xml:space="preserve">51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57964">
              <w:rPr>
                <w:rFonts w:ascii="Arial" w:hAnsi="Arial" w:cs="Arial"/>
                <w:color w:val="000000"/>
                <w:sz w:val="20"/>
                <w:szCs w:val="20"/>
              </w:rPr>
              <w:t>70%)</w:t>
            </w:r>
          </w:p>
        </w:tc>
        <w:tc>
          <w:tcPr>
            <w:tcW w:w="1123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57964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964">
              <w:rPr>
                <w:rFonts w:ascii="Arial" w:hAnsi="Arial" w:cs="Arial"/>
                <w:color w:val="000000"/>
                <w:sz w:val="20"/>
                <w:szCs w:val="20"/>
              </w:rPr>
              <w:t xml:space="preserve">47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57964">
              <w:rPr>
                <w:rFonts w:ascii="Arial" w:hAnsi="Arial" w:cs="Arial"/>
                <w:color w:val="000000"/>
                <w:sz w:val="20"/>
                <w:szCs w:val="20"/>
              </w:rPr>
              <w:t>64%)</w:t>
            </w:r>
          </w:p>
        </w:tc>
        <w:tc>
          <w:tcPr>
            <w:tcW w:w="82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57964" w:rsidRDefault="00113BDC" w:rsidP="0085470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BDC" w:rsidRPr="005D7AAA" w:rsidTr="00854705">
        <w:trPr>
          <w:cantSplit/>
          <w:trHeight w:hRule="exact" w:val="288"/>
          <w:tblHeader/>
          <w:jc w:val="center"/>
        </w:trPr>
        <w:tc>
          <w:tcPr>
            <w:tcW w:w="4415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681EF7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1EF7">
              <w:rPr>
                <w:rFonts w:ascii="Arial" w:hAnsi="Arial" w:cs="Arial"/>
                <w:b/>
                <w:color w:val="000000"/>
                <w:sz w:val="20"/>
                <w:szCs w:val="20"/>
              </w:rPr>
              <w:t>Cirrhosis</w:t>
            </w:r>
          </w:p>
        </w:tc>
        <w:tc>
          <w:tcPr>
            <w:tcW w:w="180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5D7AAA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AAA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21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57964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964">
              <w:rPr>
                <w:rFonts w:ascii="Arial" w:hAnsi="Arial" w:cs="Arial"/>
                <w:color w:val="000000"/>
                <w:sz w:val="20"/>
                <w:szCs w:val="20"/>
              </w:rPr>
              <w:t xml:space="preserve">57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57964">
              <w:rPr>
                <w:rFonts w:ascii="Arial" w:hAnsi="Arial" w:cs="Arial"/>
                <w:color w:val="000000"/>
                <w:sz w:val="20"/>
                <w:szCs w:val="20"/>
              </w:rPr>
              <w:t>78%)</w:t>
            </w:r>
          </w:p>
        </w:tc>
        <w:tc>
          <w:tcPr>
            <w:tcW w:w="1123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57964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964">
              <w:rPr>
                <w:rFonts w:ascii="Arial" w:hAnsi="Arial" w:cs="Arial"/>
                <w:color w:val="000000"/>
                <w:sz w:val="20"/>
                <w:szCs w:val="20"/>
              </w:rPr>
              <w:t xml:space="preserve">61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57964">
              <w:rPr>
                <w:rFonts w:ascii="Arial" w:hAnsi="Arial" w:cs="Arial"/>
                <w:color w:val="000000"/>
                <w:sz w:val="20"/>
                <w:szCs w:val="20"/>
              </w:rPr>
              <w:t>84%)</w:t>
            </w:r>
          </w:p>
        </w:tc>
        <w:tc>
          <w:tcPr>
            <w:tcW w:w="82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57964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964">
              <w:rPr>
                <w:rFonts w:ascii="Arial" w:hAnsi="Arial" w:cs="Arial"/>
                <w:color w:val="000000"/>
                <w:sz w:val="20"/>
                <w:szCs w:val="20"/>
              </w:rPr>
              <w:t>0.400</w:t>
            </w:r>
          </w:p>
        </w:tc>
      </w:tr>
      <w:tr w:rsidR="00113BDC" w:rsidRPr="005D7AAA" w:rsidTr="00854705">
        <w:trPr>
          <w:cantSplit/>
          <w:trHeight w:hRule="exact" w:val="288"/>
          <w:tblHeader/>
          <w:jc w:val="center"/>
        </w:trPr>
        <w:tc>
          <w:tcPr>
            <w:tcW w:w="4415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681EF7" w:rsidRDefault="00113BDC" w:rsidP="00854705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5D7AAA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AAA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21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57964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964">
              <w:rPr>
                <w:rFonts w:ascii="Arial" w:hAnsi="Arial" w:cs="Arial"/>
                <w:color w:val="000000"/>
                <w:sz w:val="20"/>
                <w:szCs w:val="20"/>
              </w:rPr>
              <w:t xml:space="preserve">16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57964">
              <w:rPr>
                <w:rFonts w:ascii="Arial" w:hAnsi="Arial" w:cs="Arial"/>
                <w:color w:val="000000"/>
                <w:sz w:val="20"/>
                <w:szCs w:val="20"/>
              </w:rPr>
              <w:t>22%)</w:t>
            </w:r>
          </w:p>
        </w:tc>
        <w:tc>
          <w:tcPr>
            <w:tcW w:w="1123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57964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964">
              <w:rPr>
                <w:rFonts w:ascii="Arial" w:hAnsi="Arial" w:cs="Arial"/>
                <w:color w:val="000000"/>
                <w:sz w:val="20"/>
                <w:szCs w:val="20"/>
              </w:rPr>
              <w:t xml:space="preserve">12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57964">
              <w:rPr>
                <w:rFonts w:ascii="Arial" w:hAnsi="Arial" w:cs="Arial"/>
                <w:color w:val="000000"/>
                <w:sz w:val="20"/>
                <w:szCs w:val="20"/>
              </w:rPr>
              <w:t>16%)</w:t>
            </w:r>
          </w:p>
        </w:tc>
        <w:tc>
          <w:tcPr>
            <w:tcW w:w="82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57964" w:rsidRDefault="00113BDC" w:rsidP="0085470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BDC" w:rsidRPr="005D7AAA" w:rsidTr="00854705">
        <w:trPr>
          <w:cantSplit/>
          <w:trHeight w:hRule="exact" w:val="288"/>
          <w:tblHeader/>
          <w:jc w:val="center"/>
        </w:trPr>
        <w:tc>
          <w:tcPr>
            <w:tcW w:w="4415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681EF7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HCV G</w:t>
            </w:r>
            <w:r w:rsidRPr="00681EF7">
              <w:rPr>
                <w:rFonts w:ascii="Arial" w:hAnsi="Arial" w:cs="Arial"/>
                <w:b/>
                <w:color w:val="000000"/>
                <w:sz w:val="20"/>
                <w:szCs w:val="20"/>
              </w:rPr>
              <w:t>enotype</w:t>
            </w:r>
          </w:p>
        </w:tc>
        <w:tc>
          <w:tcPr>
            <w:tcW w:w="180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5D7AAA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AA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1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 xml:space="preserve">55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75%)</w:t>
            </w:r>
          </w:p>
        </w:tc>
        <w:tc>
          <w:tcPr>
            <w:tcW w:w="1123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 xml:space="preserve">53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73%)</w:t>
            </w:r>
          </w:p>
        </w:tc>
        <w:tc>
          <w:tcPr>
            <w:tcW w:w="82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57964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964">
              <w:rPr>
                <w:rFonts w:ascii="Arial" w:hAnsi="Arial" w:cs="Arial"/>
                <w:color w:val="000000"/>
                <w:sz w:val="20"/>
                <w:szCs w:val="20"/>
              </w:rPr>
              <w:t>0.411</w:t>
            </w:r>
          </w:p>
        </w:tc>
      </w:tr>
      <w:tr w:rsidR="00113BDC" w:rsidRPr="005D7AAA" w:rsidTr="00854705">
        <w:trPr>
          <w:cantSplit/>
          <w:trHeight w:hRule="exact" w:val="288"/>
          <w:tblHeader/>
          <w:jc w:val="center"/>
        </w:trPr>
        <w:tc>
          <w:tcPr>
            <w:tcW w:w="4415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681EF7" w:rsidRDefault="00113BDC" w:rsidP="00854705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5D7AAA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AA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4%)</w:t>
            </w:r>
          </w:p>
        </w:tc>
        <w:tc>
          <w:tcPr>
            <w:tcW w:w="1123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10%)</w:t>
            </w:r>
          </w:p>
        </w:tc>
        <w:tc>
          <w:tcPr>
            <w:tcW w:w="82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57964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BDC" w:rsidRPr="005D7AAA" w:rsidTr="00854705">
        <w:trPr>
          <w:cantSplit/>
          <w:trHeight w:hRule="exact" w:val="288"/>
          <w:tblHeader/>
          <w:jc w:val="center"/>
        </w:trPr>
        <w:tc>
          <w:tcPr>
            <w:tcW w:w="4415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681EF7" w:rsidRDefault="00113BDC" w:rsidP="00854705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5D7AAA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AAA">
              <w:rPr>
                <w:rFonts w:ascii="Arial" w:hAnsi="Arial" w:cs="Arial"/>
                <w:color w:val="000000"/>
                <w:sz w:val="20"/>
                <w:szCs w:val="20"/>
              </w:rPr>
              <w:t>Oth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 </w:t>
            </w:r>
            <w:r w:rsidRPr="005D7AAA">
              <w:rPr>
                <w:rFonts w:ascii="Arial" w:hAnsi="Arial" w:cs="Arial"/>
                <w:color w:val="000000"/>
                <w:sz w:val="20"/>
                <w:szCs w:val="20"/>
              </w:rPr>
              <w:t>/Unk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nown</w:t>
            </w:r>
          </w:p>
        </w:tc>
        <w:tc>
          <w:tcPr>
            <w:tcW w:w="1221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 xml:space="preserve">15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21%)</w:t>
            </w:r>
          </w:p>
        </w:tc>
        <w:tc>
          <w:tcPr>
            <w:tcW w:w="1123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 xml:space="preserve">13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18%)</w:t>
            </w:r>
          </w:p>
        </w:tc>
        <w:tc>
          <w:tcPr>
            <w:tcW w:w="82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57964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BDC" w:rsidRPr="005D7AAA" w:rsidTr="00854705">
        <w:trPr>
          <w:cantSplit/>
          <w:trHeight w:hRule="exact" w:val="288"/>
          <w:tblHeader/>
          <w:jc w:val="center"/>
        </w:trPr>
        <w:tc>
          <w:tcPr>
            <w:tcW w:w="4415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681EF7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  <w:r w:rsidRPr="00681EF7">
              <w:rPr>
                <w:rFonts w:ascii="Arial" w:hAnsi="Arial" w:cs="Arial"/>
                <w:b/>
                <w:color w:val="000000"/>
                <w:sz w:val="20"/>
                <w:szCs w:val="20"/>
              </w:rPr>
              <w:t>ypertension</w:t>
            </w:r>
          </w:p>
        </w:tc>
        <w:tc>
          <w:tcPr>
            <w:tcW w:w="180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5D7AAA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21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 xml:space="preserve">27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37%)</w:t>
            </w:r>
          </w:p>
        </w:tc>
        <w:tc>
          <w:tcPr>
            <w:tcW w:w="1123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 xml:space="preserve">22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30%)</w:t>
            </w:r>
          </w:p>
        </w:tc>
        <w:tc>
          <w:tcPr>
            <w:tcW w:w="82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5D7AAA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AAA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</w:tr>
      <w:tr w:rsidR="00113BDC" w:rsidRPr="005D7AAA" w:rsidTr="00854705">
        <w:trPr>
          <w:cantSplit/>
          <w:trHeight w:hRule="exact" w:val="288"/>
          <w:tblHeader/>
          <w:jc w:val="center"/>
        </w:trPr>
        <w:tc>
          <w:tcPr>
            <w:tcW w:w="4415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681EF7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  <w:r w:rsidRPr="00681EF7">
              <w:rPr>
                <w:rFonts w:ascii="Arial" w:hAnsi="Arial" w:cs="Arial"/>
                <w:b/>
                <w:color w:val="000000"/>
                <w:sz w:val="20"/>
                <w:szCs w:val="20"/>
              </w:rPr>
              <w:t>yperlipidemia</w:t>
            </w:r>
          </w:p>
        </w:tc>
        <w:tc>
          <w:tcPr>
            <w:tcW w:w="180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5D7AAA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21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 xml:space="preserve">16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22%)</w:t>
            </w:r>
          </w:p>
        </w:tc>
        <w:tc>
          <w:tcPr>
            <w:tcW w:w="1123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 xml:space="preserve">22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30%)</w:t>
            </w:r>
          </w:p>
        </w:tc>
        <w:tc>
          <w:tcPr>
            <w:tcW w:w="82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5D7AAA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0.258</w:t>
            </w:r>
          </w:p>
        </w:tc>
      </w:tr>
      <w:tr w:rsidR="00113BDC" w:rsidRPr="005D7AAA" w:rsidTr="00854705">
        <w:trPr>
          <w:cantSplit/>
          <w:trHeight w:hRule="exact" w:val="288"/>
          <w:tblHeader/>
          <w:jc w:val="center"/>
        </w:trPr>
        <w:tc>
          <w:tcPr>
            <w:tcW w:w="4415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681EF7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681EF7">
              <w:rPr>
                <w:rFonts w:ascii="Arial" w:hAnsi="Arial" w:cs="Arial"/>
                <w:b/>
                <w:color w:val="000000"/>
                <w:sz w:val="20"/>
                <w:szCs w:val="20"/>
              </w:rPr>
              <w:t>tatin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use, ever</w:t>
            </w:r>
          </w:p>
        </w:tc>
        <w:tc>
          <w:tcPr>
            <w:tcW w:w="180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5D7AAA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21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 xml:space="preserve">40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55%)</w:t>
            </w:r>
          </w:p>
        </w:tc>
        <w:tc>
          <w:tcPr>
            <w:tcW w:w="1123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20217E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 xml:space="preserve">40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217E">
              <w:rPr>
                <w:rFonts w:ascii="Arial" w:hAnsi="Arial" w:cs="Arial"/>
                <w:color w:val="000000"/>
                <w:sz w:val="20"/>
                <w:szCs w:val="20"/>
              </w:rPr>
              <w:t>55%)</w:t>
            </w:r>
          </w:p>
        </w:tc>
        <w:tc>
          <w:tcPr>
            <w:tcW w:w="829" w:type="dxa"/>
            <w:shd w:val="clear" w:color="auto" w:fill="FFFFFF"/>
            <w:tcMar>
              <w:left w:w="67" w:type="dxa"/>
              <w:right w:w="67" w:type="dxa"/>
            </w:tcMar>
          </w:tcPr>
          <w:p w:rsidR="00113BDC" w:rsidRPr="005D7AAA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</w:t>
            </w:r>
          </w:p>
        </w:tc>
      </w:tr>
      <w:tr w:rsidR="00113BDC" w:rsidRPr="005D7AAA" w:rsidTr="00854705">
        <w:trPr>
          <w:cantSplit/>
          <w:trHeight w:hRule="exact" w:val="288"/>
          <w:tblHeader/>
          <w:jc w:val="center"/>
        </w:trPr>
        <w:tc>
          <w:tcPr>
            <w:tcW w:w="4415" w:type="dxa"/>
            <w:tcBorders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13BDC" w:rsidRPr="00681EF7" w:rsidRDefault="00113BDC" w:rsidP="00854705">
            <w:pPr>
              <w:keepNext/>
              <w:adjustRightInd w:val="0"/>
              <w:spacing w:before="67" w:after="6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HbA</w:t>
            </w:r>
            <w:r w:rsidRPr="00681EF7">
              <w:rPr>
                <w:rFonts w:ascii="Arial" w:hAnsi="Arial" w:cs="Arial"/>
                <w:b/>
                <w:color w:val="000000"/>
                <w:sz w:val="20"/>
                <w:szCs w:val="20"/>
              </w:rPr>
              <w:t>1c</w:t>
            </w:r>
            <w:r w:rsidRPr="00681EF7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13BDC" w:rsidRPr="005D7AAA" w:rsidRDefault="00113BDC" w:rsidP="0085470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13BDC" w:rsidRPr="005D7AAA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AAA">
              <w:rPr>
                <w:rFonts w:ascii="Arial" w:hAnsi="Arial" w:cs="Arial"/>
                <w:color w:val="000000"/>
                <w:sz w:val="20"/>
                <w:szCs w:val="20"/>
              </w:rPr>
              <w:t>8.0 ± 2.1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13BDC" w:rsidRPr="005D7AAA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AAA">
              <w:rPr>
                <w:rFonts w:ascii="Arial" w:hAnsi="Arial" w:cs="Arial"/>
                <w:color w:val="000000"/>
                <w:sz w:val="20"/>
                <w:szCs w:val="20"/>
              </w:rPr>
              <w:t>7.8 ± 1.8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13BDC" w:rsidRPr="005D7AAA" w:rsidRDefault="00113BDC" w:rsidP="0085470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0.681</w:t>
            </w:r>
          </w:p>
        </w:tc>
      </w:tr>
    </w:tbl>
    <w:p w:rsidR="00113BDC" w:rsidRPr="002D73E4" w:rsidRDefault="00113BDC" w:rsidP="00113BDC">
      <w:pPr>
        <w:spacing w:after="120" w:line="240" w:lineRule="auto"/>
        <w:contextualSpacing/>
        <w:rPr>
          <w:rFonts w:ascii="Arial Narrow" w:eastAsia="Calibri" w:hAnsi="Arial Narrow" w:cs="Arial"/>
          <w:i/>
          <w:kern w:val="2"/>
          <w14:cntxtAlts/>
        </w:rPr>
      </w:pPr>
      <w:r w:rsidRPr="002D73E4">
        <w:rPr>
          <w:rFonts w:ascii="Arial Narrow" w:eastAsia="Calibri" w:hAnsi="Arial Narrow" w:cs="Arial"/>
          <w:i/>
          <w:kern w:val="2"/>
          <w:vertAlign w:val="superscript"/>
          <w14:cntxtAlts/>
        </w:rPr>
        <w:t>a</w:t>
      </w:r>
      <w:r w:rsidRPr="002D73E4">
        <w:rPr>
          <w:rFonts w:ascii="Arial Narrow" w:eastAsia="Calibri" w:hAnsi="Arial Narrow" w:cs="Arial"/>
          <w:i/>
          <w:kern w:val="2"/>
          <w14:cntxtAlts/>
        </w:rPr>
        <w:t xml:space="preserve"> Log</w:t>
      </w:r>
      <w:r w:rsidRPr="002D73E4">
        <w:rPr>
          <w:rFonts w:ascii="Arial Narrow" w:eastAsia="Calibri" w:hAnsi="Arial Narrow" w:cs="Arial"/>
          <w:i/>
          <w:kern w:val="2"/>
          <w:vertAlign w:val="subscript"/>
          <w14:cntxtAlts/>
        </w:rPr>
        <w:t xml:space="preserve"> </w:t>
      </w:r>
      <w:r w:rsidRPr="002D73E4">
        <w:rPr>
          <w:rFonts w:ascii="Arial Narrow" w:eastAsia="Calibri" w:hAnsi="Arial Narrow" w:cs="Arial"/>
          <w:i/>
          <w:kern w:val="2"/>
          <w14:cntxtAlts/>
        </w:rPr>
        <w:t xml:space="preserve">scale was used for the propensity score calculation. Original scale is presented for ease of interpretation. </w:t>
      </w:r>
    </w:p>
    <w:p w:rsidR="00113BDC" w:rsidRDefault="00113BDC" w:rsidP="00113BDC">
      <w:pPr>
        <w:spacing w:after="120" w:line="240" w:lineRule="auto"/>
        <w:contextualSpacing/>
        <w:rPr>
          <w:rFonts w:ascii="Arial Narrow" w:eastAsia="Calibri" w:hAnsi="Arial Narrow" w:cs="Arial"/>
          <w:i/>
          <w:kern w:val="2"/>
          <w14:cntxtAlts/>
        </w:rPr>
      </w:pPr>
      <w:r w:rsidRPr="002D73E4">
        <w:rPr>
          <w:rFonts w:ascii="Arial Narrow" w:eastAsia="Calibri" w:hAnsi="Arial Narrow" w:cs="Arial"/>
          <w:i/>
          <w:kern w:val="2"/>
          <w:vertAlign w:val="superscript"/>
          <w14:cntxtAlts/>
        </w:rPr>
        <w:t>b</w:t>
      </w:r>
      <w:r w:rsidRPr="002D73E4">
        <w:rPr>
          <w:rFonts w:ascii="Arial Narrow" w:eastAsia="Calibri" w:hAnsi="Arial Narrow" w:cs="Arial"/>
          <w:i/>
          <w:kern w:val="2"/>
          <w14:cntxtAlts/>
        </w:rPr>
        <w:t xml:space="preserve"> Type III analysis using Wald Chi-square test from multiple variable logistic regression.</w:t>
      </w:r>
    </w:p>
    <w:p w:rsidR="00113BDC" w:rsidRPr="002D73E4" w:rsidRDefault="00113BDC" w:rsidP="00113BDC">
      <w:pPr>
        <w:spacing w:after="120" w:line="240" w:lineRule="auto"/>
        <w:contextualSpacing/>
        <w:rPr>
          <w:rFonts w:ascii="Arial Narrow" w:eastAsia="Calibri" w:hAnsi="Arial Narrow" w:cs="Arial"/>
          <w:i/>
          <w:kern w:val="2"/>
          <w14:cntxtAlts/>
        </w:rPr>
      </w:pPr>
      <w:r>
        <w:rPr>
          <w:rFonts w:ascii="Arial Narrow" w:eastAsia="Calibri" w:hAnsi="Arial Narrow" w:cs="Arial"/>
          <w:i/>
          <w:kern w:val="2"/>
          <w14:cntxtAlts/>
        </w:rPr>
        <w:t xml:space="preserve">GHS: Geisinger Health System; HFHS: Henry Ford Health System; KPHI: Kaiser Permanente </w:t>
      </w:r>
      <w:proofErr w:type="spellStart"/>
      <w:r>
        <w:rPr>
          <w:rFonts w:ascii="Arial Narrow" w:eastAsia="Calibri" w:hAnsi="Arial Narrow" w:cs="Arial"/>
          <w:i/>
          <w:kern w:val="2"/>
          <w14:cntxtAlts/>
        </w:rPr>
        <w:t>Hawai’I</w:t>
      </w:r>
      <w:proofErr w:type="spellEnd"/>
      <w:r>
        <w:rPr>
          <w:rFonts w:ascii="Arial Narrow" w:eastAsia="Calibri" w:hAnsi="Arial Narrow" w:cs="Arial"/>
          <w:i/>
          <w:kern w:val="2"/>
          <w14:cntxtAlts/>
        </w:rPr>
        <w:t>; Kaiser Permanente Northwest; FIB4: Fibrosis-4 index; Hba1c: h</w:t>
      </w:r>
      <w:r w:rsidRPr="00A21CCF">
        <w:rPr>
          <w:rFonts w:ascii="Arial Narrow" w:eastAsia="Calibri" w:hAnsi="Arial Narrow" w:cs="Arial"/>
          <w:i/>
          <w:kern w:val="2"/>
          <w14:cntxtAlts/>
        </w:rPr>
        <w:t>emoglobin A1c</w:t>
      </w:r>
      <w:r>
        <w:rPr>
          <w:rFonts w:ascii="Arial Narrow" w:eastAsia="Calibri" w:hAnsi="Arial Narrow" w:cs="Arial"/>
          <w:i/>
          <w:kern w:val="2"/>
          <w14:cntxtAlts/>
        </w:rPr>
        <w:t xml:space="preserve">; </w:t>
      </w:r>
    </w:p>
    <w:p w:rsidR="00113BDC" w:rsidRDefault="00113BDC" w:rsidP="00113BDC">
      <w:pPr>
        <w:spacing w:line="240" w:lineRule="auto"/>
        <w:contextualSpacing/>
        <w:rPr>
          <w:rFonts w:ascii="Arial Narrow" w:eastAsia="Calibri" w:hAnsi="Arial Narrow" w:cs="Arial"/>
          <w:b/>
          <w:color w:val="231F20"/>
          <w:kern w:val="2"/>
          <w:lang w:eastAsia="ko-KR"/>
          <w14:cntxtAlts/>
        </w:rPr>
      </w:pPr>
      <w:r>
        <w:rPr>
          <w:rFonts w:ascii="Arial Narrow" w:eastAsia="Calibri" w:hAnsi="Arial Narrow" w:cs="Arial"/>
          <w:b/>
          <w:color w:val="231F20"/>
          <w:kern w:val="2"/>
          <w:lang w:eastAsia="ko-KR"/>
          <w14:cntxtAlts/>
        </w:rPr>
        <w:br w:type="page"/>
      </w:r>
    </w:p>
    <w:p w:rsidR="00113BDC" w:rsidRDefault="00113BDC" w:rsidP="00113BDC">
      <w:pPr>
        <w:spacing w:line="240" w:lineRule="auto"/>
        <w:contextualSpacing/>
        <w:rPr>
          <w:rFonts w:ascii="Arial Narrow" w:hAnsi="Arial Narrow" w:cs="Arial"/>
          <w:b/>
        </w:rPr>
      </w:pPr>
      <w:r w:rsidRPr="00685A04">
        <w:rPr>
          <w:rFonts w:ascii="Arial Narrow" w:eastAsia="Calibri" w:hAnsi="Arial Narrow" w:cs="Arial"/>
          <w:b/>
          <w:color w:val="231F20"/>
          <w:kern w:val="2"/>
          <w:lang w:eastAsia="ko-KR"/>
          <w14:cntxtAlts/>
        </w:rPr>
        <w:lastRenderedPageBreak/>
        <w:t>Supplementary Table 3.</w:t>
      </w:r>
      <w:r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Arial Narrow" w:hAnsi="Arial Narrow" w:cs="Arial"/>
          <w:b/>
        </w:rPr>
        <w:t>Glycosolated</w:t>
      </w:r>
      <w:proofErr w:type="spellEnd"/>
      <w:r>
        <w:rPr>
          <w:rFonts w:ascii="Arial Narrow" w:hAnsi="Arial Narrow" w:cs="Arial"/>
          <w:b/>
        </w:rPr>
        <w:t xml:space="preserve"> hemoglobin (HbA1c): </w:t>
      </w:r>
      <w:r w:rsidRPr="00337118">
        <w:rPr>
          <w:rFonts w:ascii="Arial Narrow" w:hAnsi="Arial Narrow" w:cs="Arial"/>
          <w:b/>
        </w:rPr>
        <w:t>Estimated percent</w:t>
      </w:r>
      <w:r>
        <w:rPr>
          <w:rFonts w:ascii="Arial Narrow" w:hAnsi="Arial Narrow" w:cs="Arial"/>
          <w:b/>
        </w:rPr>
        <w:t>age change</w:t>
      </w:r>
      <w:r w:rsidRPr="00337118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by </w:t>
      </w:r>
      <w:r w:rsidRPr="00337118">
        <w:rPr>
          <w:rFonts w:ascii="Arial Narrow" w:hAnsi="Arial Narrow" w:cs="Arial"/>
          <w:b/>
        </w:rPr>
        <w:t xml:space="preserve">treatment </w:t>
      </w:r>
      <w:r>
        <w:rPr>
          <w:rFonts w:ascii="Arial Narrow" w:hAnsi="Arial Narrow" w:cs="Arial"/>
          <w:b/>
        </w:rPr>
        <w:t xml:space="preserve">status </w:t>
      </w:r>
      <w:r w:rsidRPr="00337118">
        <w:rPr>
          <w:rFonts w:ascii="Arial Narrow" w:hAnsi="Arial Narrow" w:cs="Arial"/>
          <w:b/>
        </w:rPr>
        <w:t>and response</w:t>
      </w:r>
      <w:r>
        <w:rPr>
          <w:rFonts w:ascii="Arial Narrow" w:hAnsi="Arial Narrow" w:cs="Arial"/>
          <w:b/>
        </w:rPr>
        <w:t xml:space="preserve"> in patients undergoing treatment with direct-acting antiviral therapy.</w:t>
      </w:r>
    </w:p>
    <w:p w:rsidR="00113BDC" w:rsidRPr="00685A04" w:rsidRDefault="00113BDC" w:rsidP="00113BDC">
      <w:pPr>
        <w:spacing w:line="240" w:lineRule="auto"/>
        <w:contextualSpacing/>
        <w:rPr>
          <w:rFonts w:ascii="Arial Narrow" w:hAnsi="Arial Narrow" w:cs="Arial"/>
        </w:rPr>
      </w:pPr>
    </w:p>
    <w:tbl>
      <w:tblPr>
        <w:tblW w:w="8886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310"/>
        <w:gridCol w:w="2563"/>
        <w:gridCol w:w="989"/>
        <w:gridCol w:w="2798"/>
        <w:gridCol w:w="1226"/>
      </w:tblGrid>
      <w:tr w:rsidR="00113BDC" w:rsidRPr="00195148" w:rsidTr="00854705">
        <w:trPr>
          <w:trHeight w:val="284"/>
        </w:trPr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BDC" w:rsidRPr="00337118" w:rsidRDefault="00113BDC" w:rsidP="0085470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BDC" w:rsidRDefault="00113BDC" w:rsidP="0085470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</w:rPr>
            </w:pPr>
            <w:r w:rsidRPr="00337118">
              <w:rPr>
                <w:rFonts w:ascii="Arial Narrow" w:eastAsia="Times New Roman" w:hAnsi="Arial Narrow" w:cs="Arial"/>
                <w:b/>
                <w:color w:val="000000"/>
                <w:sz w:val="20"/>
              </w:rPr>
              <w:t>Phase I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</w:rPr>
              <w:t xml:space="preserve">: 0–6 months </w:t>
            </w:r>
          </w:p>
          <w:p w:rsidR="00113BDC" w:rsidRPr="00337118" w:rsidRDefault="00113BDC" w:rsidP="0085470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</w:rPr>
              <w:t>post-index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BDC" w:rsidRDefault="00113BDC" w:rsidP="0085470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</w:rPr>
            </w:pPr>
            <w:r w:rsidRPr="00337118">
              <w:rPr>
                <w:rFonts w:ascii="Arial Narrow" w:eastAsia="Times New Roman" w:hAnsi="Arial Narrow" w:cs="Arial"/>
                <w:b/>
                <w:color w:val="000000"/>
                <w:sz w:val="20"/>
              </w:rPr>
              <w:t>Phase II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</w:rPr>
              <w:t xml:space="preserve">: 6–15 months </w:t>
            </w:r>
          </w:p>
          <w:p w:rsidR="00113BDC" w:rsidRPr="00337118" w:rsidRDefault="00113BDC" w:rsidP="0085470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</w:rPr>
              <w:t>post-index</w:t>
            </w:r>
          </w:p>
        </w:tc>
      </w:tr>
      <w:tr w:rsidR="00113BDC" w:rsidRPr="00195148" w:rsidTr="00854705">
        <w:trPr>
          <w:trHeight w:val="299"/>
        </w:trPr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BDC" w:rsidRPr="00337118" w:rsidRDefault="00113BDC" w:rsidP="0085470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BDC" w:rsidRPr="00337118" w:rsidRDefault="00113BDC" w:rsidP="0085470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</w:rPr>
            </w:pPr>
            <w:r w:rsidRPr="00337118">
              <w:rPr>
                <w:rFonts w:ascii="Arial Narrow" w:eastAsia="Times New Roman" w:hAnsi="Arial Narrow" w:cs="Arial"/>
                <w:b/>
                <w:color w:val="000000"/>
                <w:sz w:val="20"/>
              </w:rPr>
              <w:t>change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</w:rPr>
              <w:t xml:space="preserve"> (95%CI</w:t>
            </w:r>
            <w:r w:rsidRPr="00337118">
              <w:rPr>
                <w:rFonts w:ascii="Arial Narrow" w:eastAsia="Times New Roman" w:hAnsi="Arial Narrow" w:cs="Arial"/>
                <w:b/>
                <w:color w:val="000000"/>
                <w:sz w:val="20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BDC" w:rsidRPr="00337118" w:rsidRDefault="00113BDC" w:rsidP="0085470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</w:rPr>
            </w:pPr>
            <w:r w:rsidRPr="00337118">
              <w:rPr>
                <w:rFonts w:ascii="Arial Narrow" w:eastAsia="Times New Roman" w:hAnsi="Arial Narrow" w:cs="Arial"/>
                <w:b/>
                <w:color w:val="000000"/>
                <w:sz w:val="20"/>
              </w:rPr>
              <w:t>p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BDC" w:rsidRPr="00337118" w:rsidRDefault="00113BDC" w:rsidP="0085470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</w:rPr>
            </w:pPr>
            <w:r w:rsidRPr="00337118">
              <w:rPr>
                <w:rFonts w:ascii="Arial Narrow" w:eastAsia="Times New Roman" w:hAnsi="Arial Narrow" w:cs="Arial"/>
                <w:b/>
                <w:color w:val="000000"/>
                <w:sz w:val="20"/>
              </w:rPr>
              <w:t>change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</w:rPr>
              <w:t xml:space="preserve"> (95%CI</w:t>
            </w:r>
            <w:r w:rsidRPr="00337118">
              <w:rPr>
                <w:rFonts w:ascii="Arial Narrow" w:eastAsia="Times New Roman" w:hAnsi="Arial Narrow" w:cs="Arial"/>
                <w:b/>
                <w:color w:val="000000"/>
                <w:sz w:val="20"/>
              </w:rPr>
              <w:t>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BDC" w:rsidRPr="00337118" w:rsidRDefault="00113BDC" w:rsidP="0085470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</w:rPr>
            </w:pPr>
            <w:r w:rsidRPr="00337118">
              <w:rPr>
                <w:rFonts w:ascii="Arial Narrow" w:eastAsia="Times New Roman" w:hAnsi="Arial Narrow" w:cs="Arial"/>
                <w:b/>
                <w:color w:val="000000"/>
                <w:sz w:val="20"/>
              </w:rPr>
              <w:t>p</w:t>
            </w:r>
          </w:p>
        </w:tc>
      </w:tr>
      <w:tr w:rsidR="00113BDC" w:rsidRPr="00195148" w:rsidTr="00854705">
        <w:trPr>
          <w:trHeight w:val="299"/>
        </w:trPr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BDC" w:rsidRPr="00337118" w:rsidRDefault="00113BDC" w:rsidP="0085470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</w:rPr>
            </w:pPr>
            <w:r w:rsidRPr="0033711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</w:rPr>
              <w:t>SVR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3BDC" w:rsidRDefault="00113BDC" w:rsidP="00854705">
            <w:pPr>
              <w:adjustRightInd w:val="0"/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-5.7% (-8.3%, -3.0%)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3BDC" w:rsidRDefault="00113BDC" w:rsidP="00854705">
            <w:pPr>
              <w:adjustRightInd w:val="0"/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3BDC" w:rsidRDefault="00113BDC" w:rsidP="00854705">
            <w:pPr>
              <w:adjustRightInd w:val="0"/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3.9% (0.6%, 7.3%)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3BDC" w:rsidRDefault="00113BDC" w:rsidP="00854705">
            <w:pPr>
              <w:adjustRightInd w:val="0"/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0.019</w:t>
            </w:r>
          </w:p>
        </w:tc>
      </w:tr>
      <w:tr w:rsidR="00113BDC" w:rsidRPr="00195148" w:rsidTr="00854705">
        <w:trPr>
          <w:trHeight w:val="299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BDC" w:rsidRPr="00337118" w:rsidRDefault="00113BDC" w:rsidP="0085470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</w:rPr>
            </w:pPr>
            <w:r w:rsidRPr="0033711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</w:rPr>
              <w:t>TF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BDC" w:rsidRDefault="00113BDC" w:rsidP="00854705">
            <w:pPr>
              <w:keepNext/>
              <w:adjustRightInd w:val="0"/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0.2% (-10.9%, 12.8%)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BDC" w:rsidRDefault="00113BDC" w:rsidP="00854705">
            <w:pPr>
              <w:keepNext/>
              <w:adjustRightInd w:val="0"/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0.968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BDC" w:rsidRDefault="00113BDC" w:rsidP="00854705">
            <w:pPr>
              <w:keepNext/>
              <w:adjustRightInd w:val="0"/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6.8% (-6.5%, 22.1%)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BDC" w:rsidRDefault="00113BDC" w:rsidP="00854705">
            <w:pPr>
              <w:keepNext/>
              <w:adjustRightInd w:val="0"/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0.330</w:t>
            </w:r>
          </w:p>
        </w:tc>
      </w:tr>
      <w:tr w:rsidR="00113BDC" w:rsidRPr="00195148" w:rsidTr="00854705">
        <w:trPr>
          <w:trHeight w:val="341"/>
        </w:trPr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BDC" w:rsidRPr="00337118" w:rsidRDefault="00113BDC" w:rsidP="0085470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</w:rPr>
            </w:pPr>
            <w:r w:rsidRPr="0033711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</w:rPr>
              <w:t>Untreated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BDC" w:rsidRDefault="00113BDC" w:rsidP="00854705">
            <w:pPr>
              <w:adjustRightInd w:val="0"/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-0.8% (-3.9%, 2.5%)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BDC" w:rsidRDefault="00113BDC" w:rsidP="00854705">
            <w:pPr>
              <w:adjustRightInd w:val="0"/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0.637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BDC" w:rsidRDefault="00113BDC" w:rsidP="00854705">
            <w:pPr>
              <w:adjustRightInd w:val="0"/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-0.0% (-3.0%, 3.1%)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BDC" w:rsidRDefault="00113BDC" w:rsidP="00854705">
            <w:pPr>
              <w:adjustRightInd w:val="0"/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0.992</w:t>
            </w:r>
          </w:p>
        </w:tc>
      </w:tr>
    </w:tbl>
    <w:p w:rsidR="00113BDC" w:rsidRDefault="00113BDC" w:rsidP="00113BDC">
      <w:pPr>
        <w:spacing w:line="240" w:lineRule="auto"/>
        <w:contextualSpacing/>
        <w:rPr>
          <w:rFonts w:ascii="Arial Narrow" w:hAnsi="Arial Narrow" w:cs="Arial"/>
          <w:b/>
        </w:rPr>
      </w:pPr>
    </w:p>
    <w:p w:rsidR="00113BDC" w:rsidRPr="00343213" w:rsidRDefault="00113BDC" w:rsidP="00113BDC">
      <w:pPr>
        <w:spacing w:line="240" w:lineRule="auto"/>
        <w:contextualSpacing/>
        <w:rPr>
          <w:rFonts w:ascii="Arial" w:hAnsi="Arial" w:cs="Arial"/>
          <w:i/>
          <w:sz w:val="20"/>
        </w:rPr>
      </w:pPr>
      <w:r w:rsidRPr="00343213">
        <w:rPr>
          <w:rFonts w:ascii="Arial Narrow" w:hAnsi="Arial Narrow" w:cs="Arial"/>
          <w:i/>
          <w:sz w:val="20"/>
        </w:rPr>
        <w:t xml:space="preserve">* CI: confidence interval; SVR: sustained virological response; TF: treatment failure. </w:t>
      </w:r>
    </w:p>
    <w:p w:rsidR="00113BDC" w:rsidRDefault="00113BDC" w:rsidP="00113BDC">
      <w:pPr>
        <w:pStyle w:val="Caption"/>
        <w:contextualSpacing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:rsidR="00113BDC" w:rsidRDefault="00113BDC" w:rsidP="00113BDC">
      <w:pPr>
        <w:pStyle w:val="Caption"/>
        <w:contextualSpacing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Supplemental </w:t>
      </w:r>
      <w:r w:rsidRPr="00337118">
        <w:rPr>
          <w:rFonts w:ascii="Arial Narrow" w:hAnsi="Arial Narrow" w:cs="Arial"/>
          <w:sz w:val="22"/>
          <w:szCs w:val="22"/>
        </w:rPr>
        <w:t xml:space="preserve">Figure </w:t>
      </w:r>
      <w:r>
        <w:rPr>
          <w:rFonts w:ascii="Arial Narrow" w:hAnsi="Arial Narrow" w:cs="Arial"/>
          <w:sz w:val="22"/>
          <w:szCs w:val="22"/>
        </w:rPr>
        <w:t>1</w:t>
      </w:r>
      <w:r w:rsidRPr="00337118">
        <w:rPr>
          <w:rFonts w:ascii="Arial Narrow" w:hAnsi="Arial Narrow" w:cs="Arial"/>
          <w:sz w:val="22"/>
          <w:szCs w:val="22"/>
        </w:rPr>
        <w:t xml:space="preserve">. Predicted mean of </w:t>
      </w:r>
      <w:r>
        <w:rPr>
          <w:rFonts w:ascii="Arial Narrow" w:hAnsi="Arial Narrow" w:cs="Arial"/>
          <w:sz w:val="22"/>
          <w:szCs w:val="22"/>
        </w:rPr>
        <w:t xml:space="preserve">longitudinal </w:t>
      </w:r>
      <w:r w:rsidRPr="00337118">
        <w:rPr>
          <w:rFonts w:ascii="Arial Narrow" w:hAnsi="Arial Narrow" w:cs="Arial"/>
          <w:sz w:val="22"/>
          <w:szCs w:val="22"/>
        </w:rPr>
        <w:t xml:space="preserve">trajectory of </w:t>
      </w:r>
      <w:proofErr w:type="spellStart"/>
      <w:r>
        <w:rPr>
          <w:rFonts w:ascii="Arial Narrow" w:hAnsi="Arial Narrow" w:cs="Arial"/>
          <w:sz w:val="22"/>
          <w:szCs w:val="22"/>
        </w:rPr>
        <w:t>glycosolated</w:t>
      </w:r>
      <w:proofErr w:type="spellEnd"/>
      <w:r>
        <w:rPr>
          <w:rFonts w:ascii="Arial Narrow" w:hAnsi="Arial Narrow" w:cs="Arial"/>
          <w:sz w:val="22"/>
          <w:szCs w:val="22"/>
        </w:rPr>
        <w:t xml:space="preserve"> hemoglobin in log scale (</w:t>
      </w:r>
      <w:r w:rsidRPr="00337118">
        <w:rPr>
          <w:rFonts w:ascii="Arial Narrow" w:hAnsi="Arial Narrow" w:cs="Arial"/>
          <w:sz w:val="22"/>
          <w:szCs w:val="22"/>
        </w:rPr>
        <w:t>logHbA1c</w:t>
      </w:r>
      <w:r>
        <w:rPr>
          <w:rFonts w:ascii="Arial Narrow" w:hAnsi="Arial Narrow" w:cs="Arial"/>
          <w:sz w:val="22"/>
          <w:szCs w:val="22"/>
        </w:rPr>
        <w:t>)</w:t>
      </w:r>
      <w:r w:rsidRPr="00337118">
        <w:rPr>
          <w:rFonts w:ascii="Arial Narrow" w:hAnsi="Arial Narrow" w:cs="Arial"/>
          <w:sz w:val="22"/>
          <w:szCs w:val="22"/>
        </w:rPr>
        <w:t xml:space="preserve"> by treatment </w:t>
      </w:r>
      <w:r>
        <w:rPr>
          <w:rFonts w:ascii="Arial Narrow" w:hAnsi="Arial Narrow" w:cs="Arial"/>
          <w:sz w:val="22"/>
          <w:szCs w:val="22"/>
        </w:rPr>
        <w:t xml:space="preserve">status and response in patients undergoing treatment with direct acting antivirals. </w:t>
      </w:r>
      <w:r w:rsidRPr="00337118">
        <w:rPr>
          <w:rFonts w:ascii="Arial Narrow" w:hAnsi="Arial Narrow" w:cs="Arial"/>
          <w:sz w:val="22"/>
          <w:szCs w:val="22"/>
        </w:rPr>
        <w:t>(Shaded area: 95% confidence band)</w:t>
      </w:r>
    </w:p>
    <w:p w:rsidR="00113BDC" w:rsidRPr="00836DF9" w:rsidRDefault="00113BDC" w:rsidP="00113BDC">
      <w:pPr>
        <w:rPr>
          <w:lang w:eastAsia="ja-JP"/>
        </w:rPr>
      </w:pPr>
    </w:p>
    <w:p w:rsidR="008D452D" w:rsidRDefault="008F4511">
      <w:r>
        <w:rPr>
          <w:noProof/>
          <w:lang w:eastAsia="en-US"/>
        </w:rPr>
        <w:drawing>
          <wp:inline distT="0" distB="0" distL="0" distR="0" wp14:anchorId="04302455" wp14:editId="45EE7704">
            <wp:extent cx="5943600" cy="4455795"/>
            <wp:effectExtent l="0" t="0" r="0" b="1905"/>
            <wp:docPr id="1" name="Picture 1" descr="C:\Users\jli4\AppData\Local\Microsoft\Windows\INetCache\Content.Word\SGPlo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i4\AppData\Local\Microsoft\Windows\INetCache\Content.Word\SGPlot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DC"/>
    <w:rsid w:val="00113BDC"/>
    <w:rsid w:val="00394F26"/>
    <w:rsid w:val="0052559C"/>
    <w:rsid w:val="005B06A2"/>
    <w:rsid w:val="008F4511"/>
    <w:rsid w:val="0097659B"/>
    <w:rsid w:val="00D96B72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8F6A8-A53D-40BD-8EA1-ADAADB7C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BDC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113BDC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HFHS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Trudeau, Sheri</dc:creator>
  <cp:keywords/>
  <dc:description/>
  <cp:lastModifiedBy>Trudeau, Sheri</cp:lastModifiedBy>
  <cp:revision>2</cp:revision>
  <dcterms:created xsi:type="dcterms:W3CDTF">2018-12-18T00:54:00Z</dcterms:created>
  <dcterms:modified xsi:type="dcterms:W3CDTF">2018-12-18T00:54:00Z</dcterms:modified>
</cp:coreProperties>
</file>