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32" w:rsidRPr="001E3D85" w:rsidRDefault="00D13132" w:rsidP="00D13132">
      <w:pPr>
        <w:jc w:val="center"/>
        <w:rPr>
          <w:b/>
          <w:szCs w:val="24"/>
        </w:rPr>
      </w:pPr>
      <w:r w:rsidRPr="001E3D85">
        <w:rPr>
          <w:b/>
          <w:szCs w:val="24"/>
        </w:rPr>
        <w:t>Cost-Effectiveness of Breast Cancer Screening in the National Breast and Cervical Cancer Early Detection Program</w:t>
      </w:r>
    </w:p>
    <w:p w:rsidR="00D13132" w:rsidRPr="00B33D3D" w:rsidRDefault="00D13132" w:rsidP="00D13132">
      <w:pPr>
        <w:rPr>
          <w:szCs w:val="24"/>
        </w:rPr>
      </w:pPr>
    </w:p>
    <w:p w:rsidR="00D13132" w:rsidRPr="00B33D3D" w:rsidRDefault="00D13132" w:rsidP="00D13132">
      <w:pPr>
        <w:rPr>
          <w:szCs w:val="24"/>
        </w:rPr>
      </w:pPr>
    </w:p>
    <w:p w:rsidR="00D13132" w:rsidRPr="00F4469C" w:rsidRDefault="00D13132" w:rsidP="00D13132">
      <w:pPr>
        <w:jc w:val="center"/>
        <w:rPr>
          <w:b/>
          <w:color w:val="000000" w:themeColor="text1"/>
          <w:szCs w:val="24"/>
        </w:rPr>
      </w:pPr>
      <w:r w:rsidRPr="00F4469C">
        <w:rPr>
          <w:color w:val="000000" w:themeColor="text1"/>
          <w:szCs w:val="24"/>
        </w:rPr>
        <w:t xml:space="preserve">Sun </w:t>
      </w:r>
      <w:proofErr w:type="spellStart"/>
      <w:r w:rsidRPr="00F4469C">
        <w:rPr>
          <w:color w:val="000000" w:themeColor="text1"/>
          <w:szCs w:val="24"/>
        </w:rPr>
        <w:t>Hee</w:t>
      </w:r>
      <w:proofErr w:type="spellEnd"/>
      <w:r w:rsidRPr="00F4469C">
        <w:rPr>
          <w:color w:val="000000" w:themeColor="text1"/>
          <w:szCs w:val="24"/>
        </w:rPr>
        <w:t xml:space="preserve"> Rim, PhD</w:t>
      </w:r>
      <w:r w:rsidRPr="00F4469C">
        <w:rPr>
          <w:color w:val="000000" w:themeColor="text1"/>
          <w:szCs w:val="24"/>
          <w:vertAlign w:val="superscript"/>
        </w:rPr>
        <w:t>1</w:t>
      </w:r>
      <w:r w:rsidRPr="00F4469C">
        <w:rPr>
          <w:b/>
          <w:color w:val="000000" w:themeColor="text1"/>
          <w:szCs w:val="24"/>
          <w:vertAlign w:val="superscript"/>
        </w:rPr>
        <w:t>*</w:t>
      </w:r>
      <w:r>
        <w:rPr>
          <w:b/>
          <w:color w:val="000000" w:themeColor="text1"/>
          <w:szCs w:val="24"/>
        </w:rPr>
        <w:t xml:space="preserve">, </w:t>
      </w:r>
      <w:r w:rsidRPr="00F4469C">
        <w:rPr>
          <w:color w:val="000000" w:themeColor="text1"/>
          <w:szCs w:val="24"/>
        </w:rPr>
        <w:t>Benjamin T. Allaire, M</w:t>
      </w:r>
      <w:r>
        <w:rPr>
          <w:color w:val="000000" w:themeColor="text1"/>
          <w:szCs w:val="24"/>
        </w:rPr>
        <w:t>S</w:t>
      </w:r>
      <w:r w:rsidRPr="00F4469C">
        <w:rPr>
          <w:color w:val="000000" w:themeColor="text1"/>
          <w:szCs w:val="24"/>
          <w:vertAlign w:val="superscript"/>
        </w:rPr>
        <w:t>2</w:t>
      </w:r>
      <w:r>
        <w:rPr>
          <w:color w:val="000000" w:themeColor="text1"/>
          <w:szCs w:val="24"/>
        </w:rPr>
        <w:t xml:space="preserve">, </w:t>
      </w:r>
      <w:r w:rsidRPr="00F4469C">
        <w:rPr>
          <w:color w:val="000000" w:themeColor="text1"/>
          <w:szCs w:val="24"/>
        </w:rPr>
        <w:t>Donatus U. Ekwueme, PhD</w:t>
      </w:r>
      <w:r w:rsidRPr="00F4469C">
        <w:rPr>
          <w:color w:val="000000" w:themeColor="text1"/>
          <w:szCs w:val="24"/>
          <w:vertAlign w:val="superscript"/>
        </w:rPr>
        <w:t>1</w:t>
      </w:r>
      <w:r>
        <w:rPr>
          <w:color w:val="000000" w:themeColor="text1"/>
          <w:szCs w:val="24"/>
        </w:rPr>
        <w:t xml:space="preserve">, </w:t>
      </w:r>
      <w:r w:rsidRPr="00F4469C">
        <w:rPr>
          <w:color w:val="000000" w:themeColor="text1"/>
          <w:szCs w:val="24"/>
        </w:rPr>
        <w:t>Jacqueline W. Miller, MD</w:t>
      </w:r>
      <w:r w:rsidRPr="00F4469C">
        <w:rPr>
          <w:b/>
          <w:color w:val="000000" w:themeColor="text1"/>
          <w:szCs w:val="24"/>
          <w:vertAlign w:val="superscript"/>
        </w:rPr>
        <w:t>1</w:t>
      </w:r>
      <w:r>
        <w:rPr>
          <w:b/>
          <w:color w:val="000000" w:themeColor="text1"/>
          <w:szCs w:val="24"/>
        </w:rPr>
        <w:t xml:space="preserve">, </w:t>
      </w:r>
      <w:r w:rsidRPr="00F4469C">
        <w:rPr>
          <w:color w:val="000000" w:themeColor="text1"/>
          <w:szCs w:val="24"/>
        </w:rPr>
        <w:t>Sujha Subramanian, PhD</w:t>
      </w:r>
      <w:r w:rsidRPr="00F4469C">
        <w:rPr>
          <w:color w:val="000000" w:themeColor="text1"/>
          <w:szCs w:val="24"/>
          <w:vertAlign w:val="superscript"/>
        </w:rPr>
        <w:t>2</w:t>
      </w:r>
      <w:r>
        <w:rPr>
          <w:color w:val="000000" w:themeColor="text1"/>
          <w:szCs w:val="24"/>
        </w:rPr>
        <w:t xml:space="preserve">, </w:t>
      </w:r>
      <w:r w:rsidRPr="00F4469C">
        <w:rPr>
          <w:color w:val="000000" w:themeColor="text1"/>
          <w:szCs w:val="24"/>
        </w:rPr>
        <w:t>Ingrid J. Hall, PhD</w:t>
      </w:r>
      <w:r w:rsidRPr="00F4469C">
        <w:rPr>
          <w:color w:val="000000" w:themeColor="text1"/>
          <w:szCs w:val="24"/>
          <w:vertAlign w:val="superscript"/>
        </w:rPr>
        <w:t>1</w:t>
      </w:r>
      <w:r>
        <w:rPr>
          <w:color w:val="000000" w:themeColor="text1"/>
          <w:szCs w:val="24"/>
        </w:rPr>
        <w:t xml:space="preserve">, </w:t>
      </w:r>
      <w:r w:rsidRPr="00F4469C">
        <w:rPr>
          <w:color w:val="000000" w:themeColor="text1"/>
          <w:szCs w:val="24"/>
        </w:rPr>
        <w:t>Thomas J. Hoerger, PhD</w:t>
      </w:r>
      <w:r w:rsidRPr="00F4469C">
        <w:rPr>
          <w:color w:val="000000" w:themeColor="text1"/>
          <w:szCs w:val="24"/>
          <w:vertAlign w:val="superscript"/>
        </w:rPr>
        <w:t>2</w:t>
      </w:r>
    </w:p>
    <w:p w:rsidR="00D13132" w:rsidRDefault="00D13132" w:rsidP="00D13132">
      <w:pPr>
        <w:spacing w:line="360" w:lineRule="auto"/>
        <w:jc w:val="center"/>
        <w:rPr>
          <w:szCs w:val="24"/>
        </w:rPr>
      </w:pPr>
    </w:p>
    <w:p w:rsidR="00D13132" w:rsidRPr="00433FAD" w:rsidRDefault="00D13132" w:rsidP="00D13132">
      <w:pPr>
        <w:rPr>
          <w:b/>
          <w:szCs w:val="24"/>
        </w:rPr>
      </w:pPr>
      <w:r w:rsidRPr="00433FAD">
        <w:rPr>
          <w:b/>
          <w:szCs w:val="24"/>
        </w:rPr>
        <w:t xml:space="preserve">Author’s Affiliation </w:t>
      </w:r>
    </w:p>
    <w:p w:rsidR="00D13132" w:rsidRPr="00433FAD" w:rsidRDefault="00D13132" w:rsidP="00D13132">
      <w:pPr>
        <w:rPr>
          <w:szCs w:val="24"/>
        </w:rPr>
      </w:pPr>
      <w:r w:rsidRPr="00433FAD">
        <w:rPr>
          <w:szCs w:val="24"/>
          <w:vertAlign w:val="superscript"/>
        </w:rPr>
        <w:t>1</w:t>
      </w:r>
      <w:r w:rsidRPr="00433FAD">
        <w:rPr>
          <w:szCs w:val="24"/>
        </w:rPr>
        <w:t>Division of Cancer Prevention and Control, National Center for Chronic Disease Prevention and Health Promotion, Centers for Disease Control and Prevention, Atlanta, Georgia, USA</w:t>
      </w:r>
    </w:p>
    <w:p w:rsidR="00D13132" w:rsidRDefault="00D13132" w:rsidP="00D13132">
      <w:pPr>
        <w:rPr>
          <w:szCs w:val="24"/>
        </w:rPr>
      </w:pPr>
      <w:r w:rsidRPr="00433FAD">
        <w:rPr>
          <w:szCs w:val="24"/>
          <w:vertAlign w:val="superscript"/>
        </w:rPr>
        <w:t>2</w:t>
      </w:r>
      <w:r w:rsidRPr="00433FAD">
        <w:rPr>
          <w:szCs w:val="24"/>
        </w:rPr>
        <w:t xml:space="preserve">RTI International, Research Triangle Park, NC, USA </w:t>
      </w:r>
    </w:p>
    <w:p w:rsidR="00D13132" w:rsidRDefault="00D13132" w:rsidP="00D13132">
      <w:pPr>
        <w:spacing w:line="360" w:lineRule="auto"/>
        <w:rPr>
          <w:szCs w:val="24"/>
        </w:rPr>
      </w:pPr>
    </w:p>
    <w:p w:rsidR="00D13132" w:rsidRPr="00376E2F" w:rsidRDefault="00D13132" w:rsidP="00D13132">
      <w:pPr>
        <w:rPr>
          <w:szCs w:val="24"/>
        </w:rPr>
      </w:pPr>
      <w:r w:rsidRPr="00376E2F">
        <w:rPr>
          <w:b/>
          <w:color w:val="000000"/>
          <w:szCs w:val="24"/>
        </w:rPr>
        <w:t xml:space="preserve">*Corresponding author: </w:t>
      </w:r>
      <w:r>
        <w:rPr>
          <w:color w:val="000000" w:themeColor="text1"/>
          <w:szCs w:val="24"/>
        </w:rPr>
        <w:t xml:space="preserve">Sun </w:t>
      </w:r>
      <w:proofErr w:type="spellStart"/>
      <w:r>
        <w:rPr>
          <w:color w:val="000000" w:themeColor="text1"/>
          <w:szCs w:val="24"/>
        </w:rPr>
        <w:t>Hee</w:t>
      </w:r>
      <w:proofErr w:type="spellEnd"/>
      <w:r>
        <w:rPr>
          <w:color w:val="000000" w:themeColor="text1"/>
          <w:szCs w:val="24"/>
        </w:rPr>
        <w:t xml:space="preserve"> Rim, PhD, MPH</w:t>
      </w:r>
      <w:r w:rsidRPr="00376E2F">
        <w:rPr>
          <w:szCs w:val="24"/>
        </w:rPr>
        <w:t xml:space="preserve">, </w:t>
      </w:r>
      <w:proofErr w:type="gramStart"/>
      <w:r w:rsidRPr="00376E2F">
        <w:rPr>
          <w:szCs w:val="24"/>
        </w:rPr>
        <w:t>E</w:t>
      </w:r>
      <w:proofErr w:type="gramEnd"/>
      <w:r w:rsidRPr="00376E2F">
        <w:rPr>
          <w:szCs w:val="24"/>
        </w:rPr>
        <w:t xml:space="preserve">-mail: </w:t>
      </w:r>
      <w:r>
        <w:rPr>
          <w:szCs w:val="24"/>
        </w:rPr>
        <w:t>srim</w:t>
      </w:r>
      <w:r w:rsidRPr="00376E2F">
        <w:rPr>
          <w:szCs w:val="24"/>
        </w:rPr>
        <w:t>@cdc.gov</w:t>
      </w:r>
    </w:p>
    <w:p w:rsidR="00D13132" w:rsidRDefault="00D13132" w:rsidP="0077026E">
      <w:pPr>
        <w:pStyle w:val="Heading1"/>
      </w:pPr>
    </w:p>
    <w:p w:rsidR="0077026E" w:rsidRPr="008B00E6" w:rsidRDefault="0077026E" w:rsidP="0077026E">
      <w:pPr>
        <w:pStyle w:val="Heading1"/>
      </w:pPr>
      <w:r w:rsidRPr="008B00E6">
        <w:t>Technical Appendix</w:t>
      </w:r>
      <w:r>
        <w:t xml:space="preserve"> </w:t>
      </w:r>
    </w:p>
    <w:p w:rsidR="0077026E" w:rsidRPr="00891E12" w:rsidRDefault="0077026E" w:rsidP="0077026E"/>
    <w:p w:rsidR="0077026E" w:rsidRPr="008B00E6" w:rsidRDefault="0077026E" w:rsidP="0077026E">
      <w:pPr>
        <w:pStyle w:val="Heading2"/>
      </w:pPr>
      <w:r w:rsidRPr="008B00E6">
        <w:t>Screening and Diagnostic Costs</w:t>
      </w:r>
    </w:p>
    <w:p w:rsidR="0077026E" w:rsidRPr="008B00E6" w:rsidRDefault="004E5905" w:rsidP="0077026E">
      <w:pPr>
        <w:pStyle w:val="BodyText1"/>
      </w:pPr>
      <w:r>
        <w:t>The t</w:t>
      </w:r>
      <w:r w:rsidR="0077026E" w:rsidRPr="008B00E6">
        <w:t xml:space="preserve">otal costs and the number of women screened </w:t>
      </w:r>
      <w:proofErr w:type="gramStart"/>
      <w:r w:rsidR="0077026E" w:rsidRPr="008B00E6">
        <w:t>were averaged</w:t>
      </w:r>
      <w:proofErr w:type="gramEnd"/>
      <w:r w:rsidR="0077026E" w:rsidRPr="008B00E6">
        <w:t xml:space="preserve"> over the </w:t>
      </w:r>
      <w:r w:rsidR="0077026E">
        <w:t>3</w:t>
      </w:r>
      <w:r w:rsidR="0077026E" w:rsidRPr="008B00E6">
        <w:t xml:space="preserve"> years of CAT data collection to minimize</w:t>
      </w:r>
      <w:r w:rsidR="00B851B1">
        <w:t xml:space="preserve"> the </w:t>
      </w:r>
      <w:r w:rsidR="0048535C">
        <w:t>effect of yearly variation (Ekwueme et al).</w:t>
      </w:r>
      <w:r w:rsidR="00B851B1">
        <w:t xml:space="preserve"> </w:t>
      </w:r>
      <w:r w:rsidRPr="008B00E6">
        <w:t xml:space="preserve">We excluded clinical costs for women who </w:t>
      </w:r>
      <w:proofErr w:type="gramStart"/>
      <w:r w:rsidRPr="008B00E6">
        <w:t>were served</w:t>
      </w:r>
      <w:proofErr w:type="gramEnd"/>
      <w:r w:rsidRPr="008B00E6">
        <w:t xml:space="preserve"> by the NBCCEDP but received their screening mammogram elsewhere because of difficulties associated with modeling outcomes for these women. </w:t>
      </w:r>
      <w:r w:rsidR="0077026E" w:rsidRPr="008B00E6">
        <w:t xml:space="preserve">After making these adjustments, we obtained an adjusted average cost per woman screened by dividing total cost by the number of women screened. </w:t>
      </w:r>
      <w:r w:rsidR="00EE77DA">
        <w:t>We adjusted c</w:t>
      </w:r>
      <w:r w:rsidR="0077026E" w:rsidRPr="008B00E6">
        <w:t>osts within each program year to real dollars using the Consumer Price Index</w:t>
      </w:r>
      <w:r w:rsidR="00EE77DA">
        <w:t xml:space="preserve"> (</w:t>
      </w:r>
      <w:r w:rsidR="00EE77DA" w:rsidRPr="008B00E6">
        <w:t xml:space="preserve">in </w:t>
      </w:r>
      <w:r w:rsidR="00EE77DA" w:rsidRPr="006014C6">
        <w:t>201</w:t>
      </w:r>
      <w:r w:rsidR="007E0F65" w:rsidRPr="006014C6">
        <w:t>8</w:t>
      </w:r>
      <w:r w:rsidR="00EE77DA" w:rsidRPr="008B00E6">
        <w:t xml:space="preserve"> U</w:t>
      </w:r>
      <w:r w:rsidR="00EE77DA">
        <w:t>.</w:t>
      </w:r>
      <w:r w:rsidR="00EE77DA" w:rsidRPr="008B00E6">
        <w:t>S dollars</w:t>
      </w:r>
      <w:r w:rsidR="00EE77DA">
        <w:t>)</w:t>
      </w:r>
      <w:r w:rsidR="0077026E" w:rsidRPr="008B00E6">
        <w:t xml:space="preserve">. </w:t>
      </w:r>
      <w:r w:rsidR="00EE77DA">
        <w:t>We omitted data from t</w:t>
      </w:r>
      <w:r w:rsidR="0077026E" w:rsidRPr="008B00E6">
        <w:t>ribes, territories</w:t>
      </w:r>
      <w:r w:rsidR="0077026E">
        <w:t>,</w:t>
      </w:r>
      <w:r w:rsidR="0077026E" w:rsidRPr="008B00E6">
        <w:t xml:space="preserve"> and programs with poor quality data from the calculations. In addition, we excluded values for one outlier state that had costs that significantly increased the average costs across states. This state had relatively few screenings.</w:t>
      </w:r>
    </w:p>
    <w:p w:rsidR="0077026E" w:rsidRDefault="0077026E" w:rsidP="0077026E">
      <w:pPr>
        <w:pStyle w:val="BodyText1"/>
      </w:pPr>
      <w:r w:rsidRPr="008B00E6">
        <w:t>The cost estimates include</w:t>
      </w:r>
      <w:r w:rsidR="00C75EF8">
        <w:t>d</w:t>
      </w:r>
      <w:r w:rsidRPr="008B00E6">
        <w:t xml:space="preserve"> costs associated with breast cancer screening and program delivery. Because the NBCCEDP costs also reflect costs associated with cervical cancer screening, we adjusted total costs to reflect only those attributable to breast cancer screening. </w:t>
      </w:r>
      <w:r>
        <w:lastRenderedPageBreak/>
        <w:t xml:space="preserve">After adjusting for the number of women who only receive breast cancer diagnostic testing (i.e., those who enter the program because they have symptoms of potential breast cancer), we estimated that the screening cost </w:t>
      </w:r>
      <w:r w:rsidRPr="006014C6">
        <w:t>was $</w:t>
      </w:r>
      <w:r w:rsidR="007E0F65" w:rsidRPr="006014C6">
        <w:t>296.97</w:t>
      </w:r>
      <w:r w:rsidRPr="006014C6">
        <w:t xml:space="preserve"> (Table</w:t>
      </w:r>
      <w:r>
        <w:t xml:space="preserve"> A1). </w:t>
      </w:r>
    </w:p>
    <w:p w:rsidR="0077026E" w:rsidRDefault="0077026E" w:rsidP="0077026E">
      <w:pPr>
        <w:pStyle w:val="BodyText1"/>
      </w:pPr>
    </w:p>
    <w:p w:rsidR="0077026E" w:rsidRPr="0023676E" w:rsidRDefault="0077026E" w:rsidP="0077026E">
      <w:pPr>
        <w:keepNext/>
        <w:keepLines/>
        <w:spacing w:line="480" w:lineRule="auto"/>
        <w:rPr>
          <w:b/>
        </w:rPr>
      </w:pPr>
      <w:r w:rsidRPr="0023676E">
        <w:rPr>
          <w:b/>
        </w:rPr>
        <w:t>Table A1. Screening and Program Costs</w:t>
      </w:r>
    </w:p>
    <w:tbl>
      <w:tblPr>
        <w:tblW w:w="9382" w:type="dxa"/>
        <w:tblInd w:w="93"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5242"/>
        <w:gridCol w:w="4140"/>
      </w:tblGrid>
      <w:tr w:rsidR="0077026E" w:rsidRPr="0023676E" w:rsidTr="00246484">
        <w:trPr>
          <w:cantSplit/>
        </w:trPr>
        <w:tc>
          <w:tcPr>
            <w:tcW w:w="9382" w:type="dxa"/>
            <w:gridSpan w:val="2"/>
            <w:tcBorders>
              <w:top w:val="single" w:sz="12" w:space="0" w:color="auto"/>
              <w:bottom w:val="single" w:sz="6" w:space="0" w:color="auto"/>
            </w:tcBorders>
            <w:shd w:val="clear" w:color="auto" w:fill="auto"/>
            <w:noWrap/>
            <w:hideMark/>
          </w:tcPr>
          <w:p w:rsidR="0077026E" w:rsidRPr="0023676E" w:rsidRDefault="0077026E" w:rsidP="00246484">
            <w:pPr>
              <w:keepNext/>
              <w:spacing w:before="120" w:after="120"/>
              <w:jc w:val="center"/>
              <w:rPr>
                <w:b/>
              </w:rPr>
            </w:pPr>
            <w:r w:rsidRPr="0023676E">
              <w:rPr>
                <w:b/>
              </w:rPr>
              <w:t>Adjusted Average Cost Per Woman Screened</w:t>
            </w:r>
          </w:p>
        </w:tc>
      </w:tr>
      <w:tr w:rsidR="0077026E" w:rsidRPr="006014C6" w:rsidTr="00246484">
        <w:trPr>
          <w:cantSplit/>
        </w:trPr>
        <w:tc>
          <w:tcPr>
            <w:tcW w:w="5242" w:type="dxa"/>
            <w:tcBorders>
              <w:top w:val="single" w:sz="6" w:space="0" w:color="auto"/>
            </w:tcBorders>
            <w:shd w:val="clear" w:color="auto" w:fill="auto"/>
            <w:noWrap/>
            <w:hideMark/>
          </w:tcPr>
          <w:p w:rsidR="0077026E" w:rsidRPr="006014C6" w:rsidRDefault="0077026E" w:rsidP="00246484">
            <w:pPr>
              <w:keepNext/>
              <w:spacing w:before="120" w:after="120"/>
            </w:pPr>
            <w:r w:rsidRPr="006014C6">
              <w:t>Main Analysis</w:t>
            </w:r>
          </w:p>
        </w:tc>
        <w:tc>
          <w:tcPr>
            <w:tcW w:w="4140" w:type="dxa"/>
            <w:tcBorders>
              <w:top w:val="single" w:sz="6" w:space="0" w:color="auto"/>
            </w:tcBorders>
            <w:shd w:val="clear" w:color="auto" w:fill="auto"/>
            <w:noWrap/>
            <w:hideMark/>
          </w:tcPr>
          <w:p w:rsidR="0077026E" w:rsidRPr="006014C6" w:rsidRDefault="0077026E" w:rsidP="00246484">
            <w:pPr>
              <w:keepNext/>
              <w:spacing w:before="120" w:after="120"/>
              <w:jc w:val="center"/>
            </w:pPr>
            <w:r w:rsidRPr="006014C6">
              <w:t>$</w:t>
            </w:r>
            <w:r w:rsidR="007E0F65" w:rsidRPr="006014C6">
              <w:t>296.97</w:t>
            </w:r>
          </w:p>
        </w:tc>
      </w:tr>
      <w:tr w:rsidR="0077026E" w:rsidRPr="0023676E" w:rsidTr="00246484">
        <w:trPr>
          <w:cantSplit/>
        </w:trPr>
        <w:tc>
          <w:tcPr>
            <w:tcW w:w="5242" w:type="dxa"/>
            <w:shd w:val="clear" w:color="auto" w:fill="auto"/>
            <w:noWrap/>
            <w:hideMark/>
          </w:tcPr>
          <w:p w:rsidR="0077026E" w:rsidRPr="006014C6" w:rsidRDefault="0077026E" w:rsidP="00246484">
            <w:pPr>
              <w:keepNext/>
              <w:spacing w:before="120" w:after="120"/>
            </w:pPr>
            <w:r w:rsidRPr="006014C6">
              <w:t>Sensitivity Analysis (25th, 75th percentiles)</w:t>
            </w:r>
          </w:p>
        </w:tc>
        <w:tc>
          <w:tcPr>
            <w:tcW w:w="4140" w:type="dxa"/>
            <w:shd w:val="clear" w:color="auto" w:fill="auto"/>
            <w:noWrap/>
            <w:hideMark/>
          </w:tcPr>
          <w:p w:rsidR="0077026E" w:rsidRPr="006014C6" w:rsidRDefault="0077026E" w:rsidP="00246484">
            <w:pPr>
              <w:keepNext/>
              <w:spacing w:before="120" w:after="120"/>
              <w:jc w:val="center"/>
            </w:pPr>
            <w:r w:rsidRPr="006014C6">
              <w:t>$($</w:t>
            </w:r>
            <w:r w:rsidR="007E0F65" w:rsidRPr="006014C6">
              <w:t>257.64</w:t>
            </w:r>
            <w:r w:rsidRPr="006014C6">
              <w:t>, $</w:t>
            </w:r>
            <w:r w:rsidR="007E0F65" w:rsidRPr="006014C6">
              <w:t>517.13</w:t>
            </w:r>
            <w:r w:rsidRPr="006014C6">
              <w:t>)</w:t>
            </w:r>
          </w:p>
        </w:tc>
      </w:tr>
    </w:tbl>
    <w:p w:rsidR="0077026E" w:rsidRPr="0023676E" w:rsidRDefault="0077026E" w:rsidP="0077026E">
      <w:pPr>
        <w:keepLines/>
        <w:spacing w:before="120" w:line="480" w:lineRule="auto"/>
        <w:ind w:left="187" w:hanging="187"/>
        <w:rPr>
          <w:sz w:val="20"/>
        </w:rPr>
      </w:pPr>
    </w:p>
    <w:p w:rsidR="0077026E" w:rsidRPr="008B00E6" w:rsidRDefault="0077026E" w:rsidP="0077026E">
      <w:pPr>
        <w:pStyle w:val="BodyText1"/>
      </w:pPr>
      <w:r w:rsidRPr="008B00E6">
        <w:rPr>
          <w:b/>
        </w:rPr>
        <w:t xml:space="preserve">Cost of Diagnostic Follow-up. </w:t>
      </w:r>
      <w:r w:rsidRPr="008B00E6">
        <w:t xml:space="preserve">Excluding clinical costs associated with women who were not initially </w:t>
      </w:r>
      <w:r w:rsidR="00C60903">
        <w:t>screened by the NBCCEDP required</w:t>
      </w:r>
      <w:r w:rsidRPr="008B00E6">
        <w:t xml:space="preserve"> estimating the average clinical cost of diagnostic follow-up. The met</w:t>
      </w:r>
      <w:r w:rsidR="00C60903">
        <w:t xml:space="preserve">hods used to obtain this value </w:t>
      </w:r>
      <w:proofErr w:type="gramStart"/>
      <w:r w:rsidR="00C60903">
        <w:t>we</w:t>
      </w:r>
      <w:r w:rsidRPr="008B00E6">
        <w:t xml:space="preserve">re </w:t>
      </w:r>
      <w:r w:rsidR="00A233BC">
        <w:t>based</w:t>
      </w:r>
      <w:proofErr w:type="gramEnd"/>
      <w:r w:rsidR="00A233BC">
        <w:t xml:space="preserve"> on </w:t>
      </w:r>
      <w:r w:rsidR="0048535C">
        <w:t xml:space="preserve">Ekwueme et al </w:t>
      </w:r>
      <w:r w:rsidR="00A233BC">
        <w:t xml:space="preserve">(personal communication). </w:t>
      </w:r>
      <w:r w:rsidR="00C60903">
        <w:t xml:space="preserve"> This involved</w:t>
      </w:r>
      <w:r w:rsidRPr="008B00E6">
        <w:t xml:space="preserve"> estimating the average cost associated with office visits and the average cost of diagnostic follow-up procedures.</w:t>
      </w:r>
    </w:p>
    <w:p w:rsidR="0077026E" w:rsidRPr="008B00E6" w:rsidRDefault="0077026E" w:rsidP="0077026E">
      <w:pPr>
        <w:pStyle w:val="BodyText1"/>
      </w:pPr>
      <w:r w:rsidRPr="008B00E6">
        <w:t xml:space="preserve">Using </w:t>
      </w:r>
      <w:r>
        <w:t xml:space="preserve">CAT </w:t>
      </w:r>
      <w:r w:rsidRPr="008B00E6">
        <w:t>data, we calculated the total cost of office visits for all patients. Because the number of office visits was not collected in the CAT, we estimated the total number of office visits by assuming that each screening and diagnostic follow-up case is associated with one office visit each. The</w:t>
      </w:r>
      <w:r>
        <w:t xml:space="preserve"> NBCCEDP Minimum Data Elements</w:t>
      </w:r>
      <w:r w:rsidRPr="008B00E6">
        <w:t xml:space="preserve"> </w:t>
      </w:r>
      <w:r>
        <w:t>(</w:t>
      </w:r>
      <w:r w:rsidRPr="008B00E6">
        <w:t>MDE</w:t>
      </w:r>
      <w:r>
        <w:t>)</w:t>
      </w:r>
      <w:r w:rsidRPr="008B00E6">
        <w:t xml:space="preserve"> report the number of women screened and the number of diagnostic follow-ups conducted by each program using federal funds. For women served using</w:t>
      </w:r>
      <w:r w:rsidR="00C60903">
        <w:t xml:space="preserve"> non-federal funds, the CAT does</w:t>
      </w:r>
      <w:r w:rsidRPr="008B00E6">
        <w:t xml:space="preserve"> not explicitly collect the number of women screened who required diagnostic follow-up. Thus, we assumed that women screened using non-federal funds undergo diagnostic follow-up at the same rate as women who are screened with federal funds. Using this assumption, we calculated the total number of women </w:t>
      </w:r>
      <w:r w:rsidRPr="008B00E6">
        <w:lastRenderedPageBreak/>
        <w:t>receiving diagnostic follow-up with non-federal funds, and subsequently the total number of office visits associated with either screening or diagnostic follow-up from any funding source. By dividing the total cost of office visits by this value, we obtained the average cost of an office visit in the NBCCEDP.</w:t>
      </w:r>
    </w:p>
    <w:p w:rsidR="0077026E" w:rsidRPr="008B00E6" w:rsidRDefault="0077026E" w:rsidP="0077026E">
      <w:pPr>
        <w:pStyle w:val="BodyText1"/>
      </w:pPr>
      <w:r w:rsidRPr="008B00E6">
        <w:t>The average cost of diagnostic f</w:t>
      </w:r>
      <w:r w:rsidR="00280364">
        <w:t>ollow-up in the NBCCEDP included</w:t>
      </w:r>
      <w:r w:rsidRPr="008B00E6">
        <w:t xml:space="preserve"> both procedural costs and the cost of office visits. We obtained the total cost of diagnostic procedures by summing the total cost of each individual diagnostic procedure reported in the CAT. The total number of women receiving diagnostic follow-up is equal to the number of women receiving diagnostic follow-up with federal funds from the MDE and the number of women estimated to have received diagnostic follow-up with non-federal funds from the CAT, as described earlier. Dividing the total cost of diagnostic follow-up procedures by the total number of women receiving diagnostic follow-up gives the average procedural cost of diagnostic follow-up. Adding the average cost of an office visit to this value yields the average clinical cost of diagnostic follow-up in the NBCCEDP.</w:t>
      </w:r>
    </w:p>
    <w:p w:rsidR="0077026E" w:rsidRPr="008B00E6" w:rsidRDefault="0077026E" w:rsidP="00280364">
      <w:pPr>
        <w:pStyle w:val="BodyText1"/>
        <w:ind w:firstLine="0"/>
      </w:pPr>
      <w:r w:rsidRPr="008B00E6">
        <w:rPr>
          <w:b/>
        </w:rPr>
        <w:t xml:space="preserve">Sensitivity Analysis. </w:t>
      </w:r>
      <w:r w:rsidRPr="00252776">
        <w:t xml:space="preserve">For </w:t>
      </w:r>
      <w:r>
        <w:t xml:space="preserve">screening </w:t>
      </w:r>
      <w:r w:rsidRPr="006014C6">
        <w:t>costs in the one-way sensitivity analyses, we used the 25th and 75th percentile costs from the CAT ($</w:t>
      </w:r>
      <w:r w:rsidR="007E0F65" w:rsidRPr="006014C6">
        <w:t>257.64</w:t>
      </w:r>
      <w:r w:rsidRPr="006014C6">
        <w:t xml:space="preserve"> and $</w:t>
      </w:r>
      <w:r w:rsidR="007E0F65" w:rsidRPr="006014C6">
        <w:t>517.13</w:t>
      </w:r>
      <w:r w:rsidRPr="006014C6">
        <w:t>).</w:t>
      </w:r>
      <w:r w:rsidRPr="00CB395E" w:rsidDel="00CB395E">
        <w:t xml:space="preserve"> </w:t>
      </w:r>
    </w:p>
    <w:p w:rsidR="0077026E" w:rsidRPr="00713CB0" w:rsidRDefault="0077026E" w:rsidP="0077026E">
      <w:pPr>
        <w:pStyle w:val="Heading2"/>
      </w:pPr>
      <w:r w:rsidRPr="00713CB0">
        <w:t>Treatment Costs</w:t>
      </w:r>
    </w:p>
    <w:p w:rsidR="0077026E" w:rsidRPr="008B00E6" w:rsidRDefault="0077026E" w:rsidP="0077026E">
      <w:pPr>
        <w:pStyle w:val="BodyText1"/>
      </w:pPr>
      <w:r w:rsidRPr="008B00E6">
        <w:t xml:space="preserve">We derived the cost of breast cancer treatment (Table A2) from three separate sources. </w:t>
      </w:r>
      <w:proofErr w:type="gramStart"/>
      <w:r w:rsidRPr="008B00E6">
        <w:t>Our baseline treatment costs were taken f</w:t>
      </w:r>
      <w:r w:rsidR="00B851B1">
        <w:t>ro</w:t>
      </w:r>
      <w:r w:rsidR="0048535C">
        <w:t xml:space="preserve">m a study by </w:t>
      </w:r>
      <w:proofErr w:type="spellStart"/>
      <w:r w:rsidR="0048535C">
        <w:t>Mariotto</w:t>
      </w:r>
      <w:proofErr w:type="spellEnd"/>
      <w:r w:rsidR="0048535C">
        <w:t xml:space="preserve"> et al</w:t>
      </w:r>
      <w:proofErr w:type="gramEnd"/>
      <w:r w:rsidR="0048535C">
        <w:t xml:space="preserve">. </w:t>
      </w:r>
      <w:r w:rsidRPr="008B00E6">
        <w:t xml:space="preserve"> This study estimates the total cost of cancer care in the United States from a health</w:t>
      </w:r>
      <w:r>
        <w:t xml:space="preserve"> </w:t>
      </w:r>
      <w:r w:rsidRPr="008B00E6">
        <w:t>care perspective. Attributable costs for breast cancer treatments were calculated using Medicare claims data from 1975–2005 as well as incidence and survival data from the SEER program</w:t>
      </w:r>
      <w:r>
        <w:t xml:space="preserve"> (Table A2a)</w:t>
      </w:r>
      <w:r w:rsidRPr="008B00E6">
        <w:t xml:space="preserve">. The average cost of breast cancer treatment was divided into annualized initial, </w:t>
      </w:r>
      <w:r w:rsidRPr="008B00E6">
        <w:lastRenderedPageBreak/>
        <w:t xml:space="preserve">continuing and last year of life phases (survival time is allocated sequentially to the last year of life, then the initial phase, with the remaining survival time assigned to the continuing phase). This </w:t>
      </w:r>
      <w:proofErr w:type="gramStart"/>
      <w:r w:rsidRPr="008B00E6">
        <w:t>study derived</w:t>
      </w:r>
      <w:proofErr w:type="gramEnd"/>
      <w:r w:rsidRPr="008B00E6">
        <w:t xml:space="preserve"> adjustment f</w:t>
      </w:r>
      <w:r w:rsidR="00A372A8">
        <w:t>actors using Firem</w:t>
      </w:r>
      <w:r w:rsidR="0048535C">
        <w:t>an et al</w:t>
      </w:r>
      <w:r w:rsidR="00A372A8">
        <w:t xml:space="preserve"> </w:t>
      </w:r>
      <w:r w:rsidRPr="008B00E6">
        <w:t>in order to estimate the cost of care for younger women under the age of 65. This study has the benefit of well-defined time frames and a nationally representative sample population. However, it does not stratify costs by disease severity at diagnosis.</w:t>
      </w:r>
    </w:p>
    <w:p w:rsidR="0077026E" w:rsidRPr="008B00E6" w:rsidRDefault="0077026E" w:rsidP="0077026E">
      <w:pPr>
        <w:pStyle w:val="BodyText1"/>
      </w:pPr>
      <w:r w:rsidRPr="008B00E6">
        <w:t>To address this issue</w:t>
      </w:r>
      <w:r>
        <w:t xml:space="preserve"> (Table A2b)</w:t>
      </w:r>
      <w:r w:rsidRPr="008B00E6">
        <w:t>, we estimated the cost of local, regional and distant disease using ratios o</w:t>
      </w:r>
      <w:r w:rsidR="0048535C">
        <w:t xml:space="preserve">btained from Fireman et al. </w:t>
      </w:r>
      <w:r w:rsidRPr="008B00E6">
        <w:t xml:space="preserve">First, we calculated the annual attributable cost of initial, continuing and </w:t>
      </w:r>
      <w:proofErr w:type="gramStart"/>
      <w:r w:rsidRPr="008B00E6">
        <w:t>terminal breast cancer treatment</w:t>
      </w:r>
      <w:proofErr w:type="gramEnd"/>
      <w:r w:rsidRPr="008B00E6">
        <w:t xml:space="preserve"> using the results reported in this study. Then we obtained the ratio of treatment costs for local, regional and distant disease relative to the all-stage average for each treatment phase. We applied these ratios to the costs </w:t>
      </w:r>
      <w:r w:rsidR="0048535C">
        <w:t xml:space="preserve">reported in </w:t>
      </w:r>
      <w:proofErr w:type="spellStart"/>
      <w:r w:rsidR="0048535C">
        <w:t>Mariotto</w:t>
      </w:r>
      <w:proofErr w:type="spellEnd"/>
      <w:r w:rsidR="0048535C">
        <w:t xml:space="preserve"> et al</w:t>
      </w:r>
      <w:r w:rsidR="00A372A8">
        <w:t xml:space="preserve"> </w:t>
      </w:r>
      <w:r w:rsidRPr="008B00E6">
        <w:t>to estimate the cost of each phase of breast cancer treatment stratified by disease severity at diagnosis.</w:t>
      </w:r>
    </w:p>
    <w:p w:rsidR="0077026E" w:rsidRDefault="0077026E" w:rsidP="0077026E">
      <w:pPr>
        <w:pStyle w:val="tabfigtitle"/>
      </w:pPr>
      <w:r w:rsidRPr="008B00E6">
        <w:t>Table A2. Calculat</w:t>
      </w:r>
      <w:r>
        <w:t>ion of Breast Cancer Treatment Costs</w:t>
      </w:r>
    </w:p>
    <w:p w:rsidR="0077026E" w:rsidRPr="008B00E6" w:rsidRDefault="0077026E" w:rsidP="0077026E">
      <w:pPr>
        <w:pStyle w:val="tabfigtitle"/>
        <w:spacing w:line="240" w:lineRule="auto"/>
      </w:pPr>
      <w:r w:rsidRPr="00175222">
        <w:t>Table A2a. Attributable Annual Treatment Costs for Breast Cancer, Age &lt;65, Medi</w:t>
      </w:r>
      <w:r w:rsidR="00A372A8">
        <w:t xml:space="preserve">care from </w:t>
      </w:r>
      <w:proofErr w:type="spellStart"/>
      <w:r w:rsidR="00A372A8">
        <w:t>Mar</w:t>
      </w:r>
      <w:r w:rsidR="0048535C">
        <w:t>iotto</w:t>
      </w:r>
      <w:proofErr w:type="spellEnd"/>
      <w:r w:rsidR="0048535C">
        <w:t xml:space="preserve"> et al. (2011)</w:t>
      </w:r>
    </w:p>
    <w:tbl>
      <w:tblPr>
        <w:tblW w:w="9360" w:type="dxa"/>
        <w:tblInd w:w="93"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888"/>
        <w:gridCol w:w="1618"/>
        <w:gridCol w:w="1618"/>
        <w:gridCol w:w="1618"/>
        <w:gridCol w:w="1618"/>
      </w:tblGrid>
      <w:tr w:rsidR="0077026E" w:rsidRPr="008B00E6" w:rsidTr="00246484">
        <w:trPr>
          <w:cantSplit/>
        </w:trPr>
        <w:tc>
          <w:tcPr>
            <w:tcW w:w="2888" w:type="dxa"/>
            <w:tcBorders>
              <w:bottom w:val="single" w:sz="6" w:space="0" w:color="auto"/>
            </w:tcBorders>
            <w:shd w:val="clear" w:color="auto" w:fill="auto"/>
            <w:noWrap/>
            <w:vAlign w:val="bottom"/>
            <w:hideMark/>
          </w:tcPr>
          <w:p w:rsidR="0077026E" w:rsidRPr="006014C6" w:rsidRDefault="0077026E" w:rsidP="00246484">
            <w:pPr>
              <w:spacing w:before="120" w:after="120"/>
              <w:jc w:val="center"/>
              <w:rPr>
                <w:b/>
              </w:rPr>
            </w:pPr>
            <w:r w:rsidRPr="006014C6">
              <w:rPr>
                <w:b/>
              </w:rPr>
              <w:t>Cost</w:t>
            </w:r>
          </w:p>
        </w:tc>
        <w:tc>
          <w:tcPr>
            <w:tcW w:w="1618" w:type="dxa"/>
            <w:tcBorders>
              <w:bottom w:val="single" w:sz="6" w:space="0" w:color="auto"/>
            </w:tcBorders>
            <w:shd w:val="clear" w:color="auto" w:fill="auto"/>
            <w:noWrap/>
            <w:vAlign w:val="bottom"/>
            <w:hideMark/>
          </w:tcPr>
          <w:p w:rsidR="0077026E" w:rsidRPr="006014C6" w:rsidRDefault="0077026E" w:rsidP="00246484">
            <w:pPr>
              <w:spacing w:before="120" w:after="120"/>
              <w:jc w:val="center"/>
              <w:rPr>
                <w:b/>
              </w:rPr>
            </w:pPr>
            <w:r w:rsidRPr="006014C6">
              <w:rPr>
                <w:b/>
              </w:rPr>
              <w:t>Initial</w:t>
            </w:r>
          </w:p>
        </w:tc>
        <w:tc>
          <w:tcPr>
            <w:tcW w:w="1618" w:type="dxa"/>
            <w:tcBorders>
              <w:bottom w:val="single" w:sz="6" w:space="0" w:color="auto"/>
            </w:tcBorders>
            <w:shd w:val="clear" w:color="auto" w:fill="auto"/>
            <w:noWrap/>
            <w:vAlign w:val="bottom"/>
            <w:hideMark/>
          </w:tcPr>
          <w:p w:rsidR="0077026E" w:rsidRPr="006014C6" w:rsidRDefault="0077026E" w:rsidP="00246484">
            <w:pPr>
              <w:spacing w:before="120" w:after="120"/>
              <w:jc w:val="center"/>
              <w:rPr>
                <w:b/>
              </w:rPr>
            </w:pPr>
            <w:r w:rsidRPr="006014C6">
              <w:rPr>
                <w:b/>
              </w:rPr>
              <w:t>Continuing</w:t>
            </w:r>
          </w:p>
        </w:tc>
        <w:tc>
          <w:tcPr>
            <w:tcW w:w="1618" w:type="dxa"/>
            <w:tcBorders>
              <w:bottom w:val="single" w:sz="6" w:space="0" w:color="auto"/>
            </w:tcBorders>
            <w:shd w:val="clear" w:color="auto" w:fill="auto"/>
            <w:noWrap/>
            <w:vAlign w:val="bottom"/>
            <w:hideMark/>
          </w:tcPr>
          <w:p w:rsidR="0077026E" w:rsidRPr="006014C6" w:rsidRDefault="0077026E" w:rsidP="00246484">
            <w:pPr>
              <w:spacing w:before="120" w:after="120"/>
              <w:jc w:val="center"/>
              <w:rPr>
                <w:b/>
              </w:rPr>
            </w:pPr>
            <w:r w:rsidRPr="006014C6">
              <w:rPr>
                <w:b/>
              </w:rPr>
              <w:t>Cancer Death</w:t>
            </w:r>
          </w:p>
        </w:tc>
        <w:tc>
          <w:tcPr>
            <w:tcW w:w="1618" w:type="dxa"/>
            <w:tcBorders>
              <w:bottom w:val="single" w:sz="6" w:space="0" w:color="auto"/>
            </w:tcBorders>
            <w:shd w:val="clear" w:color="auto" w:fill="auto"/>
            <w:noWrap/>
            <w:vAlign w:val="bottom"/>
            <w:hideMark/>
          </w:tcPr>
          <w:p w:rsidR="0077026E" w:rsidRPr="006014C6" w:rsidRDefault="0077026E" w:rsidP="00246484">
            <w:pPr>
              <w:spacing w:before="120" w:after="120"/>
              <w:jc w:val="center"/>
              <w:rPr>
                <w:b/>
              </w:rPr>
            </w:pPr>
            <w:r w:rsidRPr="006014C6">
              <w:rPr>
                <w:b/>
              </w:rPr>
              <w:t>Other Cause</w:t>
            </w:r>
          </w:p>
        </w:tc>
      </w:tr>
      <w:tr w:rsidR="00791B72" w:rsidRPr="008B00E6" w:rsidTr="00791B72">
        <w:trPr>
          <w:cantSplit/>
        </w:trPr>
        <w:tc>
          <w:tcPr>
            <w:tcW w:w="2888" w:type="dxa"/>
            <w:tcBorders>
              <w:top w:val="single" w:sz="6" w:space="0" w:color="auto"/>
              <w:bottom w:val="single" w:sz="4" w:space="0" w:color="auto"/>
            </w:tcBorders>
            <w:shd w:val="clear" w:color="auto" w:fill="auto"/>
            <w:noWrap/>
            <w:vAlign w:val="center"/>
            <w:hideMark/>
          </w:tcPr>
          <w:p w:rsidR="00791B72" w:rsidRPr="006014C6" w:rsidRDefault="00791B72" w:rsidP="00791B72">
            <w:pPr>
              <w:spacing w:before="120" w:after="120"/>
              <w:jc w:val="center"/>
            </w:pPr>
            <w:r w:rsidRPr="006014C6">
              <w:t>Cost (2018 dollars)</w:t>
            </w:r>
          </w:p>
        </w:tc>
        <w:tc>
          <w:tcPr>
            <w:tcW w:w="1618" w:type="dxa"/>
            <w:tcBorders>
              <w:top w:val="single" w:sz="6" w:space="0" w:color="auto"/>
              <w:bottom w:val="single" w:sz="4" w:space="0" w:color="auto"/>
            </w:tcBorders>
            <w:shd w:val="clear" w:color="auto" w:fill="auto"/>
            <w:noWrap/>
            <w:vAlign w:val="center"/>
            <w:hideMark/>
          </w:tcPr>
          <w:p w:rsidR="00791B72" w:rsidRPr="006014C6" w:rsidRDefault="00791B72" w:rsidP="00791B72">
            <w:pPr>
              <w:spacing w:before="120" w:after="120"/>
              <w:jc w:val="center"/>
            </w:pPr>
            <w:r w:rsidRPr="006014C6">
              <w:rPr>
                <w:color w:val="000000"/>
              </w:rPr>
              <w:t>31,902</w:t>
            </w:r>
          </w:p>
        </w:tc>
        <w:tc>
          <w:tcPr>
            <w:tcW w:w="1618" w:type="dxa"/>
            <w:tcBorders>
              <w:top w:val="single" w:sz="6" w:space="0" w:color="auto"/>
              <w:bottom w:val="single" w:sz="4" w:space="0" w:color="auto"/>
            </w:tcBorders>
            <w:shd w:val="clear" w:color="auto" w:fill="auto"/>
            <w:noWrap/>
            <w:vAlign w:val="center"/>
            <w:hideMark/>
          </w:tcPr>
          <w:p w:rsidR="00791B72" w:rsidRPr="006014C6" w:rsidRDefault="00791B72" w:rsidP="00791B72">
            <w:pPr>
              <w:spacing w:before="120" w:after="120"/>
              <w:jc w:val="center"/>
            </w:pPr>
            <w:r w:rsidRPr="006014C6">
              <w:rPr>
                <w:color w:val="000000"/>
              </w:rPr>
              <w:t>2,542</w:t>
            </w:r>
          </w:p>
        </w:tc>
        <w:tc>
          <w:tcPr>
            <w:tcW w:w="1618" w:type="dxa"/>
            <w:tcBorders>
              <w:top w:val="single" w:sz="6" w:space="0" w:color="auto"/>
              <w:bottom w:val="single" w:sz="4" w:space="0" w:color="auto"/>
            </w:tcBorders>
            <w:shd w:val="clear" w:color="auto" w:fill="auto"/>
            <w:noWrap/>
            <w:vAlign w:val="center"/>
            <w:hideMark/>
          </w:tcPr>
          <w:p w:rsidR="00791B72" w:rsidRPr="006014C6" w:rsidRDefault="00791B72" w:rsidP="00791B72">
            <w:pPr>
              <w:spacing w:before="120" w:after="120"/>
              <w:jc w:val="center"/>
            </w:pPr>
            <w:r w:rsidRPr="006014C6">
              <w:rPr>
                <w:color w:val="000000"/>
              </w:rPr>
              <w:t>108,615</w:t>
            </w:r>
          </w:p>
        </w:tc>
        <w:tc>
          <w:tcPr>
            <w:tcW w:w="1618" w:type="dxa"/>
            <w:tcBorders>
              <w:top w:val="single" w:sz="6" w:space="0" w:color="auto"/>
              <w:bottom w:val="single" w:sz="4" w:space="0" w:color="auto"/>
            </w:tcBorders>
            <w:shd w:val="clear" w:color="auto" w:fill="auto"/>
            <w:noWrap/>
            <w:vAlign w:val="center"/>
            <w:hideMark/>
          </w:tcPr>
          <w:p w:rsidR="00791B72" w:rsidRPr="006014C6" w:rsidRDefault="00791B72" w:rsidP="00791B72">
            <w:pPr>
              <w:spacing w:before="120" w:after="120"/>
              <w:jc w:val="center"/>
            </w:pPr>
            <w:r w:rsidRPr="006014C6">
              <w:rPr>
                <w:color w:val="000000"/>
              </w:rPr>
              <w:t>862</w:t>
            </w:r>
          </w:p>
        </w:tc>
      </w:tr>
      <w:tr w:rsidR="0077026E" w:rsidRPr="008B00E6" w:rsidTr="00A372A8">
        <w:trPr>
          <w:cantSplit/>
        </w:trPr>
        <w:tc>
          <w:tcPr>
            <w:tcW w:w="9360" w:type="dxa"/>
            <w:gridSpan w:val="5"/>
            <w:tcBorders>
              <w:top w:val="single" w:sz="4" w:space="0" w:color="auto"/>
              <w:bottom w:val="nil"/>
            </w:tcBorders>
            <w:shd w:val="clear" w:color="auto" w:fill="auto"/>
            <w:noWrap/>
            <w:hideMark/>
          </w:tcPr>
          <w:p w:rsidR="00BA58DC" w:rsidRPr="006014C6" w:rsidRDefault="0077026E" w:rsidP="00BA58DC">
            <w:pPr>
              <w:spacing w:before="120" w:after="120"/>
            </w:pPr>
            <w:r w:rsidRPr="006014C6">
              <w:t>Note: Costs allocated to last year of life first, then initial phase, then continuing phase.</w:t>
            </w:r>
            <w:r w:rsidR="0023326F" w:rsidRPr="006014C6">
              <w:t xml:space="preserve">  The </w:t>
            </w:r>
            <w:r w:rsidR="00BA58DC" w:rsidRPr="006014C6">
              <w:t>cost</w:t>
            </w:r>
            <w:r w:rsidR="0023326F" w:rsidRPr="006014C6">
              <w:t xml:space="preserve"> d</w:t>
            </w:r>
            <w:r w:rsidR="0048535C">
              <w:t xml:space="preserve">ata reported in </w:t>
            </w:r>
            <w:proofErr w:type="spellStart"/>
            <w:r w:rsidR="0048535C">
              <w:t>Mariotto</w:t>
            </w:r>
            <w:proofErr w:type="spellEnd"/>
            <w:r w:rsidR="0048535C">
              <w:t>, et al</w:t>
            </w:r>
            <w:r w:rsidR="0023326F" w:rsidRPr="006014C6">
              <w:t xml:space="preserve"> </w:t>
            </w:r>
            <w:proofErr w:type="gramStart"/>
            <w:r w:rsidR="0023326F" w:rsidRPr="006014C6">
              <w:t>were reported</w:t>
            </w:r>
            <w:proofErr w:type="gramEnd"/>
            <w:r w:rsidR="0023326F" w:rsidRPr="006014C6">
              <w:t xml:space="preserve"> in 2010 dollars.  </w:t>
            </w:r>
            <w:r w:rsidR="00BA58DC" w:rsidRPr="006014C6">
              <w:t>All cost estimates in this analysis were adjusted to 2018 dollars.</w:t>
            </w:r>
          </w:p>
        </w:tc>
      </w:tr>
      <w:tr w:rsidR="0077026E" w:rsidRPr="008B00E6" w:rsidTr="00A372A8">
        <w:trPr>
          <w:cantSplit/>
        </w:trPr>
        <w:tc>
          <w:tcPr>
            <w:tcW w:w="9360" w:type="dxa"/>
            <w:gridSpan w:val="5"/>
            <w:tcBorders>
              <w:top w:val="nil"/>
              <w:bottom w:val="nil"/>
            </w:tcBorders>
            <w:shd w:val="clear" w:color="auto" w:fill="auto"/>
            <w:noWrap/>
            <w:hideMark/>
          </w:tcPr>
          <w:p w:rsidR="00A372A8" w:rsidRDefault="00A372A8" w:rsidP="00246484">
            <w:pPr>
              <w:keepNext/>
              <w:spacing w:before="120" w:after="120"/>
              <w:rPr>
                <w:b/>
              </w:rPr>
            </w:pPr>
          </w:p>
          <w:p w:rsidR="0077026E" w:rsidRPr="008B00E6" w:rsidRDefault="0077026E" w:rsidP="0048535C">
            <w:pPr>
              <w:keepNext/>
              <w:spacing w:before="120" w:after="120"/>
              <w:rPr>
                <w:b/>
              </w:rPr>
            </w:pPr>
            <w:r>
              <w:rPr>
                <w:b/>
              </w:rPr>
              <w:t xml:space="preserve">Table A2b. </w:t>
            </w:r>
            <w:r w:rsidRPr="00175222">
              <w:rPr>
                <w:b/>
              </w:rPr>
              <w:t>Total Treatment Costs for Breast Cancer and Controls by Stage at Diagnosis, All Ages</w:t>
            </w:r>
            <w:r>
              <w:rPr>
                <w:b/>
              </w:rPr>
              <w:t xml:space="preserve"> from </w:t>
            </w:r>
            <w:r w:rsidRPr="008B00E6">
              <w:rPr>
                <w:b/>
              </w:rPr>
              <w:t xml:space="preserve">Fireman et al. </w:t>
            </w:r>
            <w:r w:rsidR="0048535C">
              <w:rPr>
                <w:b/>
              </w:rPr>
              <w:t>(1997)</w:t>
            </w:r>
          </w:p>
        </w:tc>
      </w:tr>
      <w:tr w:rsidR="0077026E" w:rsidRPr="008B00E6" w:rsidTr="00A372A8">
        <w:trPr>
          <w:cantSplit/>
        </w:trPr>
        <w:tc>
          <w:tcPr>
            <w:tcW w:w="2888" w:type="dxa"/>
            <w:tcBorders>
              <w:top w:val="nil"/>
              <w:bottom w:val="single" w:sz="6" w:space="0" w:color="auto"/>
            </w:tcBorders>
            <w:shd w:val="clear" w:color="auto" w:fill="auto"/>
            <w:noWrap/>
            <w:vAlign w:val="bottom"/>
            <w:hideMark/>
          </w:tcPr>
          <w:p w:rsidR="0077026E" w:rsidRPr="008B00E6" w:rsidRDefault="0077026E" w:rsidP="00A372A8">
            <w:pPr>
              <w:spacing w:before="120" w:after="120"/>
              <w:rPr>
                <w:b/>
              </w:rPr>
            </w:pPr>
            <w:r>
              <w:rPr>
                <w:b/>
              </w:rPr>
              <w:t>Stage at Diagnosis</w:t>
            </w:r>
          </w:p>
        </w:tc>
        <w:tc>
          <w:tcPr>
            <w:tcW w:w="1618" w:type="dxa"/>
            <w:tcBorders>
              <w:top w:val="nil"/>
              <w:bottom w:val="single" w:sz="6" w:space="0" w:color="auto"/>
            </w:tcBorders>
            <w:shd w:val="clear" w:color="auto" w:fill="auto"/>
            <w:noWrap/>
            <w:vAlign w:val="bottom"/>
            <w:hideMark/>
          </w:tcPr>
          <w:p w:rsidR="0077026E" w:rsidRPr="008B00E6" w:rsidRDefault="0077026E" w:rsidP="00246484">
            <w:pPr>
              <w:spacing w:before="120" w:after="120"/>
              <w:jc w:val="center"/>
              <w:rPr>
                <w:b/>
              </w:rPr>
            </w:pPr>
            <w:r w:rsidRPr="008B00E6">
              <w:rPr>
                <w:b/>
              </w:rPr>
              <w:t>Control (1 year)</w:t>
            </w:r>
          </w:p>
        </w:tc>
        <w:tc>
          <w:tcPr>
            <w:tcW w:w="1618" w:type="dxa"/>
            <w:tcBorders>
              <w:top w:val="nil"/>
              <w:bottom w:val="single" w:sz="6" w:space="0" w:color="auto"/>
            </w:tcBorders>
            <w:shd w:val="clear" w:color="auto" w:fill="auto"/>
            <w:noWrap/>
            <w:vAlign w:val="bottom"/>
            <w:hideMark/>
          </w:tcPr>
          <w:p w:rsidR="0077026E" w:rsidRPr="008B00E6" w:rsidRDefault="0077026E" w:rsidP="00246484">
            <w:pPr>
              <w:spacing w:before="120" w:after="120"/>
              <w:jc w:val="center"/>
              <w:rPr>
                <w:b/>
              </w:rPr>
            </w:pPr>
            <w:r w:rsidRPr="008B00E6">
              <w:rPr>
                <w:b/>
              </w:rPr>
              <w:t>Initial (6 months)</w:t>
            </w:r>
          </w:p>
        </w:tc>
        <w:tc>
          <w:tcPr>
            <w:tcW w:w="1618" w:type="dxa"/>
            <w:tcBorders>
              <w:top w:val="nil"/>
              <w:bottom w:val="single" w:sz="6" w:space="0" w:color="auto"/>
            </w:tcBorders>
            <w:shd w:val="clear" w:color="auto" w:fill="auto"/>
            <w:noWrap/>
            <w:vAlign w:val="bottom"/>
            <w:hideMark/>
          </w:tcPr>
          <w:p w:rsidR="0077026E" w:rsidRPr="008B00E6" w:rsidRDefault="0077026E" w:rsidP="00246484">
            <w:pPr>
              <w:spacing w:before="120" w:after="120"/>
              <w:jc w:val="center"/>
              <w:rPr>
                <w:b/>
              </w:rPr>
            </w:pPr>
            <w:r w:rsidRPr="008B00E6">
              <w:rPr>
                <w:b/>
              </w:rPr>
              <w:t>Continuing (6 months)</w:t>
            </w:r>
          </w:p>
        </w:tc>
        <w:tc>
          <w:tcPr>
            <w:tcW w:w="1618" w:type="dxa"/>
            <w:tcBorders>
              <w:top w:val="nil"/>
              <w:bottom w:val="single" w:sz="6" w:space="0" w:color="auto"/>
            </w:tcBorders>
            <w:shd w:val="clear" w:color="auto" w:fill="auto"/>
            <w:noWrap/>
            <w:vAlign w:val="bottom"/>
            <w:hideMark/>
          </w:tcPr>
          <w:p w:rsidR="0077026E" w:rsidRPr="008B00E6" w:rsidRDefault="0077026E" w:rsidP="00246484">
            <w:pPr>
              <w:spacing w:before="120" w:after="120"/>
              <w:jc w:val="center"/>
              <w:rPr>
                <w:b/>
              </w:rPr>
            </w:pPr>
            <w:r w:rsidRPr="008B00E6">
              <w:rPr>
                <w:b/>
              </w:rPr>
              <w:t>Terminal (6 months)</w:t>
            </w:r>
          </w:p>
        </w:tc>
      </w:tr>
      <w:tr w:rsidR="00F66CBE" w:rsidRPr="008B00E6" w:rsidTr="00F66CBE">
        <w:trPr>
          <w:cantSplit/>
        </w:trPr>
        <w:tc>
          <w:tcPr>
            <w:tcW w:w="2888" w:type="dxa"/>
            <w:tcBorders>
              <w:top w:val="single" w:sz="6" w:space="0" w:color="auto"/>
              <w:bottom w:val="nil"/>
            </w:tcBorders>
            <w:shd w:val="clear" w:color="auto" w:fill="auto"/>
            <w:noWrap/>
            <w:hideMark/>
          </w:tcPr>
          <w:p w:rsidR="00F66CBE" w:rsidRPr="008B00E6" w:rsidRDefault="00F66CBE" w:rsidP="00F66CBE">
            <w:pPr>
              <w:spacing w:before="120" w:after="120"/>
            </w:pPr>
            <w:r w:rsidRPr="008B00E6">
              <w:lastRenderedPageBreak/>
              <w:t>Local</w:t>
            </w:r>
          </w:p>
        </w:tc>
        <w:tc>
          <w:tcPr>
            <w:tcW w:w="1618" w:type="dxa"/>
            <w:tcBorders>
              <w:top w:val="single" w:sz="6" w:space="0" w:color="auto"/>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2,961</w:t>
            </w:r>
          </w:p>
        </w:tc>
        <w:tc>
          <w:tcPr>
            <w:tcW w:w="1618" w:type="dxa"/>
            <w:tcBorders>
              <w:top w:val="single" w:sz="6" w:space="0" w:color="auto"/>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16,669</w:t>
            </w:r>
          </w:p>
        </w:tc>
        <w:tc>
          <w:tcPr>
            <w:tcW w:w="1618" w:type="dxa"/>
            <w:tcBorders>
              <w:top w:val="single" w:sz="6" w:space="0" w:color="auto"/>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2,457</w:t>
            </w:r>
          </w:p>
        </w:tc>
        <w:tc>
          <w:tcPr>
            <w:tcW w:w="1618" w:type="dxa"/>
            <w:tcBorders>
              <w:top w:val="single" w:sz="6" w:space="0" w:color="auto"/>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22,198</w:t>
            </w:r>
          </w:p>
        </w:tc>
      </w:tr>
      <w:tr w:rsidR="00F66CBE" w:rsidRPr="008B00E6" w:rsidTr="00F66CBE">
        <w:trPr>
          <w:cantSplit/>
        </w:trPr>
        <w:tc>
          <w:tcPr>
            <w:tcW w:w="2888" w:type="dxa"/>
            <w:tcBorders>
              <w:top w:val="nil"/>
            </w:tcBorders>
            <w:shd w:val="clear" w:color="auto" w:fill="auto"/>
            <w:noWrap/>
            <w:hideMark/>
          </w:tcPr>
          <w:p w:rsidR="00F66CBE" w:rsidRPr="008B00E6" w:rsidRDefault="00F66CBE" w:rsidP="00F66CBE">
            <w:pPr>
              <w:spacing w:before="120" w:after="120"/>
            </w:pPr>
            <w:r w:rsidRPr="008B00E6">
              <w:t>Regional</w:t>
            </w:r>
          </w:p>
        </w:tc>
        <w:tc>
          <w:tcPr>
            <w:tcW w:w="1618" w:type="dxa"/>
            <w:tcBorders>
              <w:top w:val="nil"/>
            </w:tcBorders>
            <w:shd w:val="clear" w:color="auto" w:fill="auto"/>
            <w:noWrap/>
            <w:vAlign w:val="center"/>
            <w:hideMark/>
          </w:tcPr>
          <w:p w:rsidR="00F66CBE" w:rsidRPr="006014C6" w:rsidRDefault="00F66CBE" w:rsidP="00F66CBE">
            <w:pPr>
              <w:spacing w:before="120" w:after="120"/>
              <w:jc w:val="center"/>
            </w:pPr>
            <w:r w:rsidRPr="006014C6">
              <w:rPr>
                <w:color w:val="000000"/>
              </w:rPr>
              <w:t>2,685</w:t>
            </w:r>
          </w:p>
        </w:tc>
        <w:tc>
          <w:tcPr>
            <w:tcW w:w="1618" w:type="dxa"/>
            <w:tcBorders>
              <w:top w:val="nil"/>
            </w:tcBorders>
            <w:shd w:val="clear" w:color="auto" w:fill="auto"/>
            <w:noWrap/>
            <w:vAlign w:val="center"/>
            <w:hideMark/>
          </w:tcPr>
          <w:p w:rsidR="00F66CBE" w:rsidRPr="006014C6" w:rsidRDefault="00F66CBE" w:rsidP="00F66CBE">
            <w:pPr>
              <w:spacing w:before="120" w:after="120"/>
              <w:jc w:val="center"/>
            </w:pPr>
            <w:r w:rsidRPr="006014C6">
              <w:rPr>
                <w:color w:val="000000"/>
              </w:rPr>
              <w:t>20,495</w:t>
            </w:r>
          </w:p>
        </w:tc>
        <w:tc>
          <w:tcPr>
            <w:tcW w:w="1618" w:type="dxa"/>
            <w:tcBorders>
              <w:top w:val="nil"/>
            </w:tcBorders>
            <w:shd w:val="clear" w:color="auto" w:fill="auto"/>
            <w:noWrap/>
            <w:vAlign w:val="center"/>
            <w:hideMark/>
          </w:tcPr>
          <w:p w:rsidR="00F66CBE" w:rsidRPr="006014C6" w:rsidRDefault="00F66CBE" w:rsidP="00F66CBE">
            <w:pPr>
              <w:spacing w:before="120" w:after="120"/>
              <w:jc w:val="center"/>
            </w:pPr>
            <w:r w:rsidRPr="006014C6">
              <w:rPr>
                <w:color w:val="000000"/>
              </w:rPr>
              <w:t>3,002</w:t>
            </w:r>
          </w:p>
        </w:tc>
        <w:tc>
          <w:tcPr>
            <w:tcW w:w="1618" w:type="dxa"/>
            <w:tcBorders>
              <w:top w:val="nil"/>
            </w:tcBorders>
            <w:shd w:val="clear" w:color="auto" w:fill="auto"/>
            <w:noWrap/>
            <w:vAlign w:val="center"/>
            <w:hideMark/>
          </w:tcPr>
          <w:p w:rsidR="00F66CBE" w:rsidRPr="006014C6" w:rsidRDefault="00F66CBE" w:rsidP="00F66CBE">
            <w:pPr>
              <w:spacing w:before="120" w:after="120"/>
              <w:jc w:val="center"/>
            </w:pPr>
            <w:r w:rsidRPr="006014C6">
              <w:rPr>
                <w:color w:val="000000"/>
              </w:rPr>
              <w:t>20,759</w:t>
            </w:r>
          </w:p>
        </w:tc>
      </w:tr>
      <w:tr w:rsidR="00F66CBE" w:rsidRPr="008B00E6" w:rsidTr="00F66CBE">
        <w:trPr>
          <w:cantSplit/>
        </w:trPr>
        <w:tc>
          <w:tcPr>
            <w:tcW w:w="2888" w:type="dxa"/>
            <w:tcBorders>
              <w:bottom w:val="nil"/>
            </w:tcBorders>
            <w:shd w:val="clear" w:color="auto" w:fill="auto"/>
            <w:noWrap/>
            <w:hideMark/>
          </w:tcPr>
          <w:p w:rsidR="00F66CBE" w:rsidRPr="008B00E6" w:rsidRDefault="00F66CBE" w:rsidP="00F66CBE">
            <w:pPr>
              <w:spacing w:before="120" w:after="120"/>
            </w:pPr>
            <w:r w:rsidRPr="008B00E6">
              <w:t>Distant</w:t>
            </w:r>
          </w:p>
        </w:tc>
        <w:tc>
          <w:tcPr>
            <w:tcW w:w="1618" w:type="dxa"/>
            <w:tcBorders>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2,762</w:t>
            </w:r>
          </w:p>
        </w:tc>
        <w:tc>
          <w:tcPr>
            <w:tcW w:w="1618" w:type="dxa"/>
            <w:tcBorders>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17,156</w:t>
            </w:r>
          </w:p>
        </w:tc>
        <w:tc>
          <w:tcPr>
            <w:tcW w:w="1618" w:type="dxa"/>
            <w:tcBorders>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4,535</w:t>
            </w:r>
          </w:p>
        </w:tc>
        <w:tc>
          <w:tcPr>
            <w:tcW w:w="1618" w:type="dxa"/>
            <w:tcBorders>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19,933</w:t>
            </w:r>
          </w:p>
        </w:tc>
      </w:tr>
      <w:tr w:rsidR="00F66CBE" w:rsidRPr="008B00E6" w:rsidTr="00F66CBE">
        <w:trPr>
          <w:cantSplit/>
        </w:trPr>
        <w:tc>
          <w:tcPr>
            <w:tcW w:w="2888" w:type="dxa"/>
            <w:tcBorders>
              <w:top w:val="nil"/>
              <w:bottom w:val="nil"/>
            </w:tcBorders>
            <w:shd w:val="clear" w:color="auto" w:fill="auto"/>
            <w:noWrap/>
            <w:hideMark/>
          </w:tcPr>
          <w:p w:rsidR="00F66CBE" w:rsidRPr="008B00E6" w:rsidRDefault="00F66CBE" w:rsidP="00F66CBE">
            <w:pPr>
              <w:spacing w:before="120" w:after="120"/>
            </w:pPr>
            <w:r w:rsidRPr="008B00E6">
              <w:t>All Stages</w:t>
            </w:r>
          </w:p>
        </w:tc>
        <w:tc>
          <w:tcPr>
            <w:tcW w:w="1618" w:type="dxa"/>
            <w:tcBorders>
              <w:top w:val="nil"/>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2,849</w:t>
            </w:r>
          </w:p>
        </w:tc>
        <w:tc>
          <w:tcPr>
            <w:tcW w:w="1618" w:type="dxa"/>
            <w:tcBorders>
              <w:top w:val="nil"/>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16,977</w:t>
            </w:r>
          </w:p>
        </w:tc>
        <w:tc>
          <w:tcPr>
            <w:tcW w:w="1618" w:type="dxa"/>
            <w:tcBorders>
              <w:top w:val="nil"/>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2,586</w:t>
            </w:r>
          </w:p>
        </w:tc>
        <w:tc>
          <w:tcPr>
            <w:tcW w:w="1618" w:type="dxa"/>
            <w:tcBorders>
              <w:top w:val="nil"/>
              <w:bottom w:val="nil"/>
            </w:tcBorders>
            <w:shd w:val="clear" w:color="auto" w:fill="auto"/>
            <w:noWrap/>
            <w:vAlign w:val="center"/>
            <w:hideMark/>
          </w:tcPr>
          <w:p w:rsidR="00F66CBE" w:rsidRPr="006014C6" w:rsidRDefault="00F66CBE" w:rsidP="00F66CBE">
            <w:pPr>
              <w:spacing w:before="120" w:after="120"/>
              <w:jc w:val="center"/>
            </w:pPr>
            <w:r w:rsidRPr="006014C6">
              <w:rPr>
                <w:color w:val="000000"/>
              </w:rPr>
              <w:t>21,204</w:t>
            </w:r>
          </w:p>
        </w:tc>
      </w:tr>
      <w:tr w:rsidR="0077026E" w:rsidRPr="008B00E6" w:rsidTr="00246484">
        <w:trPr>
          <w:cantSplit/>
        </w:trPr>
        <w:tc>
          <w:tcPr>
            <w:tcW w:w="9360" w:type="dxa"/>
            <w:gridSpan w:val="5"/>
            <w:tcBorders>
              <w:top w:val="nil"/>
              <w:bottom w:val="nil"/>
            </w:tcBorders>
            <w:shd w:val="clear" w:color="auto" w:fill="auto"/>
            <w:noWrap/>
            <w:hideMark/>
          </w:tcPr>
          <w:p w:rsidR="0077026E" w:rsidRPr="006014C6" w:rsidRDefault="0077026E" w:rsidP="00246484">
            <w:pPr>
              <w:spacing w:before="120" w:after="120"/>
            </w:pPr>
            <w:r w:rsidRPr="006014C6">
              <w:t>Note: Initial cost of distant disease is lower than regional disease. This is probably because an individual who dies after 6 months has 3 months allocated to initial and 3 months allocated to terminal.</w:t>
            </w:r>
          </w:p>
        </w:tc>
      </w:tr>
      <w:tr w:rsidR="0077026E" w:rsidRPr="008B00E6" w:rsidTr="00246484">
        <w:trPr>
          <w:cantSplit/>
        </w:trPr>
        <w:tc>
          <w:tcPr>
            <w:tcW w:w="9360" w:type="dxa"/>
            <w:gridSpan w:val="5"/>
            <w:tcBorders>
              <w:top w:val="single" w:sz="6" w:space="0" w:color="auto"/>
              <w:bottom w:val="nil"/>
            </w:tcBorders>
            <w:shd w:val="clear" w:color="auto" w:fill="auto"/>
            <w:noWrap/>
            <w:hideMark/>
          </w:tcPr>
          <w:p w:rsidR="0077026E" w:rsidRPr="006014C6" w:rsidRDefault="0077026E" w:rsidP="00246484">
            <w:pPr>
              <w:keepNext/>
              <w:spacing w:before="120" w:after="120"/>
              <w:rPr>
                <w:b/>
              </w:rPr>
            </w:pPr>
            <w:r w:rsidRPr="006014C6">
              <w:rPr>
                <w:b/>
              </w:rPr>
              <w:t>Attributable Annual Treatment Costs for Breast Cancer by Stage at Diagnosis, All Ages</w:t>
            </w:r>
          </w:p>
        </w:tc>
      </w:tr>
      <w:tr w:rsidR="0077026E" w:rsidRPr="008B00E6" w:rsidTr="00246484">
        <w:trPr>
          <w:cantSplit/>
        </w:trPr>
        <w:tc>
          <w:tcPr>
            <w:tcW w:w="2888" w:type="dxa"/>
            <w:tcBorders>
              <w:top w:val="nil"/>
              <w:bottom w:val="single" w:sz="6" w:space="0" w:color="auto"/>
            </w:tcBorders>
            <w:shd w:val="clear" w:color="auto" w:fill="auto"/>
            <w:noWrap/>
            <w:vAlign w:val="bottom"/>
            <w:hideMark/>
          </w:tcPr>
          <w:p w:rsidR="0077026E" w:rsidRPr="008B00E6" w:rsidRDefault="0077026E" w:rsidP="00A372A8">
            <w:pPr>
              <w:keepNext/>
              <w:spacing w:before="120" w:after="120"/>
              <w:rPr>
                <w:b/>
              </w:rPr>
            </w:pPr>
            <w:r>
              <w:rPr>
                <w:b/>
              </w:rPr>
              <w:t>Stage at Diagnosis</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Initial</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Continuing</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Terminal</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p>
        </w:tc>
      </w:tr>
      <w:tr w:rsidR="000D4BD8" w:rsidRPr="008B00E6" w:rsidTr="000D4BD8">
        <w:trPr>
          <w:cantSplit/>
        </w:trPr>
        <w:tc>
          <w:tcPr>
            <w:tcW w:w="2888" w:type="dxa"/>
            <w:tcBorders>
              <w:top w:val="single" w:sz="6" w:space="0" w:color="auto"/>
              <w:bottom w:val="nil"/>
            </w:tcBorders>
            <w:shd w:val="clear" w:color="auto" w:fill="auto"/>
            <w:noWrap/>
            <w:hideMark/>
          </w:tcPr>
          <w:p w:rsidR="000D4BD8" w:rsidRPr="008B00E6" w:rsidRDefault="000D4BD8" w:rsidP="000D4BD8">
            <w:pPr>
              <w:spacing w:before="120" w:after="120"/>
            </w:pPr>
            <w:r w:rsidRPr="008B00E6">
              <w:t>Local</w:t>
            </w:r>
          </w:p>
        </w:tc>
        <w:tc>
          <w:tcPr>
            <w:tcW w:w="1618" w:type="dxa"/>
            <w:tcBorders>
              <w:top w:val="single" w:sz="6" w:space="0" w:color="auto"/>
              <w:bottom w:val="nil"/>
            </w:tcBorders>
            <w:shd w:val="clear" w:color="auto" w:fill="auto"/>
            <w:noWrap/>
            <w:vAlign w:val="center"/>
            <w:hideMark/>
          </w:tcPr>
          <w:p w:rsidR="000D4BD8" w:rsidRPr="006014C6" w:rsidRDefault="000D4BD8" w:rsidP="000D4BD8">
            <w:pPr>
              <w:spacing w:before="120" w:after="120"/>
              <w:jc w:val="center"/>
            </w:pPr>
            <w:r w:rsidRPr="006014C6">
              <w:rPr>
                <w:color w:val="000000"/>
              </w:rPr>
              <w:t>16,166</w:t>
            </w:r>
          </w:p>
        </w:tc>
        <w:tc>
          <w:tcPr>
            <w:tcW w:w="1618" w:type="dxa"/>
            <w:tcBorders>
              <w:top w:val="single" w:sz="6" w:space="0" w:color="auto"/>
              <w:bottom w:val="nil"/>
            </w:tcBorders>
            <w:shd w:val="clear" w:color="auto" w:fill="auto"/>
            <w:noWrap/>
            <w:vAlign w:val="center"/>
            <w:hideMark/>
          </w:tcPr>
          <w:p w:rsidR="000D4BD8" w:rsidRPr="006014C6" w:rsidRDefault="000D4BD8" w:rsidP="000D4BD8">
            <w:pPr>
              <w:spacing w:before="120" w:after="120"/>
              <w:jc w:val="center"/>
            </w:pPr>
            <w:r w:rsidRPr="006014C6">
              <w:rPr>
                <w:color w:val="000000"/>
              </w:rPr>
              <w:t>1,954</w:t>
            </w:r>
          </w:p>
        </w:tc>
        <w:tc>
          <w:tcPr>
            <w:tcW w:w="1618" w:type="dxa"/>
            <w:tcBorders>
              <w:top w:val="single" w:sz="6" w:space="0" w:color="auto"/>
              <w:bottom w:val="nil"/>
            </w:tcBorders>
            <w:shd w:val="clear" w:color="auto" w:fill="auto"/>
            <w:noWrap/>
            <w:vAlign w:val="center"/>
            <w:hideMark/>
          </w:tcPr>
          <w:p w:rsidR="000D4BD8" w:rsidRPr="006014C6" w:rsidRDefault="000D4BD8" w:rsidP="000D4BD8">
            <w:pPr>
              <w:spacing w:before="120" w:after="120"/>
              <w:jc w:val="center"/>
            </w:pPr>
            <w:r w:rsidRPr="006014C6">
              <w:rPr>
                <w:color w:val="000000"/>
              </w:rPr>
              <w:t>21,694</w:t>
            </w:r>
          </w:p>
        </w:tc>
        <w:tc>
          <w:tcPr>
            <w:tcW w:w="1618" w:type="dxa"/>
            <w:tcBorders>
              <w:top w:val="single" w:sz="6" w:space="0" w:color="auto"/>
              <w:bottom w:val="nil"/>
            </w:tcBorders>
            <w:shd w:val="clear" w:color="auto" w:fill="auto"/>
            <w:noWrap/>
            <w:hideMark/>
          </w:tcPr>
          <w:p w:rsidR="000D4BD8" w:rsidRPr="006014C6" w:rsidRDefault="000D4BD8" w:rsidP="000D4BD8">
            <w:pPr>
              <w:spacing w:before="120" w:after="120"/>
              <w:jc w:val="center"/>
            </w:pPr>
          </w:p>
        </w:tc>
      </w:tr>
      <w:tr w:rsidR="000D4BD8" w:rsidRPr="008B00E6" w:rsidTr="000D4BD8">
        <w:trPr>
          <w:cantSplit/>
        </w:trPr>
        <w:tc>
          <w:tcPr>
            <w:tcW w:w="2888" w:type="dxa"/>
            <w:tcBorders>
              <w:top w:val="nil"/>
            </w:tcBorders>
            <w:shd w:val="clear" w:color="auto" w:fill="auto"/>
            <w:noWrap/>
            <w:hideMark/>
          </w:tcPr>
          <w:p w:rsidR="000D4BD8" w:rsidRPr="008B00E6" w:rsidRDefault="000D4BD8" w:rsidP="000D4BD8">
            <w:pPr>
              <w:spacing w:before="120" w:after="120"/>
            </w:pPr>
            <w:r w:rsidRPr="008B00E6">
              <w:t>Regional</w:t>
            </w:r>
          </w:p>
        </w:tc>
        <w:tc>
          <w:tcPr>
            <w:tcW w:w="1618" w:type="dxa"/>
            <w:tcBorders>
              <w:top w:val="nil"/>
            </w:tcBorders>
            <w:shd w:val="clear" w:color="auto" w:fill="auto"/>
            <w:noWrap/>
            <w:vAlign w:val="center"/>
            <w:hideMark/>
          </w:tcPr>
          <w:p w:rsidR="000D4BD8" w:rsidRPr="006014C6" w:rsidRDefault="000D4BD8" w:rsidP="000D4BD8">
            <w:pPr>
              <w:spacing w:before="120" w:after="120"/>
              <w:jc w:val="center"/>
            </w:pPr>
            <w:r w:rsidRPr="006014C6">
              <w:rPr>
                <w:color w:val="000000"/>
              </w:rPr>
              <w:t>20,812</w:t>
            </w:r>
          </w:p>
        </w:tc>
        <w:tc>
          <w:tcPr>
            <w:tcW w:w="1618" w:type="dxa"/>
            <w:tcBorders>
              <w:top w:val="nil"/>
            </w:tcBorders>
            <w:shd w:val="clear" w:color="auto" w:fill="auto"/>
            <w:noWrap/>
            <w:vAlign w:val="center"/>
            <w:hideMark/>
          </w:tcPr>
          <w:p w:rsidR="000D4BD8" w:rsidRPr="006014C6" w:rsidRDefault="000D4BD8" w:rsidP="000D4BD8">
            <w:pPr>
              <w:spacing w:before="120" w:after="120"/>
              <w:jc w:val="center"/>
            </w:pPr>
            <w:r w:rsidRPr="006014C6">
              <w:rPr>
                <w:color w:val="000000"/>
              </w:rPr>
              <w:t>3,319</w:t>
            </w:r>
          </w:p>
        </w:tc>
        <w:tc>
          <w:tcPr>
            <w:tcW w:w="1618" w:type="dxa"/>
            <w:tcBorders>
              <w:top w:val="nil"/>
            </w:tcBorders>
            <w:shd w:val="clear" w:color="auto" w:fill="auto"/>
            <w:noWrap/>
            <w:vAlign w:val="center"/>
            <w:hideMark/>
          </w:tcPr>
          <w:p w:rsidR="000D4BD8" w:rsidRPr="006014C6" w:rsidRDefault="000D4BD8" w:rsidP="000D4BD8">
            <w:pPr>
              <w:spacing w:before="120" w:after="120"/>
              <w:jc w:val="center"/>
            </w:pPr>
            <w:r w:rsidRPr="006014C6">
              <w:rPr>
                <w:color w:val="000000"/>
              </w:rPr>
              <w:t>21,076</w:t>
            </w:r>
          </w:p>
        </w:tc>
        <w:tc>
          <w:tcPr>
            <w:tcW w:w="1618" w:type="dxa"/>
            <w:tcBorders>
              <w:top w:val="nil"/>
            </w:tcBorders>
            <w:shd w:val="clear" w:color="auto" w:fill="auto"/>
            <w:noWrap/>
            <w:hideMark/>
          </w:tcPr>
          <w:p w:rsidR="000D4BD8" w:rsidRPr="006014C6" w:rsidRDefault="000D4BD8" w:rsidP="000D4BD8">
            <w:pPr>
              <w:spacing w:before="120" w:after="120"/>
              <w:jc w:val="center"/>
            </w:pPr>
          </w:p>
        </w:tc>
      </w:tr>
      <w:tr w:rsidR="000D4BD8" w:rsidRPr="008B00E6" w:rsidTr="000D4BD8">
        <w:trPr>
          <w:cantSplit/>
        </w:trPr>
        <w:tc>
          <w:tcPr>
            <w:tcW w:w="2888" w:type="dxa"/>
            <w:tcBorders>
              <w:bottom w:val="nil"/>
            </w:tcBorders>
            <w:shd w:val="clear" w:color="auto" w:fill="auto"/>
            <w:noWrap/>
            <w:hideMark/>
          </w:tcPr>
          <w:p w:rsidR="000D4BD8" w:rsidRPr="008B00E6" w:rsidRDefault="000D4BD8" w:rsidP="000D4BD8">
            <w:pPr>
              <w:spacing w:before="120" w:after="120"/>
            </w:pPr>
            <w:r w:rsidRPr="008B00E6">
              <w:t>Distant</w:t>
            </w:r>
          </w:p>
        </w:tc>
        <w:tc>
          <w:tcPr>
            <w:tcW w:w="1618" w:type="dxa"/>
            <w:tcBorders>
              <w:bottom w:val="nil"/>
            </w:tcBorders>
            <w:shd w:val="clear" w:color="auto" w:fill="auto"/>
            <w:noWrap/>
            <w:vAlign w:val="center"/>
            <w:hideMark/>
          </w:tcPr>
          <w:p w:rsidR="000D4BD8" w:rsidRPr="006014C6" w:rsidRDefault="000D4BD8" w:rsidP="000D4BD8">
            <w:pPr>
              <w:spacing w:before="120" w:after="120"/>
              <w:jc w:val="center"/>
            </w:pPr>
            <w:r w:rsidRPr="006014C6">
              <w:rPr>
                <w:color w:val="000000"/>
              </w:rPr>
              <w:t>18,929</w:t>
            </w:r>
          </w:p>
        </w:tc>
        <w:tc>
          <w:tcPr>
            <w:tcW w:w="1618" w:type="dxa"/>
            <w:tcBorders>
              <w:bottom w:val="nil"/>
            </w:tcBorders>
            <w:shd w:val="clear" w:color="auto" w:fill="auto"/>
            <w:noWrap/>
            <w:vAlign w:val="center"/>
            <w:hideMark/>
          </w:tcPr>
          <w:p w:rsidR="000D4BD8" w:rsidRPr="006014C6" w:rsidRDefault="000D4BD8" w:rsidP="000D4BD8">
            <w:pPr>
              <w:spacing w:before="120" w:after="120"/>
              <w:jc w:val="center"/>
            </w:pPr>
            <w:r w:rsidRPr="006014C6">
              <w:rPr>
                <w:color w:val="000000"/>
              </w:rPr>
              <w:t>6,308</w:t>
            </w:r>
          </w:p>
        </w:tc>
        <w:tc>
          <w:tcPr>
            <w:tcW w:w="1618" w:type="dxa"/>
            <w:tcBorders>
              <w:bottom w:val="nil"/>
            </w:tcBorders>
            <w:shd w:val="clear" w:color="auto" w:fill="auto"/>
            <w:noWrap/>
            <w:vAlign w:val="center"/>
            <w:hideMark/>
          </w:tcPr>
          <w:p w:rsidR="000D4BD8" w:rsidRPr="006014C6" w:rsidRDefault="000D4BD8" w:rsidP="000D4BD8">
            <w:pPr>
              <w:spacing w:before="120" w:after="120"/>
              <w:jc w:val="center"/>
            </w:pPr>
            <w:r w:rsidRPr="006014C6">
              <w:rPr>
                <w:color w:val="000000"/>
              </w:rPr>
              <w:t>21,706</w:t>
            </w:r>
          </w:p>
        </w:tc>
        <w:tc>
          <w:tcPr>
            <w:tcW w:w="1618" w:type="dxa"/>
            <w:tcBorders>
              <w:bottom w:val="nil"/>
            </w:tcBorders>
            <w:shd w:val="clear" w:color="auto" w:fill="auto"/>
            <w:noWrap/>
            <w:hideMark/>
          </w:tcPr>
          <w:p w:rsidR="000D4BD8" w:rsidRPr="006014C6" w:rsidRDefault="000D4BD8" w:rsidP="000D4BD8">
            <w:pPr>
              <w:spacing w:before="120" w:after="120"/>
              <w:jc w:val="center"/>
            </w:pPr>
          </w:p>
        </w:tc>
      </w:tr>
      <w:tr w:rsidR="000D4BD8" w:rsidRPr="008B00E6" w:rsidTr="000D4BD8">
        <w:trPr>
          <w:cantSplit/>
        </w:trPr>
        <w:tc>
          <w:tcPr>
            <w:tcW w:w="2888" w:type="dxa"/>
            <w:tcBorders>
              <w:top w:val="nil"/>
              <w:bottom w:val="single" w:sz="6" w:space="0" w:color="auto"/>
            </w:tcBorders>
            <w:shd w:val="clear" w:color="auto" w:fill="auto"/>
            <w:noWrap/>
            <w:hideMark/>
          </w:tcPr>
          <w:p w:rsidR="000D4BD8" w:rsidRPr="008B00E6" w:rsidRDefault="000D4BD8" w:rsidP="000D4BD8">
            <w:pPr>
              <w:spacing w:before="120" w:after="120"/>
            </w:pPr>
            <w:r w:rsidRPr="008B00E6">
              <w:t>All Stages</w:t>
            </w:r>
          </w:p>
        </w:tc>
        <w:tc>
          <w:tcPr>
            <w:tcW w:w="1618" w:type="dxa"/>
            <w:tcBorders>
              <w:top w:val="nil"/>
              <w:bottom w:val="single" w:sz="6" w:space="0" w:color="auto"/>
            </w:tcBorders>
            <w:shd w:val="clear" w:color="auto" w:fill="auto"/>
            <w:noWrap/>
            <w:vAlign w:val="center"/>
            <w:hideMark/>
          </w:tcPr>
          <w:p w:rsidR="000D4BD8" w:rsidRPr="006014C6" w:rsidRDefault="000D4BD8" w:rsidP="000D4BD8">
            <w:pPr>
              <w:spacing w:before="120" w:after="120"/>
              <w:jc w:val="center"/>
            </w:pPr>
            <w:r w:rsidRPr="006014C6">
              <w:rPr>
                <w:color w:val="000000"/>
              </w:rPr>
              <w:t>16,714</w:t>
            </w:r>
          </w:p>
        </w:tc>
        <w:tc>
          <w:tcPr>
            <w:tcW w:w="1618" w:type="dxa"/>
            <w:tcBorders>
              <w:top w:val="nil"/>
              <w:bottom w:val="single" w:sz="6" w:space="0" w:color="auto"/>
            </w:tcBorders>
            <w:shd w:val="clear" w:color="auto" w:fill="auto"/>
            <w:noWrap/>
            <w:vAlign w:val="center"/>
            <w:hideMark/>
          </w:tcPr>
          <w:p w:rsidR="000D4BD8" w:rsidRPr="006014C6" w:rsidRDefault="000D4BD8" w:rsidP="000D4BD8">
            <w:pPr>
              <w:spacing w:before="120" w:after="120"/>
              <w:jc w:val="center"/>
            </w:pPr>
            <w:r w:rsidRPr="006014C6">
              <w:rPr>
                <w:color w:val="000000"/>
              </w:rPr>
              <w:t>2,324</w:t>
            </w:r>
          </w:p>
        </w:tc>
        <w:tc>
          <w:tcPr>
            <w:tcW w:w="1618" w:type="dxa"/>
            <w:tcBorders>
              <w:top w:val="nil"/>
              <w:bottom w:val="single" w:sz="6" w:space="0" w:color="auto"/>
            </w:tcBorders>
            <w:shd w:val="clear" w:color="auto" w:fill="auto"/>
            <w:noWrap/>
            <w:vAlign w:val="center"/>
            <w:hideMark/>
          </w:tcPr>
          <w:p w:rsidR="000D4BD8" w:rsidRPr="006014C6" w:rsidRDefault="000D4BD8" w:rsidP="000D4BD8">
            <w:pPr>
              <w:spacing w:before="120" w:after="120"/>
              <w:jc w:val="center"/>
            </w:pPr>
            <w:r w:rsidRPr="006014C6">
              <w:rPr>
                <w:color w:val="000000"/>
              </w:rPr>
              <w:t>20,941</w:t>
            </w:r>
          </w:p>
        </w:tc>
        <w:tc>
          <w:tcPr>
            <w:tcW w:w="1618" w:type="dxa"/>
            <w:tcBorders>
              <w:top w:val="nil"/>
              <w:bottom w:val="single" w:sz="6" w:space="0" w:color="auto"/>
            </w:tcBorders>
            <w:shd w:val="clear" w:color="auto" w:fill="auto"/>
            <w:noWrap/>
            <w:hideMark/>
          </w:tcPr>
          <w:p w:rsidR="000D4BD8" w:rsidRPr="006014C6" w:rsidRDefault="000D4BD8" w:rsidP="000D4BD8">
            <w:pPr>
              <w:spacing w:before="120" w:after="120"/>
              <w:jc w:val="center"/>
            </w:pPr>
          </w:p>
        </w:tc>
      </w:tr>
      <w:tr w:rsidR="0077026E" w:rsidRPr="008B00E6" w:rsidTr="00246484">
        <w:trPr>
          <w:cantSplit/>
        </w:trPr>
        <w:tc>
          <w:tcPr>
            <w:tcW w:w="9360" w:type="dxa"/>
            <w:gridSpan w:val="5"/>
            <w:tcBorders>
              <w:top w:val="single" w:sz="6" w:space="0" w:color="auto"/>
              <w:bottom w:val="nil"/>
            </w:tcBorders>
            <w:shd w:val="clear" w:color="auto" w:fill="auto"/>
            <w:noWrap/>
            <w:hideMark/>
          </w:tcPr>
          <w:p w:rsidR="0077026E" w:rsidRPr="006014C6" w:rsidRDefault="0077026E" w:rsidP="00246484">
            <w:pPr>
              <w:keepNext/>
              <w:spacing w:before="120" w:after="120"/>
              <w:rPr>
                <w:b/>
              </w:rPr>
            </w:pPr>
            <w:r w:rsidRPr="006014C6">
              <w:rPr>
                <w:b/>
              </w:rPr>
              <w:t>Ratios for Annual Treatment Costs by Stage at Diagnosis, All Ages</w:t>
            </w:r>
          </w:p>
        </w:tc>
      </w:tr>
      <w:tr w:rsidR="0077026E" w:rsidRPr="008B00E6" w:rsidTr="00246484">
        <w:trPr>
          <w:cantSplit/>
        </w:trPr>
        <w:tc>
          <w:tcPr>
            <w:tcW w:w="2888" w:type="dxa"/>
            <w:tcBorders>
              <w:top w:val="nil"/>
              <w:bottom w:val="single" w:sz="6" w:space="0" w:color="auto"/>
            </w:tcBorders>
            <w:shd w:val="clear" w:color="auto" w:fill="auto"/>
            <w:noWrap/>
            <w:vAlign w:val="bottom"/>
            <w:hideMark/>
          </w:tcPr>
          <w:p w:rsidR="0077026E" w:rsidRPr="008B00E6" w:rsidRDefault="0077026E" w:rsidP="00A372A8">
            <w:pPr>
              <w:keepNext/>
              <w:spacing w:before="120" w:after="120"/>
              <w:rPr>
                <w:b/>
              </w:rPr>
            </w:pPr>
            <w:r>
              <w:rPr>
                <w:b/>
              </w:rPr>
              <w:t>Stage at Diagnosis</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Initial</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Continuing</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Terminal</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p>
        </w:tc>
      </w:tr>
      <w:tr w:rsidR="0077026E" w:rsidRPr="008B00E6" w:rsidTr="00246484">
        <w:trPr>
          <w:cantSplit/>
        </w:trPr>
        <w:tc>
          <w:tcPr>
            <w:tcW w:w="2888" w:type="dxa"/>
            <w:tcBorders>
              <w:top w:val="single" w:sz="6" w:space="0" w:color="auto"/>
              <w:bottom w:val="nil"/>
            </w:tcBorders>
            <w:shd w:val="clear" w:color="auto" w:fill="auto"/>
            <w:noWrap/>
            <w:hideMark/>
          </w:tcPr>
          <w:p w:rsidR="0077026E" w:rsidRPr="008B00E6" w:rsidRDefault="0077026E" w:rsidP="00246484">
            <w:pPr>
              <w:spacing w:before="120" w:after="120"/>
            </w:pPr>
            <w:r w:rsidRPr="008B00E6">
              <w:t>Local</w:t>
            </w:r>
          </w:p>
        </w:tc>
        <w:tc>
          <w:tcPr>
            <w:tcW w:w="1618" w:type="dxa"/>
            <w:tcBorders>
              <w:top w:val="single" w:sz="6" w:space="0" w:color="auto"/>
              <w:bottom w:val="nil"/>
            </w:tcBorders>
            <w:shd w:val="clear" w:color="auto" w:fill="auto"/>
            <w:noWrap/>
            <w:hideMark/>
          </w:tcPr>
          <w:p w:rsidR="0077026E" w:rsidRPr="006014C6" w:rsidRDefault="0077026E" w:rsidP="00246484">
            <w:pPr>
              <w:spacing w:before="120" w:after="120"/>
              <w:jc w:val="center"/>
            </w:pPr>
            <w:r w:rsidRPr="006014C6">
              <w:t>0.97</w:t>
            </w:r>
          </w:p>
        </w:tc>
        <w:tc>
          <w:tcPr>
            <w:tcW w:w="1618" w:type="dxa"/>
            <w:tcBorders>
              <w:top w:val="single" w:sz="6" w:space="0" w:color="auto"/>
              <w:bottom w:val="nil"/>
            </w:tcBorders>
            <w:shd w:val="clear" w:color="auto" w:fill="auto"/>
            <w:noWrap/>
            <w:hideMark/>
          </w:tcPr>
          <w:p w:rsidR="0077026E" w:rsidRPr="006014C6" w:rsidRDefault="0077026E" w:rsidP="00246484">
            <w:pPr>
              <w:spacing w:before="120" w:after="120"/>
              <w:jc w:val="center"/>
            </w:pPr>
            <w:r w:rsidRPr="006014C6">
              <w:t>0.84</w:t>
            </w:r>
          </w:p>
        </w:tc>
        <w:tc>
          <w:tcPr>
            <w:tcW w:w="1618" w:type="dxa"/>
            <w:tcBorders>
              <w:top w:val="single" w:sz="6" w:space="0" w:color="auto"/>
              <w:bottom w:val="nil"/>
            </w:tcBorders>
            <w:shd w:val="clear" w:color="auto" w:fill="auto"/>
            <w:noWrap/>
            <w:hideMark/>
          </w:tcPr>
          <w:p w:rsidR="0077026E" w:rsidRPr="006014C6" w:rsidRDefault="0077026E" w:rsidP="00246484">
            <w:pPr>
              <w:spacing w:before="120" w:after="120"/>
              <w:jc w:val="center"/>
            </w:pPr>
            <w:r w:rsidRPr="006014C6">
              <w:t>1.04</w:t>
            </w:r>
          </w:p>
        </w:tc>
        <w:tc>
          <w:tcPr>
            <w:tcW w:w="1618" w:type="dxa"/>
            <w:tcBorders>
              <w:top w:val="single" w:sz="6" w:space="0" w:color="auto"/>
              <w:bottom w:val="nil"/>
            </w:tcBorders>
            <w:shd w:val="clear" w:color="auto" w:fill="auto"/>
            <w:noWrap/>
            <w:hideMark/>
          </w:tcPr>
          <w:p w:rsidR="0077026E" w:rsidRPr="006014C6" w:rsidRDefault="0077026E" w:rsidP="00246484">
            <w:pPr>
              <w:spacing w:before="120" w:after="120"/>
              <w:jc w:val="center"/>
            </w:pPr>
          </w:p>
        </w:tc>
      </w:tr>
      <w:tr w:rsidR="0077026E" w:rsidRPr="008B00E6" w:rsidTr="00246484">
        <w:trPr>
          <w:cantSplit/>
        </w:trPr>
        <w:tc>
          <w:tcPr>
            <w:tcW w:w="2888" w:type="dxa"/>
            <w:tcBorders>
              <w:top w:val="nil"/>
            </w:tcBorders>
            <w:shd w:val="clear" w:color="auto" w:fill="auto"/>
            <w:noWrap/>
            <w:hideMark/>
          </w:tcPr>
          <w:p w:rsidR="0077026E" w:rsidRPr="008B00E6" w:rsidRDefault="0077026E" w:rsidP="00246484">
            <w:pPr>
              <w:spacing w:before="120" w:after="120"/>
            </w:pPr>
            <w:r w:rsidRPr="008B00E6">
              <w:t>Regional</w:t>
            </w:r>
          </w:p>
        </w:tc>
        <w:tc>
          <w:tcPr>
            <w:tcW w:w="1618" w:type="dxa"/>
            <w:tcBorders>
              <w:top w:val="nil"/>
            </w:tcBorders>
            <w:shd w:val="clear" w:color="auto" w:fill="auto"/>
            <w:noWrap/>
            <w:hideMark/>
          </w:tcPr>
          <w:p w:rsidR="0077026E" w:rsidRPr="006014C6" w:rsidRDefault="0077026E" w:rsidP="00246484">
            <w:pPr>
              <w:spacing w:before="120" w:after="120"/>
              <w:jc w:val="center"/>
            </w:pPr>
            <w:r w:rsidRPr="006014C6">
              <w:t>1.25</w:t>
            </w:r>
          </w:p>
        </w:tc>
        <w:tc>
          <w:tcPr>
            <w:tcW w:w="1618" w:type="dxa"/>
            <w:tcBorders>
              <w:top w:val="nil"/>
            </w:tcBorders>
            <w:shd w:val="clear" w:color="auto" w:fill="auto"/>
            <w:noWrap/>
            <w:hideMark/>
          </w:tcPr>
          <w:p w:rsidR="0077026E" w:rsidRPr="006014C6" w:rsidRDefault="0077026E" w:rsidP="00246484">
            <w:pPr>
              <w:spacing w:before="120" w:after="120"/>
              <w:jc w:val="center"/>
            </w:pPr>
            <w:r w:rsidRPr="006014C6">
              <w:t>1.43</w:t>
            </w:r>
          </w:p>
        </w:tc>
        <w:tc>
          <w:tcPr>
            <w:tcW w:w="1618" w:type="dxa"/>
            <w:tcBorders>
              <w:top w:val="nil"/>
            </w:tcBorders>
            <w:shd w:val="clear" w:color="auto" w:fill="auto"/>
            <w:noWrap/>
            <w:hideMark/>
          </w:tcPr>
          <w:p w:rsidR="0077026E" w:rsidRPr="006014C6" w:rsidRDefault="0077026E" w:rsidP="00246484">
            <w:pPr>
              <w:spacing w:before="120" w:after="120"/>
              <w:jc w:val="center"/>
            </w:pPr>
            <w:r w:rsidRPr="006014C6">
              <w:t>1.01</w:t>
            </w:r>
          </w:p>
        </w:tc>
        <w:tc>
          <w:tcPr>
            <w:tcW w:w="1618" w:type="dxa"/>
            <w:tcBorders>
              <w:top w:val="nil"/>
            </w:tcBorders>
            <w:shd w:val="clear" w:color="auto" w:fill="auto"/>
            <w:noWrap/>
            <w:hideMark/>
          </w:tcPr>
          <w:p w:rsidR="0077026E" w:rsidRPr="006014C6" w:rsidRDefault="0077026E" w:rsidP="00246484">
            <w:pPr>
              <w:spacing w:before="120" w:after="120"/>
              <w:jc w:val="center"/>
            </w:pPr>
          </w:p>
        </w:tc>
      </w:tr>
      <w:tr w:rsidR="0077026E" w:rsidRPr="008B00E6" w:rsidTr="00246484">
        <w:trPr>
          <w:cantSplit/>
        </w:trPr>
        <w:tc>
          <w:tcPr>
            <w:tcW w:w="2888" w:type="dxa"/>
            <w:shd w:val="clear" w:color="auto" w:fill="auto"/>
            <w:noWrap/>
            <w:hideMark/>
          </w:tcPr>
          <w:p w:rsidR="0077026E" w:rsidRPr="008B00E6" w:rsidRDefault="0077026E" w:rsidP="00246484">
            <w:pPr>
              <w:spacing w:before="120" w:after="120"/>
            </w:pPr>
            <w:r w:rsidRPr="008B00E6">
              <w:t>Distant</w:t>
            </w:r>
          </w:p>
        </w:tc>
        <w:tc>
          <w:tcPr>
            <w:tcW w:w="1618" w:type="dxa"/>
            <w:shd w:val="clear" w:color="auto" w:fill="auto"/>
            <w:noWrap/>
            <w:hideMark/>
          </w:tcPr>
          <w:p w:rsidR="0077026E" w:rsidRPr="006014C6" w:rsidRDefault="0077026E" w:rsidP="00246484">
            <w:pPr>
              <w:spacing w:before="120" w:after="120"/>
              <w:jc w:val="center"/>
            </w:pPr>
            <w:r w:rsidRPr="006014C6">
              <w:t>1.13</w:t>
            </w:r>
          </w:p>
        </w:tc>
        <w:tc>
          <w:tcPr>
            <w:tcW w:w="1618" w:type="dxa"/>
            <w:shd w:val="clear" w:color="auto" w:fill="auto"/>
            <w:noWrap/>
            <w:hideMark/>
          </w:tcPr>
          <w:p w:rsidR="0077026E" w:rsidRPr="006014C6" w:rsidRDefault="0077026E" w:rsidP="00246484">
            <w:pPr>
              <w:spacing w:before="120" w:after="120"/>
              <w:jc w:val="center"/>
            </w:pPr>
            <w:r w:rsidRPr="006014C6">
              <w:t>2.71</w:t>
            </w:r>
          </w:p>
        </w:tc>
        <w:tc>
          <w:tcPr>
            <w:tcW w:w="1618" w:type="dxa"/>
            <w:shd w:val="clear" w:color="auto" w:fill="auto"/>
            <w:noWrap/>
            <w:hideMark/>
          </w:tcPr>
          <w:p w:rsidR="0077026E" w:rsidRPr="006014C6" w:rsidRDefault="0077026E" w:rsidP="00246484">
            <w:pPr>
              <w:spacing w:before="120" w:after="120"/>
              <w:jc w:val="center"/>
            </w:pPr>
            <w:r w:rsidRPr="006014C6">
              <w:t>1.04</w:t>
            </w:r>
          </w:p>
        </w:tc>
        <w:tc>
          <w:tcPr>
            <w:tcW w:w="1618" w:type="dxa"/>
            <w:shd w:val="clear" w:color="auto" w:fill="auto"/>
            <w:noWrap/>
            <w:hideMark/>
          </w:tcPr>
          <w:p w:rsidR="0077026E" w:rsidRPr="006014C6" w:rsidRDefault="0077026E" w:rsidP="00246484">
            <w:pPr>
              <w:spacing w:before="120" w:after="120"/>
              <w:jc w:val="center"/>
            </w:pPr>
          </w:p>
        </w:tc>
      </w:tr>
      <w:tr w:rsidR="0077026E" w:rsidRPr="008B00E6" w:rsidTr="00246484">
        <w:trPr>
          <w:cantSplit/>
        </w:trPr>
        <w:tc>
          <w:tcPr>
            <w:tcW w:w="9360" w:type="dxa"/>
            <w:gridSpan w:val="5"/>
            <w:tcBorders>
              <w:top w:val="single" w:sz="6" w:space="0" w:color="auto"/>
              <w:bottom w:val="nil"/>
            </w:tcBorders>
            <w:shd w:val="clear" w:color="auto" w:fill="auto"/>
            <w:noWrap/>
            <w:hideMark/>
          </w:tcPr>
          <w:p w:rsidR="0077026E" w:rsidRPr="006014C6" w:rsidRDefault="0077026E" w:rsidP="00246484">
            <w:pPr>
              <w:keepNext/>
              <w:spacing w:before="120" w:after="120"/>
              <w:rPr>
                <w:b/>
              </w:rPr>
            </w:pPr>
            <w:r w:rsidRPr="006014C6">
              <w:rPr>
                <w:b/>
              </w:rPr>
              <w:t>Calculated Annual Cost of Treatment by Stage at Diagnosis, Age &lt;65, Medicare</w:t>
            </w:r>
          </w:p>
        </w:tc>
      </w:tr>
      <w:tr w:rsidR="0077026E" w:rsidRPr="008B00E6" w:rsidTr="00246484">
        <w:trPr>
          <w:cantSplit/>
        </w:trPr>
        <w:tc>
          <w:tcPr>
            <w:tcW w:w="2888" w:type="dxa"/>
            <w:tcBorders>
              <w:top w:val="nil"/>
              <w:bottom w:val="single" w:sz="6" w:space="0" w:color="auto"/>
            </w:tcBorders>
            <w:shd w:val="clear" w:color="auto" w:fill="auto"/>
            <w:noWrap/>
            <w:vAlign w:val="bottom"/>
            <w:hideMark/>
          </w:tcPr>
          <w:p w:rsidR="0077026E" w:rsidRPr="008B00E6" w:rsidRDefault="0077026E" w:rsidP="00A372A8">
            <w:pPr>
              <w:keepNext/>
              <w:spacing w:before="120" w:after="120"/>
              <w:rPr>
                <w:b/>
              </w:rPr>
            </w:pPr>
            <w:r>
              <w:rPr>
                <w:b/>
              </w:rPr>
              <w:t>Stage at Diagnosis</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Initial</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Continuing</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Cancer Death</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Other Cause</w:t>
            </w:r>
          </w:p>
        </w:tc>
      </w:tr>
      <w:tr w:rsidR="00C51888" w:rsidRPr="008B00E6" w:rsidTr="00C51888">
        <w:trPr>
          <w:cantSplit/>
        </w:trPr>
        <w:tc>
          <w:tcPr>
            <w:tcW w:w="2888" w:type="dxa"/>
            <w:tcBorders>
              <w:top w:val="single" w:sz="6" w:space="0" w:color="auto"/>
              <w:bottom w:val="nil"/>
            </w:tcBorders>
            <w:shd w:val="clear" w:color="auto" w:fill="auto"/>
            <w:noWrap/>
            <w:hideMark/>
          </w:tcPr>
          <w:p w:rsidR="00C51888" w:rsidRPr="008B00E6" w:rsidRDefault="00C51888" w:rsidP="00C51888">
            <w:pPr>
              <w:spacing w:before="120" w:after="120"/>
            </w:pPr>
            <w:r w:rsidRPr="008B00E6">
              <w:t>Local</w:t>
            </w:r>
          </w:p>
        </w:tc>
        <w:tc>
          <w:tcPr>
            <w:tcW w:w="1618" w:type="dxa"/>
            <w:tcBorders>
              <w:top w:val="single" w:sz="6" w:space="0" w:color="auto"/>
              <w:bottom w:val="nil"/>
            </w:tcBorders>
            <w:shd w:val="clear" w:color="auto" w:fill="auto"/>
            <w:noWrap/>
            <w:vAlign w:val="center"/>
            <w:hideMark/>
          </w:tcPr>
          <w:p w:rsidR="00C51888" w:rsidRPr="006014C6" w:rsidRDefault="00C51888" w:rsidP="00C51888">
            <w:pPr>
              <w:spacing w:before="120" w:after="120"/>
              <w:jc w:val="center"/>
            </w:pPr>
            <w:r w:rsidRPr="006014C6">
              <w:rPr>
                <w:color w:val="000000"/>
              </w:rPr>
              <w:t>30,945</w:t>
            </w:r>
          </w:p>
        </w:tc>
        <w:tc>
          <w:tcPr>
            <w:tcW w:w="1618" w:type="dxa"/>
            <w:tcBorders>
              <w:top w:val="single" w:sz="6" w:space="0" w:color="auto"/>
              <w:bottom w:val="nil"/>
            </w:tcBorders>
            <w:shd w:val="clear" w:color="auto" w:fill="auto"/>
            <w:noWrap/>
            <w:vAlign w:val="center"/>
            <w:hideMark/>
          </w:tcPr>
          <w:p w:rsidR="00C51888" w:rsidRPr="006014C6" w:rsidRDefault="00C51888" w:rsidP="00C51888">
            <w:pPr>
              <w:spacing w:before="120" w:after="120"/>
              <w:jc w:val="center"/>
            </w:pPr>
            <w:r w:rsidRPr="006014C6">
              <w:rPr>
                <w:color w:val="000000"/>
              </w:rPr>
              <w:t>2,136</w:t>
            </w:r>
          </w:p>
        </w:tc>
        <w:tc>
          <w:tcPr>
            <w:tcW w:w="1618" w:type="dxa"/>
            <w:tcBorders>
              <w:top w:val="single" w:sz="6" w:space="0" w:color="auto"/>
              <w:bottom w:val="nil"/>
            </w:tcBorders>
            <w:shd w:val="clear" w:color="auto" w:fill="auto"/>
            <w:noWrap/>
            <w:vAlign w:val="center"/>
            <w:hideMark/>
          </w:tcPr>
          <w:p w:rsidR="00C51888" w:rsidRPr="006014C6" w:rsidRDefault="00C51888" w:rsidP="00C51888">
            <w:pPr>
              <w:spacing w:before="120" w:after="120"/>
              <w:jc w:val="center"/>
            </w:pPr>
            <w:r w:rsidRPr="006014C6">
              <w:rPr>
                <w:color w:val="000000"/>
              </w:rPr>
              <w:t>112,959</w:t>
            </w:r>
          </w:p>
        </w:tc>
        <w:tc>
          <w:tcPr>
            <w:tcW w:w="1618" w:type="dxa"/>
            <w:tcBorders>
              <w:top w:val="single" w:sz="6" w:space="0" w:color="auto"/>
              <w:bottom w:val="nil"/>
            </w:tcBorders>
            <w:shd w:val="clear" w:color="auto" w:fill="auto"/>
            <w:noWrap/>
            <w:vAlign w:val="center"/>
            <w:hideMark/>
          </w:tcPr>
          <w:p w:rsidR="00C51888" w:rsidRPr="006014C6" w:rsidRDefault="00C51888" w:rsidP="00C51888">
            <w:pPr>
              <w:spacing w:before="120" w:after="120"/>
              <w:jc w:val="center"/>
            </w:pPr>
            <w:r w:rsidRPr="006014C6">
              <w:rPr>
                <w:color w:val="000000"/>
              </w:rPr>
              <w:t>896</w:t>
            </w:r>
          </w:p>
        </w:tc>
      </w:tr>
      <w:tr w:rsidR="00C51888" w:rsidRPr="008B00E6" w:rsidTr="00C51888">
        <w:trPr>
          <w:cantSplit/>
        </w:trPr>
        <w:tc>
          <w:tcPr>
            <w:tcW w:w="2888" w:type="dxa"/>
            <w:tcBorders>
              <w:top w:val="nil"/>
            </w:tcBorders>
            <w:shd w:val="clear" w:color="auto" w:fill="auto"/>
            <w:noWrap/>
            <w:hideMark/>
          </w:tcPr>
          <w:p w:rsidR="00C51888" w:rsidRPr="008B00E6" w:rsidRDefault="00C51888" w:rsidP="00C51888">
            <w:pPr>
              <w:spacing w:before="120" w:after="120"/>
            </w:pPr>
            <w:r w:rsidRPr="008B00E6">
              <w:t>Regional</w:t>
            </w:r>
          </w:p>
        </w:tc>
        <w:tc>
          <w:tcPr>
            <w:tcW w:w="1618" w:type="dxa"/>
            <w:tcBorders>
              <w:top w:val="nil"/>
            </w:tcBorders>
            <w:shd w:val="clear" w:color="auto" w:fill="auto"/>
            <w:noWrap/>
            <w:vAlign w:val="center"/>
            <w:hideMark/>
          </w:tcPr>
          <w:p w:rsidR="00C51888" w:rsidRPr="006014C6" w:rsidRDefault="00C51888" w:rsidP="00C51888">
            <w:pPr>
              <w:spacing w:before="120" w:after="120"/>
              <w:jc w:val="center"/>
            </w:pPr>
            <w:r w:rsidRPr="006014C6">
              <w:rPr>
                <w:color w:val="000000"/>
              </w:rPr>
              <w:t>39,878</w:t>
            </w:r>
          </w:p>
        </w:tc>
        <w:tc>
          <w:tcPr>
            <w:tcW w:w="1618" w:type="dxa"/>
            <w:tcBorders>
              <w:top w:val="nil"/>
            </w:tcBorders>
            <w:shd w:val="clear" w:color="auto" w:fill="auto"/>
            <w:noWrap/>
            <w:vAlign w:val="center"/>
            <w:hideMark/>
          </w:tcPr>
          <w:p w:rsidR="00C51888" w:rsidRPr="006014C6" w:rsidRDefault="00C51888" w:rsidP="00C51888">
            <w:pPr>
              <w:spacing w:before="120" w:after="120"/>
              <w:jc w:val="center"/>
            </w:pPr>
            <w:r w:rsidRPr="006014C6">
              <w:rPr>
                <w:color w:val="000000"/>
              </w:rPr>
              <w:t>3,636</w:t>
            </w:r>
          </w:p>
        </w:tc>
        <w:tc>
          <w:tcPr>
            <w:tcW w:w="1618" w:type="dxa"/>
            <w:tcBorders>
              <w:top w:val="nil"/>
            </w:tcBorders>
            <w:shd w:val="clear" w:color="auto" w:fill="auto"/>
            <w:noWrap/>
            <w:vAlign w:val="center"/>
            <w:hideMark/>
          </w:tcPr>
          <w:p w:rsidR="00C51888" w:rsidRPr="006014C6" w:rsidRDefault="00C51888" w:rsidP="00C51888">
            <w:pPr>
              <w:spacing w:before="120" w:after="120"/>
              <w:jc w:val="center"/>
            </w:pPr>
            <w:r w:rsidRPr="006014C6">
              <w:rPr>
                <w:color w:val="000000"/>
              </w:rPr>
              <w:t>109,702</w:t>
            </w:r>
          </w:p>
        </w:tc>
        <w:tc>
          <w:tcPr>
            <w:tcW w:w="1618" w:type="dxa"/>
            <w:tcBorders>
              <w:top w:val="nil"/>
            </w:tcBorders>
            <w:shd w:val="clear" w:color="auto" w:fill="auto"/>
            <w:noWrap/>
            <w:vAlign w:val="center"/>
            <w:hideMark/>
          </w:tcPr>
          <w:p w:rsidR="00C51888" w:rsidRPr="006014C6" w:rsidRDefault="00C51888" w:rsidP="00C51888">
            <w:pPr>
              <w:spacing w:before="120" w:after="120"/>
              <w:jc w:val="center"/>
            </w:pPr>
            <w:r w:rsidRPr="006014C6">
              <w:rPr>
                <w:color w:val="000000"/>
              </w:rPr>
              <w:t>870</w:t>
            </w:r>
          </w:p>
        </w:tc>
      </w:tr>
      <w:tr w:rsidR="00C51888" w:rsidRPr="008B00E6" w:rsidTr="00C51888">
        <w:trPr>
          <w:cantSplit/>
        </w:trPr>
        <w:tc>
          <w:tcPr>
            <w:tcW w:w="2888" w:type="dxa"/>
            <w:shd w:val="clear" w:color="auto" w:fill="auto"/>
            <w:noWrap/>
            <w:hideMark/>
          </w:tcPr>
          <w:p w:rsidR="00C51888" w:rsidRPr="008B00E6" w:rsidRDefault="00C51888" w:rsidP="00C51888">
            <w:pPr>
              <w:spacing w:before="120" w:after="120"/>
            </w:pPr>
            <w:r w:rsidRPr="008B00E6">
              <w:t>Distant</w:t>
            </w:r>
          </w:p>
        </w:tc>
        <w:tc>
          <w:tcPr>
            <w:tcW w:w="1618" w:type="dxa"/>
            <w:shd w:val="clear" w:color="auto" w:fill="auto"/>
            <w:noWrap/>
            <w:vAlign w:val="center"/>
            <w:hideMark/>
          </w:tcPr>
          <w:p w:rsidR="00C51888" w:rsidRPr="006014C6" w:rsidRDefault="00C51888" w:rsidP="00C51888">
            <w:pPr>
              <w:spacing w:before="120" w:after="120"/>
              <w:jc w:val="center"/>
            </w:pPr>
            <w:r w:rsidRPr="006014C6">
              <w:rPr>
                <w:color w:val="000000"/>
              </w:rPr>
              <w:t>36,050</w:t>
            </w:r>
          </w:p>
        </w:tc>
        <w:tc>
          <w:tcPr>
            <w:tcW w:w="1618" w:type="dxa"/>
            <w:shd w:val="clear" w:color="auto" w:fill="auto"/>
            <w:noWrap/>
            <w:vAlign w:val="center"/>
            <w:hideMark/>
          </w:tcPr>
          <w:p w:rsidR="00C51888" w:rsidRPr="006014C6" w:rsidRDefault="00C51888" w:rsidP="00C51888">
            <w:pPr>
              <w:spacing w:before="120" w:after="120"/>
              <w:jc w:val="center"/>
            </w:pPr>
            <w:r w:rsidRPr="006014C6">
              <w:rPr>
                <w:color w:val="000000"/>
              </w:rPr>
              <w:t>6,890</w:t>
            </w:r>
          </w:p>
        </w:tc>
        <w:tc>
          <w:tcPr>
            <w:tcW w:w="1618" w:type="dxa"/>
            <w:shd w:val="clear" w:color="auto" w:fill="auto"/>
            <w:noWrap/>
            <w:vAlign w:val="center"/>
            <w:hideMark/>
          </w:tcPr>
          <w:p w:rsidR="00C51888" w:rsidRPr="006014C6" w:rsidRDefault="00C51888" w:rsidP="00C51888">
            <w:pPr>
              <w:spacing w:before="120" w:after="120"/>
              <w:jc w:val="center"/>
            </w:pPr>
            <w:r w:rsidRPr="006014C6">
              <w:rPr>
                <w:color w:val="000000"/>
              </w:rPr>
              <w:t>112,959</w:t>
            </w:r>
          </w:p>
        </w:tc>
        <w:tc>
          <w:tcPr>
            <w:tcW w:w="1618" w:type="dxa"/>
            <w:shd w:val="clear" w:color="auto" w:fill="auto"/>
            <w:noWrap/>
            <w:vAlign w:val="center"/>
            <w:hideMark/>
          </w:tcPr>
          <w:p w:rsidR="00C51888" w:rsidRPr="006014C6" w:rsidRDefault="00C51888" w:rsidP="00C51888">
            <w:pPr>
              <w:spacing w:before="120" w:after="120"/>
              <w:jc w:val="center"/>
            </w:pPr>
            <w:r w:rsidRPr="006014C6">
              <w:rPr>
                <w:color w:val="000000"/>
              </w:rPr>
              <w:t>896</w:t>
            </w:r>
          </w:p>
        </w:tc>
      </w:tr>
      <w:tr w:rsidR="0077026E" w:rsidRPr="008B00E6" w:rsidTr="00246484">
        <w:trPr>
          <w:cantSplit/>
        </w:trPr>
        <w:tc>
          <w:tcPr>
            <w:tcW w:w="9360" w:type="dxa"/>
            <w:gridSpan w:val="5"/>
            <w:tcBorders>
              <w:top w:val="single" w:sz="6" w:space="0" w:color="auto"/>
              <w:bottom w:val="single" w:sz="12" w:space="0" w:color="auto"/>
            </w:tcBorders>
            <w:shd w:val="clear" w:color="auto" w:fill="auto"/>
            <w:noWrap/>
            <w:hideMark/>
          </w:tcPr>
          <w:p w:rsidR="0077026E" w:rsidRPr="006014C6" w:rsidRDefault="0077026E" w:rsidP="00246484">
            <w:pPr>
              <w:keepNext/>
              <w:spacing w:before="120" w:after="120"/>
              <w:rPr>
                <w:b/>
              </w:rPr>
            </w:pPr>
          </w:p>
          <w:p w:rsidR="0077026E" w:rsidRPr="006014C6" w:rsidRDefault="0077026E" w:rsidP="00246484">
            <w:pPr>
              <w:keepNext/>
              <w:spacing w:before="120" w:after="120"/>
              <w:rPr>
                <w:b/>
              </w:rPr>
            </w:pPr>
          </w:p>
          <w:p w:rsidR="0077026E" w:rsidRPr="006014C6" w:rsidRDefault="0077026E" w:rsidP="00246484">
            <w:pPr>
              <w:keepNext/>
              <w:spacing w:before="120" w:after="120"/>
              <w:rPr>
                <w:b/>
              </w:rPr>
            </w:pPr>
            <w:r w:rsidRPr="006014C6">
              <w:rPr>
                <w:b/>
              </w:rPr>
              <w:t>Table A2c. Calculated Annual Cost of Treatment by Stage at Diagnosis, Age &lt;65, Adjusted for Medicaid</w:t>
            </w:r>
          </w:p>
        </w:tc>
      </w:tr>
      <w:tr w:rsidR="0077026E" w:rsidRPr="008B00E6" w:rsidTr="00246484">
        <w:trPr>
          <w:cantSplit/>
        </w:trPr>
        <w:tc>
          <w:tcPr>
            <w:tcW w:w="2888" w:type="dxa"/>
            <w:tcBorders>
              <w:top w:val="single" w:sz="12" w:space="0" w:color="auto"/>
              <w:bottom w:val="single" w:sz="6" w:space="0" w:color="auto"/>
            </w:tcBorders>
            <w:shd w:val="clear" w:color="auto" w:fill="auto"/>
            <w:noWrap/>
            <w:vAlign w:val="bottom"/>
            <w:hideMark/>
          </w:tcPr>
          <w:p w:rsidR="0077026E" w:rsidRPr="008B00E6" w:rsidRDefault="0077026E" w:rsidP="00A372A8">
            <w:pPr>
              <w:keepNext/>
              <w:spacing w:before="120" w:after="120"/>
              <w:rPr>
                <w:b/>
              </w:rPr>
            </w:pPr>
            <w:r>
              <w:rPr>
                <w:b/>
              </w:rPr>
              <w:t>Stage at Diagnosis</w:t>
            </w:r>
          </w:p>
        </w:tc>
        <w:tc>
          <w:tcPr>
            <w:tcW w:w="1618" w:type="dxa"/>
            <w:tcBorders>
              <w:top w:val="single" w:sz="12" w:space="0" w:color="auto"/>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Initial</w:t>
            </w:r>
          </w:p>
        </w:tc>
        <w:tc>
          <w:tcPr>
            <w:tcW w:w="1618" w:type="dxa"/>
            <w:tcBorders>
              <w:top w:val="single" w:sz="12" w:space="0" w:color="auto"/>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Continuing</w:t>
            </w:r>
          </w:p>
        </w:tc>
        <w:tc>
          <w:tcPr>
            <w:tcW w:w="1618" w:type="dxa"/>
            <w:tcBorders>
              <w:top w:val="single" w:sz="12" w:space="0" w:color="auto"/>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Cancer Death</w:t>
            </w:r>
          </w:p>
        </w:tc>
        <w:tc>
          <w:tcPr>
            <w:tcW w:w="1618" w:type="dxa"/>
            <w:tcBorders>
              <w:top w:val="single" w:sz="12" w:space="0" w:color="auto"/>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Other Cause</w:t>
            </w:r>
          </w:p>
        </w:tc>
      </w:tr>
      <w:tr w:rsidR="009E2D7A" w:rsidRPr="008B00E6" w:rsidTr="009E2D7A">
        <w:trPr>
          <w:cantSplit/>
        </w:trPr>
        <w:tc>
          <w:tcPr>
            <w:tcW w:w="2888" w:type="dxa"/>
            <w:tcBorders>
              <w:top w:val="single" w:sz="6" w:space="0" w:color="auto"/>
              <w:bottom w:val="nil"/>
            </w:tcBorders>
            <w:shd w:val="clear" w:color="auto" w:fill="auto"/>
            <w:noWrap/>
            <w:hideMark/>
          </w:tcPr>
          <w:p w:rsidR="009E2D7A" w:rsidRPr="008B00E6" w:rsidRDefault="009E2D7A" w:rsidP="009E2D7A">
            <w:pPr>
              <w:spacing w:before="120" w:after="120"/>
            </w:pPr>
            <w:r w:rsidRPr="008B00E6">
              <w:t>Local</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22,281</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1,538</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81,331</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645</w:t>
            </w:r>
          </w:p>
        </w:tc>
      </w:tr>
      <w:tr w:rsidR="009E2D7A" w:rsidRPr="008B00E6" w:rsidTr="009E2D7A">
        <w:trPr>
          <w:cantSplit/>
        </w:trPr>
        <w:tc>
          <w:tcPr>
            <w:tcW w:w="2888" w:type="dxa"/>
            <w:tcBorders>
              <w:top w:val="nil"/>
            </w:tcBorders>
            <w:shd w:val="clear" w:color="auto" w:fill="auto"/>
            <w:noWrap/>
            <w:hideMark/>
          </w:tcPr>
          <w:p w:rsidR="009E2D7A" w:rsidRPr="008B00E6" w:rsidRDefault="009E2D7A" w:rsidP="009E2D7A">
            <w:pPr>
              <w:spacing w:before="120" w:after="120"/>
            </w:pPr>
            <w:r w:rsidRPr="008B00E6">
              <w:t>Regional</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28,712</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2,617</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78,985</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627</w:t>
            </w:r>
          </w:p>
        </w:tc>
      </w:tr>
      <w:tr w:rsidR="009E2D7A" w:rsidRPr="008B00E6" w:rsidTr="009E2D7A">
        <w:trPr>
          <w:cantSplit/>
        </w:trPr>
        <w:tc>
          <w:tcPr>
            <w:tcW w:w="2888" w:type="dxa"/>
            <w:tcBorders>
              <w:bottom w:val="single" w:sz="6" w:space="0" w:color="auto"/>
            </w:tcBorders>
            <w:shd w:val="clear" w:color="auto" w:fill="auto"/>
            <w:noWrap/>
            <w:hideMark/>
          </w:tcPr>
          <w:p w:rsidR="009E2D7A" w:rsidRPr="008B00E6" w:rsidRDefault="009E2D7A" w:rsidP="009E2D7A">
            <w:pPr>
              <w:spacing w:before="120" w:after="120"/>
            </w:pPr>
            <w:r w:rsidRPr="008B00E6">
              <w:t>Distant</w:t>
            </w:r>
          </w:p>
        </w:tc>
        <w:tc>
          <w:tcPr>
            <w:tcW w:w="1618" w:type="dxa"/>
            <w:tcBorders>
              <w:bottom w:val="single" w:sz="6" w:space="0" w:color="auto"/>
            </w:tcBorders>
            <w:shd w:val="clear" w:color="auto" w:fill="auto"/>
            <w:noWrap/>
            <w:vAlign w:val="center"/>
            <w:hideMark/>
          </w:tcPr>
          <w:p w:rsidR="009E2D7A" w:rsidRPr="006014C6" w:rsidRDefault="009E2D7A" w:rsidP="009E2D7A">
            <w:pPr>
              <w:spacing w:before="120" w:after="120"/>
              <w:jc w:val="center"/>
            </w:pPr>
            <w:r w:rsidRPr="006014C6">
              <w:rPr>
                <w:color w:val="000000"/>
              </w:rPr>
              <w:t>25,956</w:t>
            </w:r>
          </w:p>
        </w:tc>
        <w:tc>
          <w:tcPr>
            <w:tcW w:w="1618" w:type="dxa"/>
            <w:tcBorders>
              <w:bottom w:val="single" w:sz="6" w:space="0" w:color="auto"/>
            </w:tcBorders>
            <w:shd w:val="clear" w:color="auto" w:fill="auto"/>
            <w:noWrap/>
            <w:vAlign w:val="center"/>
            <w:hideMark/>
          </w:tcPr>
          <w:p w:rsidR="009E2D7A" w:rsidRPr="006014C6" w:rsidRDefault="009E2D7A" w:rsidP="009E2D7A">
            <w:pPr>
              <w:spacing w:before="120" w:after="120"/>
              <w:jc w:val="center"/>
            </w:pPr>
            <w:r w:rsidRPr="006014C6">
              <w:rPr>
                <w:color w:val="000000"/>
              </w:rPr>
              <w:t>4,961</w:t>
            </w:r>
          </w:p>
        </w:tc>
        <w:tc>
          <w:tcPr>
            <w:tcW w:w="1618" w:type="dxa"/>
            <w:tcBorders>
              <w:bottom w:val="single" w:sz="6" w:space="0" w:color="auto"/>
            </w:tcBorders>
            <w:shd w:val="clear" w:color="auto" w:fill="auto"/>
            <w:noWrap/>
            <w:vAlign w:val="center"/>
            <w:hideMark/>
          </w:tcPr>
          <w:p w:rsidR="009E2D7A" w:rsidRPr="006014C6" w:rsidRDefault="009E2D7A" w:rsidP="009E2D7A">
            <w:pPr>
              <w:spacing w:before="120" w:after="120"/>
              <w:jc w:val="center"/>
            </w:pPr>
            <w:r w:rsidRPr="006014C6">
              <w:rPr>
                <w:color w:val="000000"/>
              </w:rPr>
              <w:t>81,331</w:t>
            </w:r>
          </w:p>
        </w:tc>
        <w:tc>
          <w:tcPr>
            <w:tcW w:w="1618" w:type="dxa"/>
            <w:tcBorders>
              <w:bottom w:val="single" w:sz="6" w:space="0" w:color="auto"/>
            </w:tcBorders>
            <w:shd w:val="clear" w:color="auto" w:fill="auto"/>
            <w:noWrap/>
            <w:vAlign w:val="center"/>
            <w:hideMark/>
          </w:tcPr>
          <w:p w:rsidR="009E2D7A" w:rsidRPr="006014C6" w:rsidRDefault="009E2D7A" w:rsidP="009E2D7A">
            <w:pPr>
              <w:spacing w:before="120" w:after="120"/>
              <w:jc w:val="center"/>
            </w:pPr>
            <w:r w:rsidRPr="006014C6">
              <w:rPr>
                <w:color w:val="000000"/>
              </w:rPr>
              <w:t>645</w:t>
            </w:r>
          </w:p>
        </w:tc>
      </w:tr>
      <w:tr w:rsidR="0077026E" w:rsidRPr="008B00E6" w:rsidTr="00246484">
        <w:trPr>
          <w:cantSplit/>
        </w:trPr>
        <w:tc>
          <w:tcPr>
            <w:tcW w:w="9360" w:type="dxa"/>
            <w:gridSpan w:val="5"/>
            <w:tcBorders>
              <w:top w:val="single" w:sz="6" w:space="0" w:color="auto"/>
              <w:bottom w:val="nil"/>
            </w:tcBorders>
            <w:shd w:val="clear" w:color="auto" w:fill="auto"/>
            <w:noWrap/>
            <w:hideMark/>
          </w:tcPr>
          <w:p w:rsidR="0077026E" w:rsidRPr="006014C6" w:rsidRDefault="0077026E" w:rsidP="00C51BD0">
            <w:pPr>
              <w:keepNext/>
              <w:spacing w:before="120" w:after="120"/>
              <w:rPr>
                <w:b/>
              </w:rPr>
            </w:pPr>
            <w:r w:rsidRPr="006014C6">
              <w:rPr>
                <w:b/>
              </w:rPr>
              <w:t xml:space="preserve">Calculated Annual Cost of Treatment by Stage at Diagnosis, Age </w:t>
            </w:r>
            <w:r w:rsidR="00C51BD0" w:rsidRPr="006014C6">
              <w:rPr>
                <w:b/>
              </w:rPr>
              <w:t>≥</w:t>
            </w:r>
            <w:r w:rsidRPr="006014C6">
              <w:rPr>
                <w:b/>
              </w:rPr>
              <w:t>65, Medicare</w:t>
            </w:r>
          </w:p>
        </w:tc>
      </w:tr>
      <w:tr w:rsidR="0077026E" w:rsidRPr="008B00E6" w:rsidTr="00246484">
        <w:trPr>
          <w:cantSplit/>
        </w:trPr>
        <w:tc>
          <w:tcPr>
            <w:tcW w:w="2888" w:type="dxa"/>
            <w:tcBorders>
              <w:top w:val="nil"/>
              <w:bottom w:val="single" w:sz="6" w:space="0" w:color="auto"/>
            </w:tcBorders>
            <w:shd w:val="clear" w:color="auto" w:fill="auto"/>
            <w:noWrap/>
            <w:vAlign w:val="bottom"/>
            <w:hideMark/>
          </w:tcPr>
          <w:p w:rsidR="0077026E" w:rsidRPr="008B00E6" w:rsidRDefault="0077026E" w:rsidP="00A372A8">
            <w:pPr>
              <w:keepNext/>
              <w:spacing w:before="120" w:after="120"/>
              <w:rPr>
                <w:b/>
              </w:rPr>
            </w:pPr>
            <w:r>
              <w:rPr>
                <w:b/>
              </w:rPr>
              <w:t>Stage at Diagnosis</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Initial</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Continuing</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Cancer Death</w:t>
            </w:r>
          </w:p>
        </w:tc>
        <w:tc>
          <w:tcPr>
            <w:tcW w:w="1618" w:type="dxa"/>
            <w:tcBorders>
              <w:top w:val="nil"/>
              <w:bottom w:val="single" w:sz="6" w:space="0" w:color="auto"/>
            </w:tcBorders>
            <w:shd w:val="clear" w:color="auto" w:fill="auto"/>
            <w:noWrap/>
            <w:vAlign w:val="bottom"/>
            <w:hideMark/>
          </w:tcPr>
          <w:p w:rsidR="0077026E" w:rsidRPr="006014C6" w:rsidRDefault="0077026E" w:rsidP="00246484">
            <w:pPr>
              <w:keepNext/>
              <w:spacing w:before="120" w:after="120"/>
              <w:jc w:val="center"/>
              <w:rPr>
                <w:b/>
              </w:rPr>
            </w:pPr>
            <w:r w:rsidRPr="006014C6">
              <w:rPr>
                <w:b/>
              </w:rPr>
              <w:t>Other Cause</w:t>
            </w:r>
          </w:p>
        </w:tc>
      </w:tr>
      <w:tr w:rsidR="009E2D7A" w:rsidRPr="008B00E6" w:rsidTr="009E2D7A">
        <w:trPr>
          <w:cantSplit/>
        </w:trPr>
        <w:tc>
          <w:tcPr>
            <w:tcW w:w="2888" w:type="dxa"/>
            <w:tcBorders>
              <w:top w:val="single" w:sz="6" w:space="0" w:color="auto"/>
              <w:bottom w:val="nil"/>
            </w:tcBorders>
            <w:shd w:val="clear" w:color="auto" w:fill="auto"/>
            <w:noWrap/>
            <w:vAlign w:val="bottom"/>
            <w:hideMark/>
          </w:tcPr>
          <w:p w:rsidR="009E2D7A" w:rsidRPr="008B00E6" w:rsidRDefault="009E2D7A" w:rsidP="009E2D7A">
            <w:pPr>
              <w:spacing w:before="120" w:after="120"/>
            </w:pPr>
            <w:r w:rsidRPr="008B00E6">
              <w:t>Local</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25,789</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2,136</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75,306</w:t>
            </w:r>
          </w:p>
        </w:tc>
        <w:tc>
          <w:tcPr>
            <w:tcW w:w="1618" w:type="dxa"/>
            <w:tcBorders>
              <w:top w:val="single" w:sz="6" w:space="0" w:color="auto"/>
              <w:bottom w:val="nil"/>
            </w:tcBorders>
            <w:shd w:val="clear" w:color="auto" w:fill="auto"/>
            <w:noWrap/>
            <w:vAlign w:val="center"/>
            <w:hideMark/>
          </w:tcPr>
          <w:p w:rsidR="009E2D7A" w:rsidRPr="006014C6" w:rsidRDefault="009E2D7A" w:rsidP="009E2D7A">
            <w:pPr>
              <w:spacing w:before="120" w:after="120"/>
              <w:jc w:val="center"/>
            </w:pPr>
            <w:r w:rsidRPr="006014C6">
              <w:rPr>
                <w:color w:val="000000"/>
              </w:rPr>
              <w:t>896</w:t>
            </w:r>
          </w:p>
        </w:tc>
      </w:tr>
      <w:tr w:rsidR="009E2D7A" w:rsidRPr="008B00E6" w:rsidTr="009E2D7A">
        <w:trPr>
          <w:cantSplit/>
        </w:trPr>
        <w:tc>
          <w:tcPr>
            <w:tcW w:w="2888" w:type="dxa"/>
            <w:tcBorders>
              <w:top w:val="nil"/>
            </w:tcBorders>
            <w:shd w:val="clear" w:color="auto" w:fill="auto"/>
            <w:noWrap/>
            <w:vAlign w:val="bottom"/>
            <w:hideMark/>
          </w:tcPr>
          <w:p w:rsidR="009E2D7A" w:rsidRPr="008B00E6" w:rsidRDefault="009E2D7A" w:rsidP="009E2D7A">
            <w:pPr>
              <w:spacing w:before="120" w:after="120"/>
            </w:pPr>
            <w:r w:rsidRPr="008B00E6">
              <w:t>Regional</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33,233</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3,636</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73,135</w:t>
            </w:r>
          </w:p>
        </w:tc>
        <w:tc>
          <w:tcPr>
            <w:tcW w:w="1618" w:type="dxa"/>
            <w:tcBorders>
              <w:top w:val="nil"/>
            </w:tcBorders>
            <w:shd w:val="clear" w:color="auto" w:fill="auto"/>
            <w:noWrap/>
            <w:vAlign w:val="center"/>
            <w:hideMark/>
          </w:tcPr>
          <w:p w:rsidR="009E2D7A" w:rsidRPr="006014C6" w:rsidRDefault="009E2D7A" w:rsidP="009E2D7A">
            <w:pPr>
              <w:spacing w:before="120" w:after="120"/>
              <w:jc w:val="center"/>
            </w:pPr>
            <w:r w:rsidRPr="006014C6">
              <w:rPr>
                <w:color w:val="000000"/>
              </w:rPr>
              <w:t>870</w:t>
            </w:r>
          </w:p>
        </w:tc>
      </w:tr>
      <w:tr w:rsidR="009E2D7A" w:rsidRPr="008B00E6" w:rsidTr="009E2D7A">
        <w:trPr>
          <w:cantSplit/>
        </w:trPr>
        <w:tc>
          <w:tcPr>
            <w:tcW w:w="2888" w:type="dxa"/>
            <w:shd w:val="clear" w:color="auto" w:fill="auto"/>
            <w:noWrap/>
            <w:vAlign w:val="bottom"/>
            <w:hideMark/>
          </w:tcPr>
          <w:p w:rsidR="009E2D7A" w:rsidRPr="008B00E6" w:rsidRDefault="009E2D7A" w:rsidP="009E2D7A">
            <w:pPr>
              <w:spacing w:before="120" w:after="120"/>
            </w:pPr>
            <w:r w:rsidRPr="008B00E6">
              <w:t>Distant</w:t>
            </w:r>
          </w:p>
        </w:tc>
        <w:tc>
          <w:tcPr>
            <w:tcW w:w="1618" w:type="dxa"/>
            <w:shd w:val="clear" w:color="auto" w:fill="auto"/>
            <w:noWrap/>
            <w:vAlign w:val="center"/>
            <w:hideMark/>
          </w:tcPr>
          <w:p w:rsidR="009E2D7A" w:rsidRPr="006014C6" w:rsidRDefault="009E2D7A" w:rsidP="009E2D7A">
            <w:pPr>
              <w:spacing w:before="120" w:after="120"/>
              <w:jc w:val="center"/>
            </w:pPr>
            <w:r w:rsidRPr="006014C6">
              <w:rPr>
                <w:color w:val="000000"/>
              </w:rPr>
              <w:t>30,042</w:t>
            </w:r>
          </w:p>
        </w:tc>
        <w:tc>
          <w:tcPr>
            <w:tcW w:w="1618" w:type="dxa"/>
            <w:shd w:val="clear" w:color="auto" w:fill="auto"/>
            <w:noWrap/>
            <w:vAlign w:val="center"/>
            <w:hideMark/>
          </w:tcPr>
          <w:p w:rsidR="009E2D7A" w:rsidRPr="006014C6" w:rsidRDefault="009E2D7A" w:rsidP="009E2D7A">
            <w:pPr>
              <w:spacing w:before="120" w:after="120"/>
              <w:jc w:val="center"/>
            </w:pPr>
            <w:r w:rsidRPr="006014C6">
              <w:rPr>
                <w:color w:val="000000"/>
              </w:rPr>
              <w:t>6,890</w:t>
            </w:r>
          </w:p>
        </w:tc>
        <w:tc>
          <w:tcPr>
            <w:tcW w:w="1618" w:type="dxa"/>
            <w:shd w:val="clear" w:color="auto" w:fill="auto"/>
            <w:noWrap/>
            <w:vAlign w:val="center"/>
            <w:hideMark/>
          </w:tcPr>
          <w:p w:rsidR="009E2D7A" w:rsidRPr="006014C6" w:rsidRDefault="009E2D7A" w:rsidP="009E2D7A">
            <w:pPr>
              <w:spacing w:before="120" w:after="120"/>
              <w:jc w:val="center"/>
            </w:pPr>
            <w:r w:rsidRPr="006014C6">
              <w:rPr>
                <w:color w:val="000000"/>
              </w:rPr>
              <w:t>75,306</w:t>
            </w:r>
          </w:p>
        </w:tc>
        <w:tc>
          <w:tcPr>
            <w:tcW w:w="1618" w:type="dxa"/>
            <w:shd w:val="clear" w:color="auto" w:fill="auto"/>
            <w:noWrap/>
            <w:vAlign w:val="center"/>
            <w:hideMark/>
          </w:tcPr>
          <w:p w:rsidR="009E2D7A" w:rsidRPr="006014C6" w:rsidRDefault="009E2D7A" w:rsidP="009E2D7A">
            <w:pPr>
              <w:spacing w:before="120" w:after="120"/>
              <w:jc w:val="center"/>
            </w:pPr>
            <w:r w:rsidRPr="006014C6">
              <w:rPr>
                <w:color w:val="000000"/>
              </w:rPr>
              <w:t>896</w:t>
            </w:r>
          </w:p>
        </w:tc>
      </w:tr>
    </w:tbl>
    <w:p w:rsidR="0077026E" w:rsidRPr="008B00E6" w:rsidRDefault="0077026E" w:rsidP="0077026E">
      <w:pPr>
        <w:pStyle w:val="tabfigsource"/>
      </w:pPr>
    </w:p>
    <w:p w:rsidR="0077026E" w:rsidRPr="008B00E6" w:rsidRDefault="0048535C" w:rsidP="0077026E">
      <w:pPr>
        <w:pStyle w:val="BodyText1"/>
        <w:keepLines/>
      </w:pPr>
      <w:proofErr w:type="spellStart"/>
      <w:r>
        <w:t>Mariotto</w:t>
      </w:r>
      <w:proofErr w:type="spellEnd"/>
      <w:r>
        <w:t xml:space="preserve"> et al</w:t>
      </w:r>
      <w:r w:rsidR="00A372A8">
        <w:t xml:space="preserve"> </w:t>
      </w:r>
      <w:r w:rsidR="0077026E" w:rsidRPr="008B00E6">
        <w:t xml:space="preserve">reports the cost of treatment under Medicare, but </w:t>
      </w:r>
      <w:proofErr w:type="gramStart"/>
      <w:r w:rsidR="0077026E" w:rsidRPr="008B00E6">
        <w:t>women diagnosed with breast cancer by the NBCCEDP are treated by Medicaid</w:t>
      </w:r>
      <w:proofErr w:type="gramEnd"/>
      <w:r w:rsidR="0077026E" w:rsidRPr="008B00E6">
        <w:t>. A study of select Medica</w:t>
      </w:r>
      <w:r>
        <w:t>id fees by Zuckerman et al.</w:t>
      </w:r>
      <w:r w:rsidR="00161A4C">
        <w:t xml:space="preserve"> </w:t>
      </w:r>
      <w:r w:rsidR="0077026E" w:rsidRPr="008B00E6">
        <w:t xml:space="preserve">found that Medicaid pays an average of 72 cents on the dollar relative to Medicare. Although the procedures used to obtain this value did not explicitly include oncology services, it is not unreasonable to assume that this relationship holds for procedures that were not included in the sample. Thus, we applied a ratio of 0.72 to the treatment costs for women </w:t>
      </w:r>
      <w:r w:rsidR="0077026E">
        <w:t>younger than</w:t>
      </w:r>
      <w:r w:rsidR="0077026E" w:rsidRPr="008B00E6">
        <w:t xml:space="preserve"> age 65 obt</w:t>
      </w:r>
      <w:r w:rsidR="00B851B1">
        <w:t xml:space="preserve">ained using </w:t>
      </w:r>
      <w:proofErr w:type="spellStart"/>
      <w:r w:rsidR="00B851B1">
        <w:t>Mariotto</w:t>
      </w:r>
      <w:proofErr w:type="spellEnd"/>
      <w:r w:rsidR="00B851B1">
        <w:t xml:space="preserve"> et a</w:t>
      </w:r>
      <w:r>
        <w:t>l. and Fireman et al.</w:t>
      </w:r>
      <w:r w:rsidR="00A372A8">
        <w:t xml:space="preserve"> </w:t>
      </w:r>
      <w:r w:rsidR="0077026E" w:rsidRPr="008B00E6">
        <w:t>to estimate the cost of breast cancer treatment for women covered by Medicaid. Costs for women 65</w:t>
      </w:r>
      <w:r w:rsidR="0077026E">
        <w:t xml:space="preserve"> and older</w:t>
      </w:r>
      <w:r w:rsidR="0077026E" w:rsidRPr="008B00E6">
        <w:t xml:space="preserve"> were not adjusted because these women would likely qualify for coverage under Medicare.</w:t>
      </w:r>
      <w:r w:rsidR="0077026E">
        <w:t xml:space="preserve"> The final treatment costs are presented in Table A2c and included in the main manuscript as Table 2. </w:t>
      </w:r>
    </w:p>
    <w:p w:rsidR="0077026E" w:rsidRPr="008B00E6" w:rsidRDefault="0077026E" w:rsidP="0077026E">
      <w:pPr>
        <w:pStyle w:val="Heading2"/>
      </w:pPr>
      <w:r w:rsidRPr="008B00E6">
        <w:t>Health State Utility Variables</w:t>
      </w:r>
    </w:p>
    <w:p w:rsidR="0077026E" w:rsidRPr="008B00E6" w:rsidRDefault="0077026E" w:rsidP="0077026E">
      <w:pPr>
        <w:pStyle w:val="BodyText1"/>
      </w:pPr>
      <w:r w:rsidRPr="008B00E6">
        <w:t>We used health state utility values (Table A3</w:t>
      </w:r>
      <w:r w:rsidR="0048535C">
        <w:t>) taken from Yabroff et al.</w:t>
      </w:r>
      <w:r w:rsidR="00A372A8">
        <w:t xml:space="preserve"> </w:t>
      </w:r>
      <w:r w:rsidRPr="008B00E6">
        <w:t>in the main analysis of our NBCCEDP cost-effectiveness model. These utility values have the benefit of well-defined time frames since detection (initial, continuing, final year of life) that are identical to the time frames used to report our breast cancer treatment costs. This study also included controls for age, education, phase of care and comorbidities, ensuring that the reported decrement is age-independent and specifically attributable to breast cancer. However, this study does not stratify utility values by disease stage at diagnosis. To account for this, we included an additional utility decrement for distant breast cancer in a sensitivity analysis. This decrement is derived from a meta-analysis of breast cancer utility values.</w:t>
      </w:r>
    </w:p>
    <w:p w:rsidR="0077026E" w:rsidRPr="008B00E6" w:rsidRDefault="0077026E" w:rsidP="0077026E">
      <w:pPr>
        <w:pStyle w:val="tabfigtitle"/>
      </w:pPr>
      <w:r w:rsidRPr="008B00E6">
        <w:t xml:space="preserve">Table A3. Health Utility Decrements, by Year </w:t>
      </w:r>
      <w:r>
        <w:t>s</w:t>
      </w:r>
      <w:r w:rsidRPr="008B00E6">
        <w:t>ince Diagnosis</w:t>
      </w:r>
    </w:p>
    <w:tbl>
      <w:tblPr>
        <w:tblW w:w="9360" w:type="dxa"/>
        <w:tblInd w:w="93"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2272"/>
        <w:gridCol w:w="1584"/>
        <w:gridCol w:w="1376"/>
        <w:gridCol w:w="1376"/>
        <w:gridCol w:w="1376"/>
        <w:gridCol w:w="1376"/>
      </w:tblGrid>
      <w:tr w:rsidR="0077026E" w:rsidRPr="008B00E6" w:rsidTr="00246484">
        <w:trPr>
          <w:cantSplit/>
        </w:trPr>
        <w:tc>
          <w:tcPr>
            <w:tcW w:w="2272" w:type="dxa"/>
            <w:tcBorders>
              <w:bottom w:val="nil"/>
            </w:tcBorders>
            <w:shd w:val="clear" w:color="auto" w:fill="auto"/>
            <w:noWrap/>
            <w:vAlign w:val="bottom"/>
            <w:hideMark/>
          </w:tcPr>
          <w:p w:rsidR="0077026E" w:rsidRPr="008B00E6" w:rsidRDefault="0077026E" w:rsidP="00246484">
            <w:pPr>
              <w:keepNext/>
              <w:spacing w:before="120" w:after="120"/>
              <w:jc w:val="center"/>
              <w:rPr>
                <w:b/>
              </w:rPr>
            </w:pPr>
          </w:p>
        </w:tc>
        <w:tc>
          <w:tcPr>
            <w:tcW w:w="1584" w:type="dxa"/>
            <w:tcBorders>
              <w:top w:val="single" w:sz="12" w:space="0" w:color="auto"/>
              <w:bottom w:val="single" w:sz="6" w:space="0" w:color="auto"/>
              <w:right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Main Analysis</w:t>
            </w:r>
          </w:p>
        </w:tc>
        <w:tc>
          <w:tcPr>
            <w:tcW w:w="2752" w:type="dxa"/>
            <w:gridSpan w:val="2"/>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Sensitivity Analysis, Option 1</w:t>
            </w:r>
          </w:p>
        </w:tc>
        <w:tc>
          <w:tcPr>
            <w:tcW w:w="2752" w:type="dxa"/>
            <w:gridSpan w:val="2"/>
            <w:tcBorders>
              <w:top w:val="single" w:sz="12" w:space="0" w:color="auto"/>
              <w:left w:val="single" w:sz="6" w:space="0" w:color="auto"/>
              <w:bottom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Sensitivity Analysis, Option 2</w:t>
            </w:r>
          </w:p>
        </w:tc>
      </w:tr>
      <w:tr w:rsidR="0077026E" w:rsidRPr="008B00E6" w:rsidTr="00246484">
        <w:trPr>
          <w:cantSplit/>
        </w:trPr>
        <w:tc>
          <w:tcPr>
            <w:tcW w:w="2272" w:type="dxa"/>
            <w:tcBorders>
              <w:top w:val="nil"/>
              <w:bottom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Time Frame</w:t>
            </w:r>
          </w:p>
        </w:tc>
        <w:tc>
          <w:tcPr>
            <w:tcW w:w="1584" w:type="dxa"/>
            <w:tcBorders>
              <w:top w:val="single" w:sz="6" w:space="0" w:color="auto"/>
              <w:bottom w:val="single" w:sz="6" w:space="0" w:color="auto"/>
              <w:right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All Breast Cancers</w:t>
            </w:r>
          </w:p>
        </w:tc>
        <w:tc>
          <w:tcPr>
            <w:tcW w:w="1376" w:type="dxa"/>
            <w:tcBorders>
              <w:top w:val="single" w:sz="6" w:space="0" w:color="auto"/>
              <w:left w:val="single" w:sz="6" w:space="0" w:color="auto"/>
              <w:bottom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Local/</w:t>
            </w:r>
            <w:r w:rsidRPr="008B00E6">
              <w:rPr>
                <w:b/>
              </w:rPr>
              <w:br/>
              <w:t>Regional</w:t>
            </w:r>
          </w:p>
        </w:tc>
        <w:tc>
          <w:tcPr>
            <w:tcW w:w="1376" w:type="dxa"/>
            <w:tcBorders>
              <w:top w:val="single" w:sz="6" w:space="0" w:color="auto"/>
              <w:bottom w:val="single" w:sz="6" w:space="0" w:color="auto"/>
              <w:right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Distant</w:t>
            </w:r>
          </w:p>
        </w:tc>
        <w:tc>
          <w:tcPr>
            <w:tcW w:w="1376" w:type="dxa"/>
            <w:tcBorders>
              <w:top w:val="single" w:sz="6" w:space="0" w:color="auto"/>
              <w:left w:val="single" w:sz="6" w:space="0" w:color="auto"/>
              <w:bottom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Local/</w:t>
            </w:r>
            <w:r w:rsidRPr="008B00E6">
              <w:rPr>
                <w:b/>
              </w:rPr>
              <w:br/>
              <w:t>Regional</w:t>
            </w:r>
          </w:p>
        </w:tc>
        <w:tc>
          <w:tcPr>
            <w:tcW w:w="1376" w:type="dxa"/>
            <w:tcBorders>
              <w:top w:val="single" w:sz="6" w:space="0" w:color="auto"/>
              <w:bottom w:val="single" w:sz="6" w:space="0" w:color="auto"/>
            </w:tcBorders>
            <w:shd w:val="clear" w:color="auto" w:fill="auto"/>
            <w:noWrap/>
            <w:vAlign w:val="bottom"/>
            <w:hideMark/>
          </w:tcPr>
          <w:p w:rsidR="0077026E" w:rsidRPr="008B00E6" w:rsidRDefault="0077026E" w:rsidP="00246484">
            <w:pPr>
              <w:keepNext/>
              <w:spacing w:before="120" w:after="120"/>
              <w:jc w:val="center"/>
              <w:rPr>
                <w:b/>
              </w:rPr>
            </w:pPr>
            <w:r w:rsidRPr="008B00E6">
              <w:rPr>
                <w:b/>
              </w:rPr>
              <w:t>Distant</w:t>
            </w:r>
          </w:p>
        </w:tc>
      </w:tr>
      <w:tr w:rsidR="0077026E" w:rsidRPr="008B00E6" w:rsidTr="00246484">
        <w:trPr>
          <w:cantSplit/>
        </w:trPr>
        <w:tc>
          <w:tcPr>
            <w:tcW w:w="2272" w:type="dxa"/>
            <w:tcBorders>
              <w:top w:val="single" w:sz="6" w:space="0" w:color="auto"/>
            </w:tcBorders>
            <w:shd w:val="clear" w:color="auto" w:fill="auto"/>
            <w:noWrap/>
            <w:hideMark/>
          </w:tcPr>
          <w:p w:rsidR="0077026E" w:rsidRPr="008B00E6" w:rsidRDefault="0077026E" w:rsidP="00246484">
            <w:pPr>
              <w:keepNext/>
              <w:spacing w:before="120" w:after="120"/>
            </w:pPr>
            <w:r w:rsidRPr="008B00E6">
              <w:t>Initial</w:t>
            </w:r>
          </w:p>
        </w:tc>
        <w:tc>
          <w:tcPr>
            <w:tcW w:w="1584" w:type="dxa"/>
            <w:tcBorders>
              <w:top w:val="single" w:sz="6" w:space="0" w:color="auto"/>
              <w:right w:val="single" w:sz="6" w:space="0" w:color="auto"/>
            </w:tcBorders>
            <w:shd w:val="clear" w:color="auto" w:fill="auto"/>
            <w:noWrap/>
            <w:hideMark/>
          </w:tcPr>
          <w:p w:rsidR="0077026E" w:rsidRPr="008B00E6" w:rsidRDefault="0077026E" w:rsidP="00246484">
            <w:pPr>
              <w:keepNext/>
              <w:spacing w:before="120" w:after="120"/>
              <w:jc w:val="center"/>
            </w:pPr>
            <w:r w:rsidRPr="008B00E6">
              <w:t>0.07</w:t>
            </w:r>
          </w:p>
        </w:tc>
        <w:tc>
          <w:tcPr>
            <w:tcW w:w="1376" w:type="dxa"/>
            <w:tcBorders>
              <w:top w:val="single" w:sz="6" w:space="0" w:color="auto"/>
              <w:left w:val="single" w:sz="6" w:space="0" w:color="auto"/>
            </w:tcBorders>
            <w:shd w:val="clear" w:color="auto" w:fill="auto"/>
            <w:noWrap/>
            <w:hideMark/>
          </w:tcPr>
          <w:p w:rsidR="0077026E" w:rsidRPr="008B00E6" w:rsidRDefault="0077026E" w:rsidP="00246484">
            <w:pPr>
              <w:keepNext/>
              <w:spacing w:before="120" w:after="120"/>
              <w:jc w:val="center"/>
            </w:pPr>
            <w:r w:rsidRPr="008B00E6">
              <w:t>0.06</w:t>
            </w:r>
          </w:p>
        </w:tc>
        <w:tc>
          <w:tcPr>
            <w:tcW w:w="1376" w:type="dxa"/>
            <w:tcBorders>
              <w:top w:val="single" w:sz="6" w:space="0" w:color="auto"/>
              <w:right w:val="single" w:sz="6" w:space="0" w:color="auto"/>
            </w:tcBorders>
            <w:shd w:val="clear" w:color="auto" w:fill="auto"/>
            <w:noWrap/>
            <w:hideMark/>
          </w:tcPr>
          <w:p w:rsidR="0077026E" w:rsidRPr="008B00E6" w:rsidRDefault="0077026E" w:rsidP="00246484">
            <w:pPr>
              <w:keepNext/>
              <w:spacing w:before="120" w:after="120"/>
              <w:jc w:val="center"/>
            </w:pPr>
            <w:r w:rsidRPr="008B00E6">
              <w:t>0.23</w:t>
            </w:r>
          </w:p>
        </w:tc>
        <w:tc>
          <w:tcPr>
            <w:tcW w:w="1376" w:type="dxa"/>
            <w:tcBorders>
              <w:top w:val="single" w:sz="6" w:space="0" w:color="auto"/>
              <w:left w:val="single" w:sz="6" w:space="0" w:color="auto"/>
            </w:tcBorders>
            <w:shd w:val="clear" w:color="auto" w:fill="auto"/>
            <w:noWrap/>
            <w:hideMark/>
          </w:tcPr>
          <w:p w:rsidR="0077026E" w:rsidRPr="008B00E6" w:rsidRDefault="0077026E" w:rsidP="00246484">
            <w:pPr>
              <w:keepNext/>
              <w:spacing w:before="120" w:after="120"/>
              <w:jc w:val="center"/>
            </w:pPr>
            <w:r w:rsidRPr="008B00E6">
              <w:t>0.06</w:t>
            </w:r>
          </w:p>
        </w:tc>
        <w:tc>
          <w:tcPr>
            <w:tcW w:w="1376" w:type="dxa"/>
            <w:tcBorders>
              <w:top w:val="single" w:sz="6" w:space="0" w:color="auto"/>
            </w:tcBorders>
            <w:shd w:val="clear" w:color="auto" w:fill="auto"/>
            <w:noWrap/>
            <w:hideMark/>
          </w:tcPr>
          <w:p w:rsidR="0077026E" w:rsidRPr="008B00E6" w:rsidRDefault="0077026E" w:rsidP="00246484">
            <w:pPr>
              <w:keepNext/>
              <w:spacing w:before="120" w:after="120"/>
              <w:jc w:val="center"/>
            </w:pPr>
            <w:r w:rsidRPr="008B00E6">
              <w:t>0.31</w:t>
            </w:r>
          </w:p>
        </w:tc>
      </w:tr>
      <w:tr w:rsidR="0077026E" w:rsidRPr="008B00E6" w:rsidTr="00246484">
        <w:trPr>
          <w:cantSplit/>
        </w:trPr>
        <w:tc>
          <w:tcPr>
            <w:tcW w:w="2272" w:type="dxa"/>
            <w:shd w:val="clear" w:color="auto" w:fill="auto"/>
            <w:noWrap/>
            <w:hideMark/>
          </w:tcPr>
          <w:p w:rsidR="0077026E" w:rsidRPr="008B00E6" w:rsidRDefault="0077026E" w:rsidP="00246484">
            <w:pPr>
              <w:keepNext/>
              <w:spacing w:before="120" w:after="120"/>
            </w:pPr>
            <w:r w:rsidRPr="008B00E6">
              <w:t>Continuing</w:t>
            </w:r>
          </w:p>
        </w:tc>
        <w:tc>
          <w:tcPr>
            <w:tcW w:w="1584" w:type="dxa"/>
            <w:tcBorders>
              <w:right w:val="single" w:sz="6" w:space="0" w:color="auto"/>
            </w:tcBorders>
            <w:shd w:val="clear" w:color="auto" w:fill="auto"/>
            <w:noWrap/>
            <w:hideMark/>
          </w:tcPr>
          <w:p w:rsidR="0077026E" w:rsidRPr="008B00E6" w:rsidRDefault="0077026E" w:rsidP="00246484">
            <w:pPr>
              <w:keepNext/>
              <w:spacing w:before="120" w:after="120"/>
              <w:jc w:val="center"/>
            </w:pPr>
            <w:r w:rsidRPr="008B00E6">
              <w:t>0.04</w:t>
            </w:r>
          </w:p>
        </w:tc>
        <w:tc>
          <w:tcPr>
            <w:tcW w:w="1376" w:type="dxa"/>
            <w:tcBorders>
              <w:left w:val="single" w:sz="6" w:space="0" w:color="auto"/>
            </w:tcBorders>
            <w:shd w:val="clear" w:color="auto" w:fill="auto"/>
            <w:noWrap/>
            <w:hideMark/>
          </w:tcPr>
          <w:p w:rsidR="0077026E" w:rsidRPr="008B00E6" w:rsidRDefault="0077026E" w:rsidP="00246484">
            <w:pPr>
              <w:keepNext/>
              <w:spacing w:before="120" w:after="120"/>
              <w:jc w:val="center"/>
            </w:pPr>
            <w:r w:rsidRPr="008B00E6">
              <w:t>0.03</w:t>
            </w:r>
          </w:p>
        </w:tc>
        <w:tc>
          <w:tcPr>
            <w:tcW w:w="1376" w:type="dxa"/>
            <w:tcBorders>
              <w:right w:val="single" w:sz="6" w:space="0" w:color="auto"/>
            </w:tcBorders>
            <w:shd w:val="clear" w:color="auto" w:fill="auto"/>
            <w:noWrap/>
            <w:hideMark/>
          </w:tcPr>
          <w:p w:rsidR="0077026E" w:rsidRPr="008B00E6" w:rsidRDefault="0077026E" w:rsidP="00246484">
            <w:pPr>
              <w:keepNext/>
              <w:spacing w:before="120" w:after="120"/>
              <w:jc w:val="center"/>
            </w:pPr>
            <w:r w:rsidRPr="008B00E6">
              <w:t>0.20</w:t>
            </w:r>
          </w:p>
        </w:tc>
        <w:tc>
          <w:tcPr>
            <w:tcW w:w="1376" w:type="dxa"/>
            <w:tcBorders>
              <w:left w:val="single" w:sz="6" w:space="0" w:color="auto"/>
            </w:tcBorders>
            <w:shd w:val="clear" w:color="auto" w:fill="auto"/>
            <w:noWrap/>
            <w:hideMark/>
          </w:tcPr>
          <w:p w:rsidR="0077026E" w:rsidRPr="008B00E6" w:rsidRDefault="0077026E" w:rsidP="00246484">
            <w:pPr>
              <w:keepNext/>
              <w:spacing w:before="120" w:after="120"/>
              <w:jc w:val="center"/>
            </w:pPr>
            <w:r w:rsidRPr="008B00E6">
              <w:t>0.03</w:t>
            </w:r>
          </w:p>
        </w:tc>
        <w:tc>
          <w:tcPr>
            <w:tcW w:w="1376" w:type="dxa"/>
            <w:shd w:val="clear" w:color="auto" w:fill="auto"/>
            <w:noWrap/>
            <w:hideMark/>
          </w:tcPr>
          <w:p w:rsidR="0077026E" w:rsidRPr="008B00E6" w:rsidRDefault="0077026E" w:rsidP="00246484">
            <w:pPr>
              <w:keepNext/>
              <w:spacing w:before="120" w:after="120"/>
              <w:jc w:val="center"/>
            </w:pPr>
            <w:r w:rsidRPr="008B00E6">
              <w:t>0.28</w:t>
            </w:r>
          </w:p>
        </w:tc>
      </w:tr>
      <w:tr w:rsidR="0077026E" w:rsidRPr="008B00E6" w:rsidTr="00246484">
        <w:trPr>
          <w:cantSplit/>
        </w:trPr>
        <w:tc>
          <w:tcPr>
            <w:tcW w:w="2272" w:type="dxa"/>
            <w:shd w:val="clear" w:color="auto" w:fill="auto"/>
            <w:noWrap/>
            <w:hideMark/>
          </w:tcPr>
          <w:p w:rsidR="0077026E" w:rsidRPr="008B00E6" w:rsidRDefault="0077026E" w:rsidP="00246484">
            <w:pPr>
              <w:keepNext/>
              <w:spacing w:before="120" w:after="120"/>
            </w:pPr>
            <w:r w:rsidRPr="008B00E6">
              <w:t>Final Year of Life</w:t>
            </w:r>
          </w:p>
        </w:tc>
        <w:tc>
          <w:tcPr>
            <w:tcW w:w="1584" w:type="dxa"/>
            <w:tcBorders>
              <w:right w:val="single" w:sz="6" w:space="0" w:color="auto"/>
            </w:tcBorders>
            <w:shd w:val="clear" w:color="auto" w:fill="auto"/>
            <w:noWrap/>
            <w:hideMark/>
          </w:tcPr>
          <w:p w:rsidR="0077026E" w:rsidRPr="008B00E6" w:rsidRDefault="0077026E" w:rsidP="00246484">
            <w:pPr>
              <w:keepNext/>
              <w:spacing w:before="120" w:after="120"/>
              <w:jc w:val="center"/>
            </w:pPr>
            <w:r w:rsidRPr="008B00E6">
              <w:t>0.08</w:t>
            </w:r>
          </w:p>
        </w:tc>
        <w:tc>
          <w:tcPr>
            <w:tcW w:w="1376" w:type="dxa"/>
            <w:tcBorders>
              <w:left w:val="single" w:sz="6" w:space="0" w:color="auto"/>
              <w:bottom w:val="single" w:sz="12" w:space="0" w:color="auto"/>
            </w:tcBorders>
            <w:shd w:val="clear" w:color="auto" w:fill="auto"/>
            <w:noWrap/>
            <w:hideMark/>
          </w:tcPr>
          <w:p w:rsidR="0077026E" w:rsidRPr="008B00E6" w:rsidRDefault="0077026E" w:rsidP="00246484">
            <w:pPr>
              <w:keepNext/>
              <w:spacing w:before="120" w:after="120"/>
              <w:jc w:val="center"/>
            </w:pPr>
            <w:r w:rsidRPr="008B00E6">
              <w:t>0.07</w:t>
            </w:r>
          </w:p>
        </w:tc>
        <w:tc>
          <w:tcPr>
            <w:tcW w:w="1376" w:type="dxa"/>
            <w:tcBorders>
              <w:bottom w:val="single" w:sz="12" w:space="0" w:color="auto"/>
              <w:right w:val="single" w:sz="6" w:space="0" w:color="auto"/>
            </w:tcBorders>
            <w:shd w:val="clear" w:color="auto" w:fill="auto"/>
            <w:noWrap/>
            <w:hideMark/>
          </w:tcPr>
          <w:p w:rsidR="0077026E" w:rsidRPr="008B00E6" w:rsidRDefault="0077026E" w:rsidP="00246484">
            <w:pPr>
              <w:keepNext/>
              <w:spacing w:before="120" w:after="120"/>
              <w:jc w:val="center"/>
            </w:pPr>
            <w:r w:rsidRPr="008B00E6">
              <w:t>0.24</w:t>
            </w:r>
          </w:p>
        </w:tc>
        <w:tc>
          <w:tcPr>
            <w:tcW w:w="1376" w:type="dxa"/>
            <w:tcBorders>
              <w:left w:val="single" w:sz="6" w:space="0" w:color="auto"/>
              <w:bottom w:val="single" w:sz="12" w:space="0" w:color="auto"/>
            </w:tcBorders>
            <w:shd w:val="clear" w:color="auto" w:fill="auto"/>
            <w:noWrap/>
            <w:hideMark/>
          </w:tcPr>
          <w:p w:rsidR="0077026E" w:rsidRPr="008B00E6" w:rsidRDefault="0077026E" w:rsidP="00246484">
            <w:pPr>
              <w:keepNext/>
              <w:spacing w:before="120" w:after="120"/>
              <w:jc w:val="center"/>
            </w:pPr>
            <w:r w:rsidRPr="008B00E6">
              <w:t>0.07</w:t>
            </w:r>
          </w:p>
        </w:tc>
        <w:tc>
          <w:tcPr>
            <w:tcW w:w="1376" w:type="dxa"/>
            <w:tcBorders>
              <w:bottom w:val="single" w:sz="12" w:space="0" w:color="auto"/>
            </w:tcBorders>
            <w:shd w:val="clear" w:color="auto" w:fill="auto"/>
            <w:noWrap/>
            <w:hideMark/>
          </w:tcPr>
          <w:p w:rsidR="0077026E" w:rsidRPr="008B00E6" w:rsidRDefault="0077026E" w:rsidP="00246484">
            <w:pPr>
              <w:keepNext/>
              <w:spacing w:before="120" w:after="120"/>
              <w:jc w:val="center"/>
            </w:pPr>
            <w:r w:rsidRPr="008B00E6">
              <w:t>0.32</w:t>
            </w:r>
          </w:p>
        </w:tc>
      </w:tr>
    </w:tbl>
    <w:p w:rsidR="0077026E" w:rsidRPr="008B00E6" w:rsidRDefault="0077026E" w:rsidP="0077026E">
      <w:pPr>
        <w:pStyle w:val="tabfigsource"/>
      </w:pPr>
    </w:p>
    <w:p w:rsidR="0077026E" w:rsidRPr="008B00E6" w:rsidRDefault="0077026E" w:rsidP="0077026E">
      <w:pPr>
        <w:pStyle w:val="BodyText1"/>
      </w:pPr>
      <w:r w:rsidRPr="008B00E6">
        <w:t>During our literature review, we identified a meta-analysis of breast cancer utility</w:t>
      </w:r>
      <w:r w:rsidR="0048535C">
        <w:t xml:space="preserve"> values by </w:t>
      </w:r>
      <w:proofErr w:type="spellStart"/>
      <w:r w:rsidR="0048535C">
        <w:t>Peasgood</w:t>
      </w:r>
      <w:proofErr w:type="spellEnd"/>
      <w:r w:rsidR="0048535C">
        <w:t xml:space="preserve"> et al. (2010a).</w:t>
      </w:r>
      <w:r w:rsidRPr="008B00E6">
        <w:t xml:space="preserve"> </w:t>
      </w:r>
      <w:proofErr w:type="gramStart"/>
      <w:r w:rsidRPr="008B00E6">
        <w:t>Although</w:t>
      </w:r>
      <w:proofErr w:type="gramEnd"/>
      <w:r w:rsidRPr="008B00E6">
        <w:t xml:space="preserve"> a meta-analysis would be an ideal source for utility values, we encountered several problems which preclude using it in our main analysis. The studies used to perform this meta-analysis include many divergent disease states (i.e., treatment specific or side-effect specific utility values) and a wide variety of valuation methods. Due to these differing methods, it is unclear what constitutes full health for this pooled sample population. Additionally, the correct time frame over which to apply these values is ambiguous, and the reported models do not include values for remission from breast cancer. These considerations make it difficult to ensure that the utility values from this meta-analysis accurately reflect the health states that we wish to represent in the model.</w:t>
      </w:r>
    </w:p>
    <w:p w:rsidR="0077026E" w:rsidRPr="008B00E6" w:rsidRDefault="0077026E" w:rsidP="0077026E">
      <w:pPr>
        <w:pStyle w:val="BodyText1"/>
      </w:pPr>
      <w:r w:rsidRPr="008B00E6">
        <w:t>The utility values</w:t>
      </w:r>
      <w:r w:rsidR="0048535C">
        <w:t xml:space="preserve"> reported by Yabroff et al.</w:t>
      </w:r>
      <w:r w:rsidR="00A372A8">
        <w:t xml:space="preserve"> </w:t>
      </w:r>
      <w:r w:rsidRPr="008B00E6">
        <w:t>account for many of these issues. This study identified individuals with breast cancer in the 1986–94 National Health Interview Survey (NHIS), which includes the Health Activities and Limitations Index (</w:t>
      </w:r>
      <w:proofErr w:type="spellStart"/>
      <w:r w:rsidRPr="008B00E6">
        <w:t>HALex</w:t>
      </w:r>
      <w:proofErr w:type="spellEnd"/>
      <w:r w:rsidRPr="008B00E6">
        <w:t>). Individuals with breast cancer were divided into initial, continuing, and last year of life care phases. They were then matched with controls based on age, education, phase of care and comorbidities in order to determine a utility decrement that is attributable to breast cancer. This study reports utility decrements of 0.07, 0.04 and 0.08 for the initial, continuing and last year of life phases, respectively.</w:t>
      </w:r>
    </w:p>
    <w:p w:rsidR="0077026E" w:rsidRPr="008B00E6" w:rsidRDefault="0077026E" w:rsidP="0077026E">
      <w:pPr>
        <w:pStyle w:val="BodyText1"/>
      </w:pPr>
      <w:r w:rsidRPr="008B00E6">
        <w:t>Using this source in our model ensures that there is a consistent utility valuation method with a clear value for full health. The time periods in this study are well defined and coincide with the time periods that our costs are reported in. These time periods also account for remission from breast cancer because women in remission are not dropped from the sample. Although these utility values do not explicitly account for age heterogeneity, age-specific QALYs gained will reflect survival rates that are conditioned on age. The primary drawback to this study is that the utility values are not stratified by disease severity at diagnosis. Thus, in our main analysis, incremental utility increases for earlier detection would be primarily driven by increased life expectancy and a longer duration until the final year of life (with its larger decrement in utility) occurs.</w:t>
      </w:r>
    </w:p>
    <w:p w:rsidR="0077026E" w:rsidRDefault="0077026E" w:rsidP="0077026E">
      <w:pPr>
        <w:pStyle w:val="BodyText1"/>
      </w:pPr>
      <w:r w:rsidRPr="008B00E6">
        <w:t xml:space="preserve">To account for possible decreased utility in individuals with more advanced breast cancer, we examined the effects of adding an additional decrement for distant breast cancer as a sensitivity analysis. This decrement </w:t>
      </w:r>
      <w:proofErr w:type="gramStart"/>
      <w:r w:rsidRPr="008B00E6">
        <w:t>was de</w:t>
      </w:r>
      <w:r w:rsidR="0048535C">
        <w:t>rived</w:t>
      </w:r>
      <w:proofErr w:type="gramEnd"/>
      <w:r w:rsidR="0048535C">
        <w:t xml:space="preserve"> from </w:t>
      </w:r>
      <w:proofErr w:type="spellStart"/>
      <w:r w:rsidR="0048535C">
        <w:t>Peasgood</w:t>
      </w:r>
      <w:proofErr w:type="spellEnd"/>
      <w:r w:rsidR="0048535C">
        <w:t xml:space="preserve"> et al. (2010b).</w:t>
      </w:r>
      <w:r w:rsidRPr="008B00E6">
        <w:t xml:space="preserve"> </w:t>
      </w:r>
      <w:proofErr w:type="gramStart"/>
      <w:r w:rsidRPr="008B00E6">
        <w:t>We</w:t>
      </w:r>
      <w:proofErr w:type="gramEnd"/>
      <w:r w:rsidRPr="008B00E6">
        <w:t xml:space="preserve"> identified two alternative strategies for deriving this value. The first involves comparing similar health states across the two models in the meta-analysis, which are for early breast cancer and metastatic breast cancer. This method results in an additional decrement of 0.17 for distant breast cancer. For </w:t>
      </w:r>
      <w:r>
        <w:t>this decrement</w:t>
      </w:r>
      <w:r w:rsidRPr="008B00E6">
        <w:t>, we adjusted the utility values in the model using SEER incidence data to ensure that the average utility value for the population is equivalent to the values</w:t>
      </w:r>
      <w:r w:rsidR="0048535C">
        <w:t xml:space="preserve"> observed in Yabroff et al.</w:t>
      </w:r>
    </w:p>
    <w:p w:rsidR="0077026E" w:rsidRPr="008B00E6" w:rsidRDefault="0077026E" w:rsidP="0077026E">
      <w:pPr>
        <w:pStyle w:val="Heading2"/>
      </w:pPr>
      <w:r>
        <w:t>Screening Frequency</w:t>
      </w:r>
    </w:p>
    <w:p w:rsidR="0077026E" w:rsidRDefault="0077026E" w:rsidP="0077026E">
      <w:pPr>
        <w:pStyle w:val="BodyText1"/>
      </w:pPr>
      <w:r>
        <w:t>In the model, patients are divided into categories based on whether they are assumed to receive annual, biennial, or irregular screening. For participants in the NBCCEDP, we used MDE patient data to estimate the frequency of mammograms within the program and the age distribution of the program population. For each woman for whom we had MDE data, we used the dates of each program mammogram and the dates of any out-of-program mammograms reported by the women to calculate the frequency of receiving a mammogram. To limit our analysis to “screening” mammograms, we excluded any mammograms less than 9 months after the previous reported mammogram. After estimating the mean time between mammograms, we categorized each woman as receiving annual screening (&lt; 1.5 years), biennial screening (1.5 to &lt; 2.5 years), or irregular screening (2.5 years or more) according to the definitio</w:t>
      </w:r>
      <w:r w:rsidR="0048535C">
        <w:t>ns used by Cronin et al.</w:t>
      </w:r>
      <w:r>
        <w:t xml:space="preserve"> All analyses were restricted to the population aged 40 to 64 years. </w:t>
      </w:r>
      <w:r w:rsidRPr="00725326">
        <w:t>For uninsured women outside the NBCCEDP, we used 1990–2005 National Health Interview Survey data on uninsured women to estimate the proportion of women in each category.</w:t>
      </w:r>
      <w:r>
        <w:t xml:space="preserve"> Our estimates are presented in Table A4.</w:t>
      </w:r>
    </w:p>
    <w:p w:rsidR="0077026E" w:rsidRDefault="0077026E" w:rsidP="0077026E">
      <w:pPr>
        <w:rPr>
          <w:b/>
        </w:rPr>
      </w:pPr>
      <w:r>
        <w:br w:type="page"/>
      </w:r>
    </w:p>
    <w:p w:rsidR="0077026E" w:rsidRPr="000E6D21" w:rsidRDefault="0077026E" w:rsidP="0077026E">
      <w:pPr>
        <w:pStyle w:val="tabfigtitle"/>
        <w:ind w:left="1080" w:hanging="1080"/>
      </w:pPr>
      <w:r w:rsidRPr="000E6D21">
        <w:t>Table A4.</w:t>
      </w:r>
      <w:r>
        <w:tab/>
      </w:r>
      <w:r w:rsidRPr="000E6D21">
        <w:t>Percentage of Annual, Biennial, and Irregular Screeners among Uninsured Women, Stratified by Age</w:t>
      </w:r>
    </w:p>
    <w:tbl>
      <w:tblPr>
        <w:tblW w:w="9420" w:type="dxa"/>
        <w:tblLayout w:type="fixed"/>
        <w:tblLook w:val="0000" w:firstRow="0" w:lastRow="0" w:firstColumn="0" w:lastColumn="0" w:noHBand="0" w:noVBand="0"/>
      </w:tblPr>
      <w:tblGrid>
        <w:gridCol w:w="828"/>
        <w:gridCol w:w="432"/>
        <w:gridCol w:w="827"/>
        <w:gridCol w:w="1259"/>
        <w:gridCol w:w="1490"/>
        <w:gridCol w:w="132"/>
        <w:gridCol w:w="180"/>
        <w:gridCol w:w="180"/>
        <w:gridCol w:w="1008"/>
        <w:gridCol w:w="1435"/>
        <w:gridCol w:w="1469"/>
        <w:gridCol w:w="180"/>
      </w:tblGrid>
      <w:tr w:rsidR="0077026E" w:rsidRPr="00F81CEA" w:rsidTr="00246484">
        <w:trPr>
          <w:trHeight w:val="255"/>
        </w:trPr>
        <w:tc>
          <w:tcPr>
            <w:tcW w:w="1260" w:type="dxa"/>
            <w:gridSpan w:val="2"/>
            <w:tcBorders>
              <w:top w:val="single" w:sz="12" w:space="0" w:color="auto"/>
              <w:left w:val="nil"/>
              <w:right w:val="nil"/>
            </w:tcBorders>
            <w:shd w:val="clear" w:color="auto" w:fill="auto"/>
            <w:noWrap/>
            <w:vAlign w:val="bottom"/>
          </w:tcPr>
          <w:p w:rsidR="0077026E" w:rsidRPr="00F81CEA" w:rsidRDefault="0077026E" w:rsidP="00246484">
            <w:pPr>
              <w:spacing w:line="480" w:lineRule="auto"/>
              <w:rPr>
                <w:b/>
                <w:szCs w:val="24"/>
              </w:rPr>
            </w:pPr>
          </w:p>
        </w:tc>
        <w:tc>
          <w:tcPr>
            <w:tcW w:w="3708" w:type="dxa"/>
            <w:gridSpan w:val="4"/>
            <w:tcBorders>
              <w:top w:val="single" w:sz="12" w:space="0" w:color="auto"/>
              <w:left w:val="nil"/>
              <w:bottom w:val="single" w:sz="4" w:space="0" w:color="auto"/>
              <w:right w:val="nil"/>
            </w:tcBorders>
            <w:shd w:val="clear" w:color="auto" w:fill="auto"/>
            <w:noWrap/>
            <w:vAlign w:val="bottom"/>
          </w:tcPr>
          <w:p w:rsidR="0077026E" w:rsidRPr="00F81CEA" w:rsidRDefault="0077026E" w:rsidP="00246484">
            <w:pPr>
              <w:spacing w:line="480" w:lineRule="auto"/>
              <w:jc w:val="center"/>
              <w:rPr>
                <w:b/>
                <w:szCs w:val="24"/>
              </w:rPr>
            </w:pPr>
            <w:r w:rsidRPr="00F81CEA">
              <w:rPr>
                <w:b/>
                <w:szCs w:val="24"/>
              </w:rPr>
              <w:t>General Uninsured Population</w:t>
            </w:r>
          </w:p>
        </w:tc>
        <w:tc>
          <w:tcPr>
            <w:tcW w:w="360" w:type="dxa"/>
            <w:gridSpan w:val="2"/>
            <w:tcBorders>
              <w:top w:val="single" w:sz="12" w:space="0" w:color="auto"/>
              <w:left w:val="nil"/>
              <w:bottom w:val="single" w:sz="4" w:space="0" w:color="auto"/>
              <w:right w:val="nil"/>
            </w:tcBorders>
          </w:tcPr>
          <w:p w:rsidR="0077026E" w:rsidRPr="00F81CEA" w:rsidRDefault="0077026E" w:rsidP="00246484">
            <w:pPr>
              <w:spacing w:line="480" w:lineRule="auto"/>
              <w:rPr>
                <w:b/>
                <w:szCs w:val="24"/>
              </w:rPr>
            </w:pPr>
          </w:p>
        </w:tc>
        <w:tc>
          <w:tcPr>
            <w:tcW w:w="4092" w:type="dxa"/>
            <w:gridSpan w:val="4"/>
            <w:tcBorders>
              <w:top w:val="single" w:sz="12" w:space="0" w:color="auto"/>
              <w:left w:val="nil"/>
              <w:bottom w:val="single" w:sz="4" w:space="0" w:color="auto"/>
              <w:right w:val="nil"/>
            </w:tcBorders>
          </w:tcPr>
          <w:p w:rsidR="0077026E" w:rsidRPr="00F81CEA" w:rsidRDefault="0077026E" w:rsidP="00246484">
            <w:pPr>
              <w:spacing w:line="480" w:lineRule="auto"/>
              <w:jc w:val="center"/>
              <w:rPr>
                <w:b/>
                <w:szCs w:val="24"/>
              </w:rPr>
            </w:pPr>
            <w:r>
              <w:rPr>
                <w:b/>
                <w:szCs w:val="24"/>
              </w:rPr>
              <w:t>NBCCEDP</w:t>
            </w:r>
            <w:r w:rsidRPr="00F81CEA">
              <w:rPr>
                <w:b/>
                <w:szCs w:val="24"/>
              </w:rPr>
              <w:t xml:space="preserve"> Uninsured Population</w:t>
            </w:r>
          </w:p>
        </w:tc>
      </w:tr>
      <w:tr w:rsidR="0077026E" w:rsidRPr="00F81CEA" w:rsidTr="00246484">
        <w:trPr>
          <w:gridAfter w:val="1"/>
          <w:wAfter w:w="180" w:type="dxa"/>
          <w:trHeight w:val="255"/>
        </w:trPr>
        <w:tc>
          <w:tcPr>
            <w:tcW w:w="828" w:type="dxa"/>
            <w:tcBorders>
              <w:left w:val="nil"/>
              <w:bottom w:val="single" w:sz="4" w:space="0" w:color="auto"/>
              <w:right w:val="nil"/>
            </w:tcBorders>
            <w:shd w:val="clear" w:color="auto" w:fill="auto"/>
            <w:noWrap/>
            <w:vAlign w:val="bottom"/>
          </w:tcPr>
          <w:p w:rsidR="0077026E" w:rsidRPr="00F81CEA" w:rsidRDefault="0077026E" w:rsidP="00246484">
            <w:pPr>
              <w:spacing w:line="480" w:lineRule="auto"/>
              <w:rPr>
                <w:b/>
                <w:szCs w:val="24"/>
              </w:rPr>
            </w:pPr>
            <w:r w:rsidRPr="00F81CEA">
              <w:rPr>
                <w:b/>
                <w:szCs w:val="24"/>
              </w:rPr>
              <w:t>Age</w:t>
            </w:r>
          </w:p>
        </w:tc>
        <w:tc>
          <w:tcPr>
            <w:tcW w:w="1259" w:type="dxa"/>
            <w:gridSpan w:val="2"/>
            <w:tcBorders>
              <w:top w:val="single" w:sz="4" w:space="0" w:color="auto"/>
              <w:left w:val="nil"/>
              <w:bottom w:val="single" w:sz="4" w:space="0" w:color="auto"/>
              <w:right w:val="nil"/>
            </w:tcBorders>
            <w:shd w:val="clear" w:color="auto" w:fill="auto"/>
            <w:noWrap/>
            <w:vAlign w:val="bottom"/>
          </w:tcPr>
          <w:p w:rsidR="0077026E" w:rsidRPr="00F81CEA" w:rsidRDefault="0077026E" w:rsidP="00246484">
            <w:pPr>
              <w:spacing w:line="480" w:lineRule="auto"/>
              <w:jc w:val="right"/>
              <w:rPr>
                <w:b/>
                <w:szCs w:val="24"/>
              </w:rPr>
            </w:pPr>
            <w:r w:rsidRPr="00F81CEA">
              <w:rPr>
                <w:b/>
                <w:szCs w:val="24"/>
              </w:rPr>
              <w:t>Annual</w:t>
            </w:r>
          </w:p>
        </w:tc>
        <w:tc>
          <w:tcPr>
            <w:tcW w:w="1259" w:type="dxa"/>
            <w:tcBorders>
              <w:top w:val="single" w:sz="4" w:space="0" w:color="auto"/>
              <w:left w:val="nil"/>
              <w:bottom w:val="single" w:sz="4" w:space="0" w:color="auto"/>
              <w:right w:val="nil"/>
            </w:tcBorders>
            <w:shd w:val="clear" w:color="auto" w:fill="auto"/>
            <w:noWrap/>
            <w:vAlign w:val="bottom"/>
          </w:tcPr>
          <w:p w:rsidR="0077026E" w:rsidRPr="00F81CEA" w:rsidRDefault="0077026E" w:rsidP="00246484">
            <w:pPr>
              <w:spacing w:line="480" w:lineRule="auto"/>
              <w:ind w:right="-126"/>
              <w:jc w:val="right"/>
              <w:rPr>
                <w:b/>
                <w:szCs w:val="24"/>
              </w:rPr>
            </w:pPr>
            <w:r w:rsidRPr="00F81CEA">
              <w:rPr>
                <w:b/>
                <w:szCs w:val="24"/>
              </w:rPr>
              <w:t xml:space="preserve">Biannual </w:t>
            </w:r>
          </w:p>
        </w:tc>
        <w:tc>
          <w:tcPr>
            <w:tcW w:w="1490" w:type="dxa"/>
            <w:tcBorders>
              <w:top w:val="single" w:sz="4" w:space="0" w:color="auto"/>
              <w:left w:val="nil"/>
              <w:bottom w:val="single" w:sz="4" w:space="0" w:color="auto"/>
              <w:right w:val="nil"/>
            </w:tcBorders>
            <w:shd w:val="clear" w:color="auto" w:fill="auto"/>
            <w:noWrap/>
            <w:vAlign w:val="bottom"/>
          </w:tcPr>
          <w:p w:rsidR="0077026E" w:rsidRPr="00F81CEA" w:rsidRDefault="0077026E" w:rsidP="00246484">
            <w:pPr>
              <w:spacing w:line="480" w:lineRule="auto"/>
              <w:jc w:val="right"/>
              <w:rPr>
                <w:b/>
                <w:szCs w:val="24"/>
              </w:rPr>
            </w:pPr>
            <w:r w:rsidRPr="00F81CEA">
              <w:rPr>
                <w:b/>
                <w:szCs w:val="24"/>
              </w:rPr>
              <w:t>Irregular</w:t>
            </w:r>
          </w:p>
        </w:tc>
        <w:tc>
          <w:tcPr>
            <w:tcW w:w="312" w:type="dxa"/>
            <w:gridSpan w:val="2"/>
            <w:tcBorders>
              <w:top w:val="single" w:sz="4" w:space="0" w:color="auto"/>
              <w:left w:val="nil"/>
              <w:bottom w:val="single" w:sz="4" w:space="0" w:color="auto"/>
              <w:right w:val="nil"/>
            </w:tcBorders>
          </w:tcPr>
          <w:p w:rsidR="0077026E" w:rsidRPr="00F81CEA" w:rsidRDefault="0077026E" w:rsidP="00246484">
            <w:pPr>
              <w:spacing w:line="480" w:lineRule="auto"/>
              <w:jc w:val="right"/>
              <w:rPr>
                <w:b/>
                <w:szCs w:val="24"/>
              </w:rPr>
            </w:pPr>
          </w:p>
        </w:tc>
        <w:tc>
          <w:tcPr>
            <w:tcW w:w="1188" w:type="dxa"/>
            <w:gridSpan w:val="2"/>
            <w:tcBorders>
              <w:top w:val="single" w:sz="4" w:space="0" w:color="auto"/>
              <w:left w:val="nil"/>
              <w:bottom w:val="single" w:sz="4" w:space="0" w:color="auto"/>
              <w:right w:val="nil"/>
            </w:tcBorders>
            <w:vAlign w:val="bottom"/>
          </w:tcPr>
          <w:p w:rsidR="0077026E" w:rsidRPr="00F81CEA" w:rsidRDefault="0077026E" w:rsidP="00246484">
            <w:pPr>
              <w:spacing w:line="480" w:lineRule="auto"/>
              <w:jc w:val="right"/>
              <w:rPr>
                <w:b/>
                <w:szCs w:val="24"/>
              </w:rPr>
            </w:pPr>
            <w:r w:rsidRPr="00F81CEA">
              <w:rPr>
                <w:b/>
                <w:szCs w:val="24"/>
              </w:rPr>
              <w:t>Annual</w:t>
            </w:r>
          </w:p>
        </w:tc>
        <w:tc>
          <w:tcPr>
            <w:tcW w:w="1435" w:type="dxa"/>
            <w:tcBorders>
              <w:top w:val="single" w:sz="4" w:space="0" w:color="auto"/>
              <w:left w:val="nil"/>
              <w:bottom w:val="single" w:sz="4" w:space="0" w:color="auto"/>
              <w:right w:val="nil"/>
            </w:tcBorders>
            <w:vAlign w:val="bottom"/>
          </w:tcPr>
          <w:p w:rsidR="0077026E" w:rsidRPr="00F81CEA" w:rsidRDefault="0077026E" w:rsidP="00246484">
            <w:pPr>
              <w:spacing w:line="480" w:lineRule="auto"/>
              <w:jc w:val="right"/>
              <w:rPr>
                <w:b/>
                <w:szCs w:val="24"/>
              </w:rPr>
            </w:pPr>
            <w:r w:rsidRPr="00F81CEA">
              <w:rPr>
                <w:b/>
                <w:szCs w:val="24"/>
              </w:rPr>
              <w:t xml:space="preserve">Biannual </w:t>
            </w:r>
          </w:p>
        </w:tc>
        <w:tc>
          <w:tcPr>
            <w:tcW w:w="1469" w:type="dxa"/>
            <w:tcBorders>
              <w:top w:val="single" w:sz="4" w:space="0" w:color="auto"/>
              <w:left w:val="nil"/>
              <w:bottom w:val="single" w:sz="4" w:space="0" w:color="auto"/>
              <w:right w:val="nil"/>
            </w:tcBorders>
            <w:vAlign w:val="bottom"/>
          </w:tcPr>
          <w:p w:rsidR="0077026E" w:rsidRPr="00F81CEA" w:rsidRDefault="0077026E" w:rsidP="00246484">
            <w:pPr>
              <w:spacing w:line="480" w:lineRule="auto"/>
              <w:jc w:val="right"/>
              <w:rPr>
                <w:b/>
                <w:szCs w:val="24"/>
              </w:rPr>
            </w:pPr>
            <w:r w:rsidRPr="00F81CEA">
              <w:rPr>
                <w:b/>
                <w:szCs w:val="24"/>
              </w:rPr>
              <w:t>Irregular</w:t>
            </w:r>
          </w:p>
        </w:tc>
      </w:tr>
      <w:tr w:rsidR="0077026E" w:rsidRPr="00F81CEA" w:rsidTr="00246484">
        <w:trPr>
          <w:gridAfter w:val="1"/>
          <w:wAfter w:w="180" w:type="dxa"/>
          <w:trHeight w:val="255"/>
        </w:trPr>
        <w:tc>
          <w:tcPr>
            <w:tcW w:w="828" w:type="dxa"/>
            <w:tcBorders>
              <w:top w:val="single" w:sz="4" w:space="0" w:color="auto"/>
              <w:left w:val="nil"/>
              <w:bottom w:val="nil"/>
              <w:right w:val="nil"/>
            </w:tcBorders>
            <w:shd w:val="clear" w:color="auto" w:fill="auto"/>
            <w:noWrap/>
            <w:vAlign w:val="bottom"/>
          </w:tcPr>
          <w:p w:rsidR="0077026E" w:rsidRPr="00F81CEA" w:rsidRDefault="0077026E" w:rsidP="00246484">
            <w:pPr>
              <w:spacing w:line="480" w:lineRule="auto"/>
              <w:rPr>
                <w:szCs w:val="24"/>
              </w:rPr>
            </w:pPr>
            <w:r w:rsidRPr="00F81CEA">
              <w:rPr>
                <w:szCs w:val="24"/>
              </w:rPr>
              <w:t>20</w:t>
            </w:r>
          </w:p>
        </w:tc>
        <w:tc>
          <w:tcPr>
            <w:tcW w:w="1259" w:type="dxa"/>
            <w:gridSpan w:val="2"/>
            <w:tcBorders>
              <w:top w:val="single" w:sz="4" w:space="0" w:color="auto"/>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0.0629</w:t>
            </w:r>
          </w:p>
        </w:tc>
        <w:tc>
          <w:tcPr>
            <w:tcW w:w="1259" w:type="dxa"/>
            <w:tcBorders>
              <w:top w:val="single" w:sz="4" w:space="0" w:color="auto"/>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0.1219</w:t>
            </w:r>
          </w:p>
        </w:tc>
        <w:tc>
          <w:tcPr>
            <w:tcW w:w="1490" w:type="dxa"/>
            <w:tcBorders>
              <w:top w:val="single" w:sz="4" w:space="0" w:color="auto"/>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0.8152</w:t>
            </w:r>
          </w:p>
        </w:tc>
        <w:tc>
          <w:tcPr>
            <w:tcW w:w="312" w:type="dxa"/>
            <w:gridSpan w:val="2"/>
            <w:tcBorders>
              <w:top w:val="single" w:sz="4" w:space="0" w:color="auto"/>
              <w:left w:val="nil"/>
              <w:bottom w:val="nil"/>
              <w:right w:val="nil"/>
            </w:tcBorders>
          </w:tcPr>
          <w:p w:rsidR="0077026E" w:rsidRPr="00F81CEA" w:rsidRDefault="0077026E" w:rsidP="00246484">
            <w:pPr>
              <w:spacing w:line="480" w:lineRule="auto"/>
              <w:jc w:val="right"/>
              <w:rPr>
                <w:szCs w:val="24"/>
              </w:rPr>
            </w:pPr>
          </w:p>
        </w:tc>
        <w:tc>
          <w:tcPr>
            <w:tcW w:w="1188" w:type="dxa"/>
            <w:gridSpan w:val="2"/>
            <w:tcBorders>
              <w:top w:val="single" w:sz="4" w:space="0" w:color="auto"/>
              <w:left w:val="nil"/>
              <w:bottom w:val="nil"/>
              <w:right w:val="nil"/>
            </w:tcBorders>
            <w:vAlign w:val="bottom"/>
          </w:tcPr>
          <w:p w:rsidR="0077026E" w:rsidRPr="00F81CEA" w:rsidRDefault="0077026E" w:rsidP="00246484">
            <w:pPr>
              <w:spacing w:line="480" w:lineRule="auto"/>
              <w:jc w:val="right"/>
              <w:rPr>
                <w:szCs w:val="24"/>
              </w:rPr>
            </w:pPr>
            <w:r w:rsidRPr="00F81CEA">
              <w:rPr>
                <w:szCs w:val="24"/>
              </w:rPr>
              <w:t>0.0629</w:t>
            </w:r>
          </w:p>
        </w:tc>
        <w:tc>
          <w:tcPr>
            <w:tcW w:w="1435" w:type="dxa"/>
            <w:tcBorders>
              <w:top w:val="single" w:sz="4" w:space="0" w:color="auto"/>
              <w:left w:val="nil"/>
              <w:bottom w:val="nil"/>
              <w:right w:val="nil"/>
            </w:tcBorders>
            <w:vAlign w:val="bottom"/>
          </w:tcPr>
          <w:p w:rsidR="0077026E" w:rsidRPr="00F81CEA" w:rsidRDefault="0077026E" w:rsidP="00246484">
            <w:pPr>
              <w:spacing w:line="480" w:lineRule="auto"/>
              <w:jc w:val="right"/>
              <w:rPr>
                <w:szCs w:val="24"/>
              </w:rPr>
            </w:pPr>
            <w:r w:rsidRPr="00F81CEA">
              <w:rPr>
                <w:szCs w:val="24"/>
              </w:rPr>
              <w:t>0.1219</w:t>
            </w:r>
          </w:p>
        </w:tc>
        <w:tc>
          <w:tcPr>
            <w:tcW w:w="1469" w:type="dxa"/>
            <w:tcBorders>
              <w:top w:val="single" w:sz="4" w:space="0" w:color="auto"/>
              <w:left w:val="nil"/>
              <w:bottom w:val="nil"/>
              <w:right w:val="nil"/>
            </w:tcBorders>
            <w:vAlign w:val="bottom"/>
          </w:tcPr>
          <w:p w:rsidR="0077026E" w:rsidRPr="00F81CEA" w:rsidRDefault="0077026E" w:rsidP="00246484">
            <w:pPr>
              <w:spacing w:line="480" w:lineRule="auto"/>
              <w:jc w:val="right"/>
              <w:rPr>
                <w:szCs w:val="24"/>
              </w:rPr>
            </w:pPr>
            <w:r w:rsidRPr="00F81CEA">
              <w:rPr>
                <w:szCs w:val="24"/>
              </w:rPr>
              <w:t>0.8152</w:t>
            </w:r>
          </w:p>
        </w:tc>
      </w:tr>
      <w:tr w:rsidR="0077026E" w:rsidRPr="00F81CEA" w:rsidTr="00246484">
        <w:trPr>
          <w:gridAfter w:val="1"/>
          <w:wAfter w:w="180" w:type="dxa"/>
          <w:trHeight w:val="255"/>
        </w:trPr>
        <w:tc>
          <w:tcPr>
            <w:tcW w:w="828" w:type="dxa"/>
            <w:tcBorders>
              <w:top w:val="nil"/>
              <w:left w:val="nil"/>
              <w:bottom w:val="nil"/>
              <w:right w:val="nil"/>
            </w:tcBorders>
            <w:shd w:val="clear" w:color="auto" w:fill="auto"/>
            <w:noWrap/>
            <w:vAlign w:val="bottom"/>
          </w:tcPr>
          <w:p w:rsidR="0077026E" w:rsidRPr="00F81CEA" w:rsidRDefault="0077026E" w:rsidP="00246484">
            <w:pPr>
              <w:spacing w:line="480" w:lineRule="auto"/>
              <w:rPr>
                <w:szCs w:val="24"/>
              </w:rPr>
            </w:pPr>
            <w:r w:rsidRPr="00F81CEA">
              <w:rPr>
                <w:szCs w:val="24"/>
              </w:rPr>
              <w:t>40</w:t>
            </w:r>
          </w:p>
        </w:tc>
        <w:tc>
          <w:tcPr>
            <w:tcW w:w="1259" w:type="dxa"/>
            <w:gridSpan w:val="2"/>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0.1767</w:t>
            </w:r>
          </w:p>
        </w:tc>
        <w:tc>
          <w:tcPr>
            <w:tcW w:w="1259"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0.1833</w:t>
            </w:r>
          </w:p>
        </w:tc>
        <w:tc>
          <w:tcPr>
            <w:tcW w:w="1490"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0.64</w:t>
            </w:r>
          </w:p>
        </w:tc>
        <w:tc>
          <w:tcPr>
            <w:tcW w:w="312" w:type="dxa"/>
            <w:gridSpan w:val="2"/>
            <w:tcBorders>
              <w:top w:val="nil"/>
              <w:left w:val="nil"/>
              <w:bottom w:val="nil"/>
              <w:right w:val="nil"/>
            </w:tcBorders>
          </w:tcPr>
          <w:p w:rsidR="0077026E" w:rsidRPr="00F81CEA" w:rsidRDefault="0077026E" w:rsidP="00246484">
            <w:pPr>
              <w:spacing w:line="480" w:lineRule="auto"/>
              <w:jc w:val="right"/>
              <w:rPr>
                <w:szCs w:val="24"/>
              </w:rPr>
            </w:pPr>
          </w:p>
        </w:tc>
        <w:tc>
          <w:tcPr>
            <w:tcW w:w="1188" w:type="dxa"/>
            <w:gridSpan w:val="2"/>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0.4692</w:t>
            </w:r>
          </w:p>
        </w:tc>
        <w:tc>
          <w:tcPr>
            <w:tcW w:w="1435" w:type="dxa"/>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0.2559</w:t>
            </w:r>
          </w:p>
        </w:tc>
        <w:tc>
          <w:tcPr>
            <w:tcW w:w="1469" w:type="dxa"/>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0.2750</w:t>
            </w:r>
          </w:p>
        </w:tc>
      </w:tr>
      <w:tr w:rsidR="0077026E" w:rsidRPr="00F81CEA" w:rsidTr="00246484">
        <w:trPr>
          <w:gridAfter w:val="1"/>
          <w:wAfter w:w="180" w:type="dxa"/>
          <w:trHeight w:val="255"/>
        </w:trPr>
        <w:tc>
          <w:tcPr>
            <w:tcW w:w="828" w:type="dxa"/>
            <w:tcBorders>
              <w:top w:val="nil"/>
              <w:left w:val="nil"/>
              <w:bottom w:val="nil"/>
              <w:right w:val="nil"/>
            </w:tcBorders>
            <w:shd w:val="clear" w:color="auto" w:fill="auto"/>
            <w:noWrap/>
            <w:vAlign w:val="bottom"/>
          </w:tcPr>
          <w:p w:rsidR="0077026E" w:rsidRPr="00F81CEA" w:rsidRDefault="0077026E" w:rsidP="00246484">
            <w:pPr>
              <w:spacing w:line="480" w:lineRule="auto"/>
              <w:rPr>
                <w:szCs w:val="24"/>
              </w:rPr>
            </w:pPr>
            <w:r w:rsidRPr="00F81CEA">
              <w:rPr>
                <w:szCs w:val="24"/>
              </w:rPr>
              <w:t>50</w:t>
            </w:r>
          </w:p>
        </w:tc>
        <w:tc>
          <w:tcPr>
            <w:tcW w:w="1259" w:type="dxa"/>
            <w:gridSpan w:val="2"/>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0.2872</w:t>
            </w:r>
          </w:p>
        </w:tc>
        <w:tc>
          <w:tcPr>
            <w:tcW w:w="1259"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0.207</w:t>
            </w:r>
          </w:p>
        </w:tc>
        <w:tc>
          <w:tcPr>
            <w:tcW w:w="1490"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0.5059</w:t>
            </w:r>
          </w:p>
        </w:tc>
        <w:tc>
          <w:tcPr>
            <w:tcW w:w="312" w:type="dxa"/>
            <w:gridSpan w:val="2"/>
            <w:tcBorders>
              <w:top w:val="nil"/>
              <w:left w:val="nil"/>
              <w:bottom w:val="nil"/>
              <w:right w:val="nil"/>
            </w:tcBorders>
          </w:tcPr>
          <w:p w:rsidR="0077026E" w:rsidRPr="00F81CEA" w:rsidRDefault="0077026E" w:rsidP="00246484">
            <w:pPr>
              <w:spacing w:line="480" w:lineRule="auto"/>
              <w:jc w:val="right"/>
              <w:rPr>
                <w:szCs w:val="24"/>
              </w:rPr>
            </w:pPr>
          </w:p>
        </w:tc>
        <w:tc>
          <w:tcPr>
            <w:tcW w:w="1188" w:type="dxa"/>
            <w:gridSpan w:val="2"/>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0.5601</w:t>
            </w:r>
          </w:p>
        </w:tc>
        <w:tc>
          <w:tcPr>
            <w:tcW w:w="1435" w:type="dxa"/>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0.2394</w:t>
            </w:r>
          </w:p>
        </w:tc>
        <w:tc>
          <w:tcPr>
            <w:tcW w:w="1469" w:type="dxa"/>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0.2005</w:t>
            </w:r>
          </w:p>
        </w:tc>
      </w:tr>
      <w:tr w:rsidR="0077026E" w:rsidRPr="00F81CEA" w:rsidTr="00246484">
        <w:trPr>
          <w:gridAfter w:val="1"/>
          <w:wAfter w:w="180" w:type="dxa"/>
          <w:trHeight w:val="255"/>
        </w:trPr>
        <w:tc>
          <w:tcPr>
            <w:tcW w:w="828" w:type="dxa"/>
            <w:tcBorders>
              <w:top w:val="nil"/>
              <w:left w:val="nil"/>
              <w:bottom w:val="nil"/>
              <w:right w:val="nil"/>
            </w:tcBorders>
            <w:shd w:val="clear" w:color="auto" w:fill="auto"/>
            <w:noWrap/>
            <w:vAlign w:val="bottom"/>
          </w:tcPr>
          <w:p w:rsidR="0077026E" w:rsidRPr="00F81CEA" w:rsidRDefault="0077026E" w:rsidP="00246484">
            <w:pPr>
              <w:spacing w:line="480" w:lineRule="auto"/>
              <w:rPr>
                <w:szCs w:val="24"/>
              </w:rPr>
            </w:pPr>
            <w:r w:rsidRPr="00F81CEA">
              <w:rPr>
                <w:szCs w:val="24"/>
              </w:rPr>
              <w:t>60</w:t>
            </w:r>
          </w:p>
        </w:tc>
        <w:tc>
          <w:tcPr>
            <w:tcW w:w="1259" w:type="dxa"/>
            <w:gridSpan w:val="2"/>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0.3596</w:t>
            </w:r>
          </w:p>
        </w:tc>
        <w:tc>
          <w:tcPr>
            <w:tcW w:w="1259"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0.1675</w:t>
            </w:r>
          </w:p>
        </w:tc>
        <w:tc>
          <w:tcPr>
            <w:tcW w:w="1490"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0.4729</w:t>
            </w:r>
          </w:p>
        </w:tc>
        <w:tc>
          <w:tcPr>
            <w:tcW w:w="312" w:type="dxa"/>
            <w:gridSpan w:val="2"/>
            <w:tcBorders>
              <w:top w:val="nil"/>
              <w:left w:val="nil"/>
              <w:bottom w:val="nil"/>
              <w:right w:val="nil"/>
            </w:tcBorders>
          </w:tcPr>
          <w:p w:rsidR="0077026E" w:rsidRPr="00F81CEA" w:rsidRDefault="0077026E" w:rsidP="00246484">
            <w:pPr>
              <w:spacing w:line="480" w:lineRule="auto"/>
              <w:jc w:val="right"/>
              <w:rPr>
                <w:szCs w:val="24"/>
              </w:rPr>
            </w:pPr>
          </w:p>
        </w:tc>
        <w:tc>
          <w:tcPr>
            <w:tcW w:w="1188" w:type="dxa"/>
            <w:gridSpan w:val="2"/>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0.6899</w:t>
            </w:r>
          </w:p>
        </w:tc>
        <w:tc>
          <w:tcPr>
            <w:tcW w:w="1435" w:type="dxa"/>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0.2159</w:t>
            </w:r>
          </w:p>
        </w:tc>
        <w:tc>
          <w:tcPr>
            <w:tcW w:w="1469" w:type="dxa"/>
            <w:tcBorders>
              <w:top w:val="nil"/>
              <w:left w:val="nil"/>
              <w:bottom w:val="nil"/>
              <w:right w:val="nil"/>
            </w:tcBorders>
          </w:tcPr>
          <w:p w:rsidR="0077026E" w:rsidRPr="00F81CEA" w:rsidRDefault="0077026E" w:rsidP="00246484">
            <w:pPr>
              <w:spacing w:line="480" w:lineRule="auto"/>
              <w:jc w:val="right"/>
              <w:rPr>
                <w:szCs w:val="24"/>
              </w:rPr>
            </w:pPr>
            <w:r w:rsidRPr="00F81CEA">
              <w:rPr>
                <w:szCs w:val="24"/>
              </w:rPr>
              <w:t>0.0943</w:t>
            </w:r>
          </w:p>
        </w:tc>
      </w:tr>
      <w:tr w:rsidR="0077026E" w:rsidRPr="00F81CEA" w:rsidTr="00246484">
        <w:trPr>
          <w:gridAfter w:val="1"/>
          <w:wAfter w:w="180" w:type="dxa"/>
          <w:trHeight w:val="255"/>
        </w:trPr>
        <w:tc>
          <w:tcPr>
            <w:tcW w:w="828" w:type="dxa"/>
            <w:tcBorders>
              <w:top w:val="nil"/>
              <w:left w:val="nil"/>
              <w:bottom w:val="nil"/>
              <w:right w:val="nil"/>
            </w:tcBorders>
            <w:shd w:val="clear" w:color="auto" w:fill="auto"/>
            <w:noWrap/>
            <w:vAlign w:val="bottom"/>
          </w:tcPr>
          <w:p w:rsidR="0077026E" w:rsidRPr="00F81CEA" w:rsidRDefault="0077026E" w:rsidP="00246484">
            <w:pPr>
              <w:spacing w:line="480" w:lineRule="auto"/>
              <w:rPr>
                <w:szCs w:val="24"/>
              </w:rPr>
            </w:pPr>
            <w:r w:rsidRPr="00F81CEA">
              <w:rPr>
                <w:szCs w:val="24"/>
              </w:rPr>
              <w:t>65</w:t>
            </w:r>
          </w:p>
        </w:tc>
        <w:tc>
          <w:tcPr>
            <w:tcW w:w="1259" w:type="dxa"/>
            <w:gridSpan w:val="2"/>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0.605</w:t>
            </w:r>
          </w:p>
        </w:tc>
        <w:tc>
          <w:tcPr>
            <w:tcW w:w="1259"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0.1416</w:t>
            </w:r>
          </w:p>
        </w:tc>
        <w:tc>
          <w:tcPr>
            <w:tcW w:w="1490" w:type="dxa"/>
            <w:tcBorders>
              <w:top w:val="nil"/>
              <w:left w:val="nil"/>
              <w:bottom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0.2535</w:t>
            </w:r>
          </w:p>
        </w:tc>
        <w:tc>
          <w:tcPr>
            <w:tcW w:w="312" w:type="dxa"/>
            <w:gridSpan w:val="2"/>
            <w:tcBorders>
              <w:top w:val="nil"/>
              <w:left w:val="nil"/>
              <w:bottom w:val="nil"/>
              <w:right w:val="nil"/>
            </w:tcBorders>
          </w:tcPr>
          <w:p w:rsidR="0077026E" w:rsidRPr="00F81CEA" w:rsidRDefault="0077026E" w:rsidP="00246484">
            <w:pPr>
              <w:spacing w:line="480" w:lineRule="auto"/>
              <w:jc w:val="right"/>
              <w:rPr>
                <w:szCs w:val="24"/>
              </w:rPr>
            </w:pPr>
          </w:p>
        </w:tc>
        <w:tc>
          <w:tcPr>
            <w:tcW w:w="1188" w:type="dxa"/>
            <w:gridSpan w:val="2"/>
            <w:tcBorders>
              <w:top w:val="nil"/>
              <w:left w:val="nil"/>
              <w:bottom w:val="nil"/>
              <w:right w:val="nil"/>
            </w:tcBorders>
            <w:vAlign w:val="bottom"/>
          </w:tcPr>
          <w:p w:rsidR="0077026E" w:rsidRPr="00F81CEA" w:rsidRDefault="0077026E" w:rsidP="00246484">
            <w:pPr>
              <w:spacing w:line="480" w:lineRule="auto"/>
              <w:jc w:val="right"/>
              <w:rPr>
                <w:szCs w:val="24"/>
              </w:rPr>
            </w:pPr>
            <w:r w:rsidRPr="00F81CEA">
              <w:rPr>
                <w:szCs w:val="24"/>
              </w:rPr>
              <w:t>0.605</w:t>
            </w:r>
          </w:p>
        </w:tc>
        <w:tc>
          <w:tcPr>
            <w:tcW w:w="1435" w:type="dxa"/>
            <w:tcBorders>
              <w:top w:val="nil"/>
              <w:left w:val="nil"/>
              <w:bottom w:val="nil"/>
              <w:right w:val="nil"/>
            </w:tcBorders>
            <w:vAlign w:val="bottom"/>
          </w:tcPr>
          <w:p w:rsidR="0077026E" w:rsidRPr="00F81CEA" w:rsidRDefault="0077026E" w:rsidP="00246484">
            <w:pPr>
              <w:spacing w:line="480" w:lineRule="auto"/>
              <w:jc w:val="right"/>
              <w:rPr>
                <w:szCs w:val="24"/>
              </w:rPr>
            </w:pPr>
            <w:r w:rsidRPr="00F81CEA">
              <w:rPr>
                <w:szCs w:val="24"/>
              </w:rPr>
              <w:t>0.1416</w:t>
            </w:r>
          </w:p>
        </w:tc>
        <w:tc>
          <w:tcPr>
            <w:tcW w:w="1469" w:type="dxa"/>
            <w:tcBorders>
              <w:top w:val="nil"/>
              <w:left w:val="nil"/>
              <w:bottom w:val="nil"/>
              <w:right w:val="nil"/>
            </w:tcBorders>
            <w:vAlign w:val="bottom"/>
          </w:tcPr>
          <w:p w:rsidR="0077026E" w:rsidRPr="00F81CEA" w:rsidRDefault="0077026E" w:rsidP="00246484">
            <w:pPr>
              <w:spacing w:line="480" w:lineRule="auto"/>
              <w:jc w:val="right"/>
              <w:rPr>
                <w:szCs w:val="24"/>
              </w:rPr>
            </w:pPr>
            <w:r w:rsidRPr="00F81CEA">
              <w:rPr>
                <w:szCs w:val="24"/>
              </w:rPr>
              <w:t>0.2535</w:t>
            </w:r>
          </w:p>
        </w:tc>
      </w:tr>
      <w:tr w:rsidR="0077026E" w:rsidRPr="00F81CEA" w:rsidTr="00246484">
        <w:trPr>
          <w:gridAfter w:val="1"/>
          <w:wAfter w:w="180" w:type="dxa"/>
          <w:trHeight w:val="255"/>
        </w:trPr>
        <w:tc>
          <w:tcPr>
            <w:tcW w:w="828" w:type="dxa"/>
            <w:tcBorders>
              <w:top w:val="nil"/>
              <w:left w:val="nil"/>
              <w:right w:val="nil"/>
            </w:tcBorders>
            <w:shd w:val="clear" w:color="auto" w:fill="auto"/>
            <w:noWrap/>
            <w:vAlign w:val="bottom"/>
          </w:tcPr>
          <w:p w:rsidR="0077026E" w:rsidRPr="00F81CEA" w:rsidRDefault="0077026E" w:rsidP="00246484">
            <w:pPr>
              <w:spacing w:line="480" w:lineRule="auto"/>
              <w:rPr>
                <w:szCs w:val="24"/>
              </w:rPr>
            </w:pPr>
            <w:r w:rsidRPr="00F81CEA">
              <w:rPr>
                <w:szCs w:val="24"/>
              </w:rPr>
              <w:t>70</w:t>
            </w:r>
          </w:p>
        </w:tc>
        <w:tc>
          <w:tcPr>
            <w:tcW w:w="1259" w:type="dxa"/>
            <w:gridSpan w:val="2"/>
            <w:tcBorders>
              <w:top w:val="nil"/>
              <w:left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0.5571</w:t>
            </w:r>
          </w:p>
        </w:tc>
        <w:tc>
          <w:tcPr>
            <w:tcW w:w="1259" w:type="dxa"/>
            <w:tcBorders>
              <w:top w:val="nil"/>
              <w:left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0.1566</w:t>
            </w:r>
          </w:p>
        </w:tc>
        <w:tc>
          <w:tcPr>
            <w:tcW w:w="1490" w:type="dxa"/>
            <w:tcBorders>
              <w:top w:val="nil"/>
              <w:left w:val="nil"/>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0.2863</w:t>
            </w:r>
          </w:p>
        </w:tc>
        <w:tc>
          <w:tcPr>
            <w:tcW w:w="312" w:type="dxa"/>
            <w:gridSpan w:val="2"/>
            <w:tcBorders>
              <w:top w:val="nil"/>
              <w:left w:val="nil"/>
              <w:right w:val="nil"/>
            </w:tcBorders>
          </w:tcPr>
          <w:p w:rsidR="0077026E" w:rsidRPr="00F81CEA" w:rsidRDefault="0077026E" w:rsidP="00246484">
            <w:pPr>
              <w:spacing w:line="480" w:lineRule="auto"/>
              <w:jc w:val="right"/>
              <w:rPr>
                <w:szCs w:val="24"/>
              </w:rPr>
            </w:pPr>
          </w:p>
        </w:tc>
        <w:tc>
          <w:tcPr>
            <w:tcW w:w="1188" w:type="dxa"/>
            <w:gridSpan w:val="2"/>
            <w:tcBorders>
              <w:top w:val="nil"/>
              <w:left w:val="nil"/>
              <w:right w:val="nil"/>
            </w:tcBorders>
            <w:vAlign w:val="bottom"/>
          </w:tcPr>
          <w:p w:rsidR="0077026E" w:rsidRPr="00F81CEA" w:rsidRDefault="0077026E" w:rsidP="00246484">
            <w:pPr>
              <w:spacing w:line="480" w:lineRule="auto"/>
              <w:jc w:val="right"/>
              <w:rPr>
                <w:szCs w:val="24"/>
              </w:rPr>
            </w:pPr>
            <w:r w:rsidRPr="00F81CEA">
              <w:rPr>
                <w:szCs w:val="24"/>
              </w:rPr>
              <w:t>0.5571</w:t>
            </w:r>
          </w:p>
        </w:tc>
        <w:tc>
          <w:tcPr>
            <w:tcW w:w="1435" w:type="dxa"/>
            <w:tcBorders>
              <w:top w:val="nil"/>
              <w:left w:val="nil"/>
              <w:right w:val="nil"/>
            </w:tcBorders>
            <w:vAlign w:val="bottom"/>
          </w:tcPr>
          <w:p w:rsidR="0077026E" w:rsidRPr="00F81CEA" w:rsidRDefault="0077026E" w:rsidP="00246484">
            <w:pPr>
              <w:spacing w:line="480" w:lineRule="auto"/>
              <w:jc w:val="right"/>
              <w:rPr>
                <w:szCs w:val="24"/>
              </w:rPr>
            </w:pPr>
            <w:r w:rsidRPr="00F81CEA">
              <w:rPr>
                <w:szCs w:val="24"/>
              </w:rPr>
              <w:t>0.1566</w:t>
            </w:r>
          </w:p>
        </w:tc>
        <w:tc>
          <w:tcPr>
            <w:tcW w:w="1469" w:type="dxa"/>
            <w:tcBorders>
              <w:top w:val="nil"/>
              <w:left w:val="nil"/>
              <w:right w:val="nil"/>
            </w:tcBorders>
            <w:vAlign w:val="bottom"/>
          </w:tcPr>
          <w:p w:rsidR="0077026E" w:rsidRPr="00F81CEA" w:rsidRDefault="0077026E" w:rsidP="00246484">
            <w:pPr>
              <w:spacing w:line="480" w:lineRule="auto"/>
              <w:jc w:val="right"/>
              <w:rPr>
                <w:szCs w:val="24"/>
              </w:rPr>
            </w:pPr>
            <w:r w:rsidRPr="00F81CEA">
              <w:rPr>
                <w:szCs w:val="24"/>
              </w:rPr>
              <w:t>0.2863</w:t>
            </w:r>
          </w:p>
        </w:tc>
      </w:tr>
      <w:tr w:rsidR="0077026E" w:rsidRPr="00F81CEA" w:rsidTr="00246484">
        <w:trPr>
          <w:gridAfter w:val="1"/>
          <w:wAfter w:w="180" w:type="dxa"/>
          <w:trHeight w:val="255"/>
        </w:trPr>
        <w:tc>
          <w:tcPr>
            <w:tcW w:w="828" w:type="dxa"/>
            <w:tcBorders>
              <w:top w:val="nil"/>
              <w:left w:val="nil"/>
              <w:bottom w:val="single" w:sz="12" w:space="0" w:color="auto"/>
              <w:right w:val="nil"/>
            </w:tcBorders>
            <w:shd w:val="clear" w:color="auto" w:fill="auto"/>
            <w:noWrap/>
            <w:vAlign w:val="bottom"/>
          </w:tcPr>
          <w:p w:rsidR="0077026E" w:rsidRPr="00F81CEA" w:rsidRDefault="0077026E" w:rsidP="00246484">
            <w:pPr>
              <w:spacing w:line="480" w:lineRule="auto"/>
              <w:rPr>
                <w:szCs w:val="24"/>
              </w:rPr>
            </w:pPr>
            <w:r w:rsidRPr="00F81CEA">
              <w:rPr>
                <w:szCs w:val="24"/>
              </w:rPr>
              <w:t>80</w:t>
            </w:r>
          </w:p>
        </w:tc>
        <w:tc>
          <w:tcPr>
            <w:tcW w:w="1259" w:type="dxa"/>
            <w:gridSpan w:val="2"/>
            <w:tcBorders>
              <w:top w:val="nil"/>
              <w:left w:val="nil"/>
              <w:bottom w:val="single" w:sz="12" w:space="0" w:color="auto"/>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0.4021</w:t>
            </w:r>
          </w:p>
        </w:tc>
        <w:tc>
          <w:tcPr>
            <w:tcW w:w="1259" w:type="dxa"/>
            <w:tcBorders>
              <w:top w:val="nil"/>
              <w:left w:val="nil"/>
              <w:bottom w:val="single" w:sz="12" w:space="0" w:color="auto"/>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0.1563</w:t>
            </w:r>
          </w:p>
        </w:tc>
        <w:tc>
          <w:tcPr>
            <w:tcW w:w="1490" w:type="dxa"/>
            <w:tcBorders>
              <w:top w:val="nil"/>
              <w:left w:val="nil"/>
              <w:bottom w:val="single" w:sz="12" w:space="0" w:color="auto"/>
              <w:right w:val="nil"/>
            </w:tcBorders>
            <w:shd w:val="clear" w:color="auto" w:fill="auto"/>
            <w:noWrap/>
            <w:vAlign w:val="bottom"/>
          </w:tcPr>
          <w:p w:rsidR="0077026E" w:rsidRPr="00F81CEA" w:rsidRDefault="0077026E" w:rsidP="00246484">
            <w:pPr>
              <w:spacing w:line="480" w:lineRule="auto"/>
              <w:jc w:val="right"/>
              <w:rPr>
                <w:szCs w:val="24"/>
              </w:rPr>
            </w:pPr>
            <w:r w:rsidRPr="00F81CEA">
              <w:rPr>
                <w:szCs w:val="24"/>
              </w:rPr>
              <w:t>0.4416</w:t>
            </w:r>
          </w:p>
        </w:tc>
        <w:tc>
          <w:tcPr>
            <w:tcW w:w="312" w:type="dxa"/>
            <w:gridSpan w:val="2"/>
            <w:tcBorders>
              <w:top w:val="nil"/>
              <w:left w:val="nil"/>
              <w:bottom w:val="single" w:sz="12" w:space="0" w:color="auto"/>
              <w:right w:val="nil"/>
            </w:tcBorders>
          </w:tcPr>
          <w:p w:rsidR="0077026E" w:rsidRPr="00F81CEA" w:rsidRDefault="0077026E" w:rsidP="00246484">
            <w:pPr>
              <w:spacing w:line="480" w:lineRule="auto"/>
              <w:jc w:val="right"/>
              <w:rPr>
                <w:szCs w:val="24"/>
              </w:rPr>
            </w:pPr>
          </w:p>
        </w:tc>
        <w:tc>
          <w:tcPr>
            <w:tcW w:w="1188" w:type="dxa"/>
            <w:gridSpan w:val="2"/>
            <w:tcBorders>
              <w:top w:val="nil"/>
              <w:left w:val="nil"/>
              <w:bottom w:val="single" w:sz="12" w:space="0" w:color="auto"/>
              <w:right w:val="nil"/>
            </w:tcBorders>
            <w:vAlign w:val="bottom"/>
          </w:tcPr>
          <w:p w:rsidR="0077026E" w:rsidRPr="00F81CEA" w:rsidRDefault="0077026E" w:rsidP="00246484">
            <w:pPr>
              <w:spacing w:line="480" w:lineRule="auto"/>
              <w:jc w:val="right"/>
              <w:rPr>
                <w:szCs w:val="24"/>
              </w:rPr>
            </w:pPr>
            <w:r w:rsidRPr="00F81CEA">
              <w:rPr>
                <w:szCs w:val="24"/>
              </w:rPr>
              <w:t>0.4021</w:t>
            </w:r>
          </w:p>
        </w:tc>
        <w:tc>
          <w:tcPr>
            <w:tcW w:w="1435" w:type="dxa"/>
            <w:tcBorders>
              <w:top w:val="nil"/>
              <w:left w:val="nil"/>
              <w:bottom w:val="single" w:sz="12" w:space="0" w:color="auto"/>
              <w:right w:val="nil"/>
            </w:tcBorders>
            <w:vAlign w:val="bottom"/>
          </w:tcPr>
          <w:p w:rsidR="0077026E" w:rsidRPr="00F81CEA" w:rsidRDefault="0077026E" w:rsidP="00246484">
            <w:pPr>
              <w:spacing w:line="480" w:lineRule="auto"/>
              <w:jc w:val="right"/>
              <w:rPr>
                <w:szCs w:val="24"/>
              </w:rPr>
            </w:pPr>
            <w:r w:rsidRPr="00F81CEA">
              <w:rPr>
                <w:szCs w:val="24"/>
              </w:rPr>
              <w:t>0.1563</w:t>
            </w:r>
          </w:p>
        </w:tc>
        <w:tc>
          <w:tcPr>
            <w:tcW w:w="1469" w:type="dxa"/>
            <w:tcBorders>
              <w:top w:val="nil"/>
              <w:left w:val="nil"/>
              <w:bottom w:val="single" w:sz="12" w:space="0" w:color="auto"/>
              <w:right w:val="nil"/>
            </w:tcBorders>
            <w:vAlign w:val="bottom"/>
          </w:tcPr>
          <w:p w:rsidR="0077026E" w:rsidRPr="00F81CEA" w:rsidRDefault="0077026E" w:rsidP="00246484">
            <w:pPr>
              <w:spacing w:line="480" w:lineRule="auto"/>
              <w:jc w:val="right"/>
              <w:rPr>
                <w:szCs w:val="24"/>
              </w:rPr>
            </w:pPr>
            <w:r w:rsidRPr="00F81CEA">
              <w:rPr>
                <w:szCs w:val="24"/>
              </w:rPr>
              <w:t>0.4416</w:t>
            </w:r>
          </w:p>
        </w:tc>
      </w:tr>
    </w:tbl>
    <w:p w:rsidR="0077026E" w:rsidRDefault="0077026E" w:rsidP="0077026E">
      <w:pPr>
        <w:pStyle w:val="tabfigsource"/>
      </w:pPr>
      <w:r w:rsidRPr="00F81CEA">
        <w:t>Note: The percentage splits for ages greater than 65 years represent the proportions observed among all women older than 65 years in the N</w:t>
      </w:r>
      <w:r>
        <w:t xml:space="preserve">ational </w:t>
      </w:r>
      <w:r w:rsidRPr="00F81CEA">
        <w:t>H</w:t>
      </w:r>
      <w:r>
        <w:t xml:space="preserve">ealth </w:t>
      </w:r>
      <w:r w:rsidRPr="00F81CEA">
        <w:t>I</w:t>
      </w:r>
      <w:r>
        <w:t xml:space="preserve">nterview </w:t>
      </w:r>
      <w:r w:rsidRPr="00F81CEA">
        <w:t>S</w:t>
      </w:r>
      <w:r>
        <w:t>urvey</w:t>
      </w:r>
      <w:r w:rsidRPr="00F81CEA">
        <w:t xml:space="preserve"> data; almost all women aged 65 </w:t>
      </w:r>
      <w:r>
        <w:t>or</w:t>
      </w:r>
      <w:r w:rsidRPr="00F81CEA">
        <w:t xml:space="preserve"> older have insurance coverage through Medicare</w:t>
      </w:r>
      <w:r>
        <w:t>, and we assume that screening is similar for all women in this age group</w:t>
      </w:r>
      <w:r w:rsidRPr="00F81CEA">
        <w:t>.</w:t>
      </w:r>
    </w:p>
    <w:p w:rsidR="00BE2F96" w:rsidRDefault="00BE2F96" w:rsidP="00BE2F96">
      <w:pPr>
        <w:pStyle w:val="tabfigtitle"/>
      </w:pPr>
      <w:r>
        <w:br w:type="page"/>
        <w:t>Appendix Figure 1a. Cost-Effectiveness Acceptability Curves: Program vs. No Program</w:t>
      </w:r>
    </w:p>
    <w:p w:rsidR="007A47BB" w:rsidRPr="008B00E6" w:rsidRDefault="007A47BB" w:rsidP="00BE2F96">
      <w:pPr>
        <w:pStyle w:val="tabfigtitle"/>
      </w:pPr>
      <w:r>
        <w:rPr>
          <w:noProof/>
        </w:rPr>
        <w:drawing>
          <wp:inline distT="0" distB="0" distL="0" distR="0">
            <wp:extent cx="5943600" cy="432816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_ceac2014022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28160"/>
                    </a:xfrm>
                    <a:prstGeom prst="rect">
                      <a:avLst/>
                    </a:prstGeom>
                    <a:ln>
                      <a:solidFill>
                        <a:schemeClr val="tx1"/>
                      </a:solidFill>
                    </a:ln>
                  </pic:spPr>
                </pic:pic>
              </a:graphicData>
            </a:graphic>
          </wp:inline>
        </w:drawing>
      </w:r>
    </w:p>
    <w:p w:rsidR="0097065F" w:rsidRPr="008B00E6" w:rsidRDefault="0097065F" w:rsidP="0097065F">
      <w:pPr>
        <w:pStyle w:val="BodyText1"/>
        <w:ind w:firstLine="0"/>
      </w:pPr>
      <w:r>
        <w:t xml:space="preserve">CEACs were generated based on results from probabilistic sensitivity analyses </w:t>
      </w:r>
      <w:r w:rsidRPr="008B00E6">
        <w:t xml:space="preserve">by multiplying the incremental costs between the Program and No Program (or Program and No Screening) scenarios by societal willingness-to-pay values (WTPs) and subtracting incremental costs. The share of runs with positive net benefits (WTP * Δ QALY − Δ cost &gt; 0) </w:t>
      </w:r>
      <w:r>
        <w:t>was</w:t>
      </w:r>
      <w:r w:rsidRPr="008B00E6">
        <w:t xml:space="preserve"> plotted for each strategy.</w:t>
      </w:r>
    </w:p>
    <w:p w:rsidR="00BE2F96" w:rsidRDefault="00BE2F96" w:rsidP="00BE2F96">
      <w:pPr>
        <w:pStyle w:val="tabfigsource"/>
      </w:pPr>
    </w:p>
    <w:p w:rsidR="00BE2F96" w:rsidRDefault="00BE2F96" w:rsidP="00BE2F96">
      <w:pPr>
        <w:pStyle w:val="tabfigtitle"/>
      </w:pPr>
      <w:r>
        <w:t xml:space="preserve">Appendix Figure 1b. </w:t>
      </w:r>
      <w:r w:rsidRPr="0001102C">
        <w:t xml:space="preserve">Cost-Effectiveness Acceptability Curves: </w:t>
      </w:r>
      <w:r>
        <w:t>Program vs. No Screening</w:t>
      </w:r>
    </w:p>
    <w:p w:rsidR="007A47BB" w:rsidRPr="008B00E6" w:rsidRDefault="007A47BB" w:rsidP="00BE2F96">
      <w:pPr>
        <w:pStyle w:val="tabfigtitle"/>
      </w:pPr>
      <w:r>
        <w:rPr>
          <w:noProof/>
        </w:rPr>
        <w:drawing>
          <wp:inline distT="0" distB="0" distL="0" distR="0">
            <wp:extent cx="5943600" cy="4328160"/>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_ceac201402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28160"/>
                    </a:xfrm>
                    <a:prstGeom prst="rect">
                      <a:avLst/>
                    </a:prstGeom>
                    <a:ln>
                      <a:solidFill>
                        <a:schemeClr val="tx1"/>
                      </a:solidFill>
                    </a:ln>
                  </pic:spPr>
                </pic:pic>
              </a:graphicData>
            </a:graphic>
          </wp:inline>
        </w:drawing>
      </w:r>
    </w:p>
    <w:p w:rsidR="0097065F" w:rsidRPr="008B00E6" w:rsidRDefault="0097065F" w:rsidP="0097065F">
      <w:pPr>
        <w:pStyle w:val="BodyText1"/>
        <w:ind w:firstLine="0"/>
      </w:pPr>
      <w:r>
        <w:t xml:space="preserve">CEACs were generated based on results from probabilistic sensitivity analyses </w:t>
      </w:r>
      <w:r w:rsidRPr="008B00E6">
        <w:t xml:space="preserve">by multiplying the incremental costs between the Program and No Program (or Program and No Screening) scenarios by societal willingness-to-pay values (WTPs) and subtracting incremental costs. The share of runs with positive net benefits (WTP * Δ QALY − Δ cost &gt; 0) </w:t>
      </w:r>
      <w:r>
        <w:t>was</w:t>
      </w:r>
      <w:r w:rsidRPr="008B00E6">
        <w:t xml:space="preserve"> plotted for each strategy.</w:t>
      </w:r>
    </w:p>
    <w:p w:rsidR="00BE2F96" w:rsidRDefault="00BE2F96">
      <w:pPr>
        <w:spacing w:after="160" w:line="259" w:lineRule="auto"/>
      </w:pPr>
    </w:p>
    <w:p w:rsidR="00F47CC5" w:rsidRDefault="00F47CC5" w:rsidP="00A372A8"/>
    <w:p w:rsidR="00F47CC5" w:rsidRDefault="00F47CC5">
      <w:pPr>
        <w:spacing w:after="160" w:line="259" w:lineRule="auto"/>
      </w:pPr>
      <w:r>
        <w:br w:type="page"/>
      </w:r>
    </w:p>
    <w:p w:rsidR="00A845B7" w:rsidRDefault="00F47CC5" w:rsidP="00A372A8">
      <w:r>
        <w:rPr>
          <w:b/>
        </w:rPr>
        <w:t>REFERENCES</w:t>
      </w:r>
    </w:p>
    <w:p w:rsidR="00F47CC5" w:rsidRDefault="00F47CC5" w:rsidP="00A372A8"/>
    <w:p w:rsidR="0048535C" w:rsidRDefault="0048535C" w:rsidP="0048535C">
      <w:pPr>
        <w:pStyle w:val="EndNoteBibliography"/>
        <w:rPr>
          <w:szCs w:val="24"/>
        </w:rPr>
      </w:pPr>
      <w:r w:rsidRPr="00DB4918">
        <w:rPr>
          <w:szCs w:val="24"/>
        </w:rPr>
        <w:t>Cronin KA, Yu B, Krapcho M, et al. (2005) Modeling the dissemination of mammography in the United State</w:t>
      </w:r>
      <w:r>
        <w:rPr>
          <w:szCs w:val="24"/>
        </w:rPr>
        <w:t>s. Cancer Causes Control</w:t>
      </w:r>
      <w:r w:rsidRPr="00DB4918">
        <w:rPr>
          <w:szCs w:val="24"/>
        </w:rPr>
        <w:t>. 16: 701-12.</w:t>
      </w:r>
    </w:p>
    <w:p w:rsidR="0048535C" w:rsidRDefault="0048535C" w:rsidP="00F47CC5">
      <w:pPr>
        <w:pStyle w:val="EndNoteBibliography"/>
        <w:rPr>
          <w:szCs w:val="24"/>
        </w:rPr>
      </w:pPr>
    </w:p>
    <w:p w:rsidR="00F47CC5" w:rsidRDefault="00F47CC5" w:rsidP="00F47CC5">
      <w:pPr>
        <w:pStyle w:val="EndNoteBibliography"/>
        <w:rPr>
          <w:szCs w:val="24"/>
        </w:rPr>
      </w:pPr>
      <w:r w:rsidRPr="00DB4918">
        <w:rPr>
          <w:szCs w:val="24"/>
        </w:rPr>
        <w:t>Ekwueme DU, Subramanian S, Khushalani JS, Miller JW, Wong FF, Trogdon JG. Economic Cost of the National Breast and Cervical Cancer Early Detection Program (under review).</w:t>
      </w:r>
    </w:p>
    <w:p w:rsidR="00F47CC5" w:rsidRDefault="00F47CC5" w:rsidP="00A372A8"/>
    <w:p w:rsidR="00F47CC5" w:rsidRDefault="00F47CC5" w:rsidP="00F47CC5">
      <w:pPr>
        <w:pStyle w:val="EndNoteBibliography"/>
        <w:rPr>
          <w:szCs w:val="24"/>
        </w:rPr>
      </w:pPr>
      <w:r w:rsidRPr="00DB4918">
        <w:rPr>
          <w:szCs w:val="24"/>
        </w:rPr>
        <w:t>Fireman BH, Quesenberry CP, Somkin CP, et al. (1997) Cost of care for cancer in a health maintenance organization. Health Care Financ Rev. 18: 51-76.</w:t>
      </w:r>
    </w:p>
    <w:p w:rsidR="00F47CC5" w:rsidRDefault="00F47CC5" w:rsidP="00F47CC5">
      <w:pPr>
        <w:pStyle w:val="EndNoteBibliography"/>
        <w:rPr>
          <w:szCs w:val="24"/>
        </w:rPr>
      </w:pPr>
    </w:p>
    <w:p w:rsidR="0048535C" w:rsidRDefault="0048535C" w:rsidP="0048535C">
      <w:pPr>
        <w:pStyle w:val="EndNoteBibliography"/>
        <w:rPr>
          <w:szCs w:val="24"/>
        </w:rPr>
      </w:pPr>
      <w:r w:rsidRPr="00DB4918">
        <w:rPr>
          <w:szCs w:val="24"/>
        </w:rPr>
        <w:t xml:space="preserve">Mariotto AB, Yabroff KR, Shao Y, Feuer EJ, Brown ML. (2011) Projections of the cost of cancer care in the United States: 2010-2020. </w:t>
      </w:r>
      <w:r>
        <w:rPr>
          <w:szCs w:val="24"/>
        </w:rPr>
        <w:t>J Natl Cancer Inst</w:t>
      </w:r>
      <w:r w:rsidRPr="00DB4918">
        <w:rPr>
          <w:szCs w:val="24"/>
        </w:rPr>
        <w:t>. 103: 117-28.</w:t>
      </w:r>
    </w:p>
    <w:p w:rsidR="0048535C" w:rsidRDefault="0048535C" w:rsidP="00F47CC5">
      <w:pPr>
        <w:pStyle w:val="EndNoteBibliography"/>
        <w:rPr>
          <w:iCs/>
          <w:szCs w:val="24"/>
        </w:rPr>
      </w:pPr>
    </w:p>
    <w:p w:rsidR="00F47CC5" w:rsidRPr="009E7446" w:rsidRDefault="00F47CC5" w:rsidP="00F47CC5">
      <w:pPr>
        <w:pStyle w:val="EndNoteBibliography"/>
        <w:rPr>
          <w:szCs w:val="24"/>
        </w:rPr>
      </w:pPr>
      <w:r w:rsidRPr="009E7446">
        <w:rPr>
          <w:szCs w:val="24"/>
        </w:rPr>
        <w:t xml:space="preserve">Peasgood T, Ward SE, Brazier J. A review and meta analysis of health state utility values in breast cancer. </w:t>
      </w:r>
      <w:r w:rsidRPr="009E7446">
        <w:rPr>
          <w:iCs/>
          <w:szCs w:val="24"/>
        </w:rPr>
        <w:t>HEDS Discussion Paper Series X/10. University of Sheffield, UK; 2010a</w:t>
      </w:r>
      <w:r w:rsidRPr="009E7446">
        <w:rPr>
          <w:szCs w:val="24"/>
        </w:rPr>
        <w:t>.</w:t>
      </w:r>
    </w:p>
    <w:p w:rsidR="00F47CC5" w:rsidRDefault="00F47CC5" w:rsidP="00F47CC5">
      <w:pPr>
        <w:pStyle w:val="EndNoteBibliography"/>
        <w:rPr>
          <w:szCs w:val="24"/>
        </w:rPr>
      </w:pPr>
    </w:p>
    <w:p w:rsidR="00F47CC5" w:rsidRPr="009E7446" w:rsidRDefault="00F47CC5" w:rsidP="00F47CC5">
      <w:pPr>
        <w:pStyle w:val="EndNoteBibliography"/>
        <w:rPr>
          <w:szCs w:val="24"/>
        </w:rPr>
      </w:pPr>
      <w:r w:rsidRPr="009E7446">
        <w:rPr>
          <w:szCs w:val="24"/>
        </w:rPr>
        <w:t xml:space="preserve">Peasgood T, Ward SE, Brazier J. Health-state utility values in breast cancer. </w:t>
      </w:r>
      <w:r w:rsidRPr="009E7446">
        <w:rPr>
          <w:rStyle w:val="jrnl"/>
          <w:bCs/>
          <w:szCs w:val="24"/>
          <w:lang w:val="en"/>
        </w:rPr>
        <w:t>Expert Rev Pharmacoecon Outcomes Res</w:t>
      </w:r>
      <w:r w:rsidRPr="009E7446">
        <w:rPr>
          <w:szCs w:val="24"/>
        </w:rPr>
        <w:t>; 2010b:553–566.</w:t>
      </w:r>
    </w:p>
    <w:p w:rsidR="00F47CC5" w:rsidRDefault="00F47CC5" w:rsidP="00F47CC5">
      <w:pPr>
        <w:pStyle w:val="EndNoteBibliography"/>
        <w:rPr>
          <w:szCs w:val="24"/>
        </w:rPr>
      </w:pPr>
    </w:p>
    <w:p w:rsidR="00F47CC5" w:rsidRDefault="00F47CC5" w:rsidP="00F47CC5">
      <w:pPr>
        <w:pStyle w:val="EndNoteBibliography"/>
        <w:rPr>
          <w:szCs w:val="24"/>
        </w:rPr>
      </w:pPr>
      <w:r w:rsidRPr="00DB4918">
        <w:rPr>
          <w:szCs w:val="24"/>
        </w:rPr>
        <w:t>Yabroff KR, McNeel TS, Waldron WR, et al. (2007) Health limitations and quality of life associated with cancer and other chronic diseases by phase of care. Med Care. 45: 629-37.</w:t>
      </w:r>
    </w:p>
    <w:p w:rsidR="00F47CC5" w:rsidRPr="002F488D" w:rsidRDefault="00F47CC5" w:rsidP="00F47CC5">
      <w:pPr>
        <w:pStyle w:val="EndNoteBibliography"/>
        <w:rPr>
          <w:szCs w:val="24"/>
        </w:rPr>
      </w:pPr>
    </w:p>
    <w:p w:rsidR="0048535C" w:rsidRDefault="0048535C" w:rsidP="0048535C">
      <w:pPr>
        <w:pStyle w:val="EndNoteBibliography"/>
        <w:rPr>
          <w:iCs/>
          <w:szCs w:val="24"/>
        </w:rPr>
      </w:pPr>
      <w:r w:rsidRPr="00DB4918">
        <w:rPr>
          <w:iCs/>
          <w:szCs w:val="24"/>
        </w:rPr>
        <w:t>Zuckerman S, Williams A, Stockley K. Trends in Medicaid physician fees, 2003–2008. Health Affairs. 2009;28(3):W510–519.</w:t>
      </w:r>
    </w:p>
    <w:p w:rsidR="00F47CC5" w:rsidRDefault="00F47CC5" w:rsidP="00A372A8">
      <w:bookmarkStart w:id="0" w:name="_GoBack"/>
      <w:bookmarkEnd w:id="0"/>
    </w:p>
    <w:p w:rsidR="00F47CC5" w:rsidRDefault="00F47CC5" w:rsidP="00A372A8"/>
    <w:p w:rsidR="00F47CC5" w:rsidRPr="00F47CC5" w:rsidRDefault="00F47CC5" w:rsidP="00A372A8"/>
    <w:sectPr w:rsidR="00F47CC5" w:rsidRPr="00F47CC5" w:rsidSect="00601C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05" w:rsidRDefault="004E5905" w:rsidP="004E5905">
      <w:r>
        <w:separator/>
      </w:r>
    </w:p>
  </w:endnote>
  <w:endnote w:type="continuationSeparator" w:id="0">
    <w:p w:rsidR="004E5905" w:rsidRDefault="004E5905" w:rsidP="004E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77013"/>
      <w:docPartObj>
        <w:docPartGallery w:val="Page Numbers (Bottom of Page)"/>
        <w:docPartUnique/>
      </w:docPartObj>
    </w:sdtPr>
    <w:sdtEndPr>
      <w:rPr>
        <w:noProof/>
      </w:rPr>
    </w:sdtEndPr>
    <w:sdtContent>
      <w:p w:rsidR="004E5905" w:rsidRDefault="004B1A06">
        <w:pPr>
          <w:pStyle w:val="Footer"/>
          <w:jc w:val="center"/>
        </w:pPr>
        <w:r>
          <w:fldChar w:fldCharType="begin"/>
        </w:r>
        <w:r w:rsidR="004E5905">
          <w:instrText xml:space="preserve"> PAGE   \* MERGEFORMAT </w:instrText>
        </w:r>
        <w:r>
          <w:fldChar w:fldCharType="separate"/>
        </w:r>
        <w:r w:rsidR="0048535C">
          <w:rPr>
            <w:noProof/>
          </w:rPr>
          <w:t>12</w:t>
        </w:r>
        <w:r>
          <w:rPr>
            <w:noProof/>
          </w:rPr>
          <w:fldChar w:fldCharType="end"/>
        </w:r>
      </w:p>
    </w:sdtContent>
  </w:sdt>
  <w:p w:rsidR="004E5905" w:rsidRDefault="004E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05" w:rsidRDefault="004E5905" w:rsidP="004E5905">
      <w:r>
        <w:separator/>
      </w:r>
    </w:p>
  </w:footnote>
  <w:footnote w:type="continuationSeparator" w:id="0">
    <w:p w:rsidR="004E5905" w:rsidRDefault="004E5905" w:rsidP="004E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A75E9"/>
    <w:multiLevelType w:val="hybridMultilevel"/>
    <w:tmpl w:val="1CA09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rev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5dewrpw0s099e9epepftz4wfe9a9vvrda2&quot;&gt;Rim_Comorbidities_Sys Review-Saved-Saved&lt;record-ids&gt;&lt;item&gt;216&lt;/item&gt;&lt;/record-ids&gt;&lt;/item&gt;&lt;/Libraries&gt;"/>
  </w:docVars>
  <w:rsids>
    <w:rsidRoot w:val="0077026E"/>
    <w:rsid w:val="00070CC8"/>
    <w:rsid w:val="00094DE5"/>
    <w:rsid w:val="000D4BD8"/>
    <w:rsid w:val="00161A4C"/>
    <w:rsid w:val="002017CA"/>
    <w:rsid w:val="0022574F"/>
    <w:rsid w:val="0023326F"/>
    <w:rsid w:val="00280364"/>
    <w:rsid w:val="00297B69"/>
    <w:rsid w:val="002B4E98"/>
    <w:rsid w:val="0048535C"/>
    <w:rsid w:val="004B1A06"/>
    <w:rsid w:val="004E5905"/>
    <w:rsid w:val="005407D8"/>
    <w:rsid w:val="005D3FAD"/>
    <w:rsid w:val="006014C6"/>
    <w:rsid w:val="006015C7"/>
    <w:rsid w:val="00601CA3"/>
    <w:rsid w:val="00694114"/>
    <w:rsid w:val="006E586E"/>
    <w:rsid w:val="0077026E"/>
    <w:rsid w:val="00791B72"/>
    <w:rsid w:val="007A47BB"/>
    <w:rsid w:val="007B31E2"/>
    <w:rsid w:val="007C375F"/>
    <w:rsid w:val="007E0F65"/>
    <w:rsid w:val="008F3A87"/>
    <w:rsid w:val="0097065F"/>
    <w:rsid w:val="009E2D7A"/>
    <w:rsid w:val="00A233BC"/>
    <w:rsid w:val="00A26F25"/>
    <w:rsid w:val="00A372A8"/>
    <w:rsid w:val="00A845B7"/>
    <w:rsid w:val="00B851B1"/>
    <w:rsid w:val="00B91C13"/>
    <w:rsid w:val="00BA58DC"/>
    <w:rsid w:val="00BB57D4"/>
    <w:rsid w:val="00BB5D2E"/>
    <w:rsid w:val="00BE2F96"/>
    <w:rsid w:val="00C51888"/>
    <w:rsid w:val="00C51BD0"/>
    <w:rsid w:val="00C60903"/>
    <w:rsid w:val="00C75EF8"/>
    <w:rsid w:val="00CA7D3F"/>
    <w:rsid w:val="00CB69F7"/>
    <w:rsid w:val="00CD7D20"/>
    <w:rsid w:val="00CF1770"/>
    <w:rsid w:val="00D13132"/>
    <w:rsid w:val="00EE77DA"/>
    <w:rsid w:val="00F47CC5"/>
    <w:rsid w:val="00F66CBE"/>
    <w:rsid w:val="00F8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235C"/>
  <w15:docId w15:val="{E373D84F-FB8C-4315-8FAA-F062D57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6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7026E"/>
    <w:pPr>
      <w:keepNext/>
      <w:spacing w:line="480" w:lineRule="auto"/>
      <w:outlineLvl w:val="0"/>
    </w:pPr>
    <w:rPr>
      <w:b/>
      <w:caps/>
    </w:rPr>
  </w:style>
  <w:style w:type="paragraph" w:styleId="Heading2">
    <w:name w:val="heading 2"/>
    <w:basedOn w:val="Normal"/>
    <w:next w:val="Normal"/>
    <w:link w:val="Heading2Char"/>
    <w:qFormat/>
    <w:rsid w:val="0077026E"/>
    <w:pPr>
      <w:keepNext/>
      <w:spacing w:line="480" w:lineRule="auto"/>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6E"/>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77026E"/>
    <w:rPr>
      <w:rFonts w:ascii="Times New Roman" w:eastAsia="Times New Roman" w:hAnsi="Times New Roman" w:cs="Times New Roman"/>
      <w:b/>
      <w:sz w:val="24"/>
      <w:szCs w:val="20"/>
    </w:rPr>
  </w:style>
  <w:style w:type="paragraph" w:customStyle="1" w:styleId="BodyText1">
    <w:name w:val="Body Text1"/>
    <w:basedOn w:val="Normal"/>
    <w:link w:val="BodyText1Char"/>
    <w:rsid w:val="0077026E"/>
    <w:pPr>
      <w:spacing w:line="480" w:lineRule="auto"/>
      <w:ind w:firstLine="720"/>
    </w:pPr>
  </w:style>
  <w:style w:type="paragraph" w:customStyle="1" w:styleId="tabfigtitle">
    <w:name w:val="tab/fig title"/>
    <w:basedOn w:val="Normal"/>
    <w:rsid w:val="0077026E"/>
    <w:pPr>
      <w:keepNext/>
      <w:keepLines/>
      <w:spacing w:line="480" w:lineRule="auto"/>
      <w:ind w:left="720" w:hanging="720"/>
    </w:pPr>
    <w:rPr>
      <w:b/>
    </w:rPr>
  </w:style>
  <w:style w:type="paragraph" w:customStyle="1" w:styleId="tabfigsource">
    <w:name w:val="tab/fig source"/>
    <w:basedOn w:val="Normal"/>
    <w:rsid w:val="0077026E"/>
    <w:pPr>
      <w:keepLines/>
      <w:spacing w:before="120" w:line="480" w:lineRule="auto"/>
      <w:ind w:left="187" w:hanging="187"/>
    </w:pPr>
    <w:rPr>
      <w:sz w:val="20"/>
    </w:rPr>
  </w:style>
  <w:style w:type="paragraph" w:customStyle="1" w:styleId="figurewbox">
    <w:name w:val="figure w/box"/>
    <w:basedOn w:val="Normal"/>
    <w:rsid w:val="00BE2F96"/>
    <w:pPr>
      <w:pBdr>
        <w:top w:val="single" w:sz="12" w:space="9" w:color="auto"/>
        <w:left w:val="single" w:sz="12" w:space="6" w:color="auto"/>
        <w:bottom w:val="single" w:sz="12" w:space="9" w:color="auto"/>
        <w:right w:val="single" w:sz="12" w:space="4" w:color="auto"/>
      </w:pBdr>
      <w:ind w:left="180" w:right="180"/>
      <w:jc w:val="center"/>
    </w:pPr>
  </w:style>
  <w:style w:type="character" w:styleId="CommentReference">
    <w:name w:val="annotation reference"/>
    <w:basedOn w:val="DefaultParagraphFont"/>
    <w:uiPriority w:val="99"/>
    <w:semiHidden/>
    <w:unhideWhenUsed/>
    <w:rsid w:val="00C75EF8"/>
    <w:rPr>
      <w:sz w:val="16"/>
      <w:szCs w:val="16"/>
    </w:rPr>
  </w:style>
  <w:style w:type="paragraph" w:styleId="CommentText">
    <w:name w:val="annotation text"/>
    <w:basedOn w:val="Normal"/>
    <w:link w:val="CommentTextChar"/>
    <w:uiPriority w:val="99"/>
    <w:semiHidden/>
    <w:unhideWhenUsed/>
    <w:rsid w:val="00C75EF8"/>
    <w:rPr>
      <w:sz w:val="20"/>
    </w:rPr>
  </w:style>
  <w:style w:type="character" w:customStyle="1" w:styleId="CommentTextChar">
    <w:name w:val="Comment Text Char"/>
    <w:basedOn w:val="DefaultParagraphFont"/>
    <w:link w:val="CommentText"/>
    <w:uiPriority w:val="99"/>
    <w:semiHidden/>
    <w:rsid w:val="00C75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F8"/>
    <w:rPr>
      <w:b/>
      <w:bCs/>
    </w:rPr>
  </w:style>
  <w:style w:type="character" w:customStyle="1" w:styleId="CommentSubjectChar">
    <w:name w:val="Comment Subject Char"/>
    <w:basedOn w:val="CommentTextChar"/>
    <w:link w:val="CommentSubject"/>
    <w:uiPriority w:val="99"/>
    <w:semiHidden/>
    <w:rsid w:val="00C75E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5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EF8"/>
    <w:rPr>
      <w:rFonts w:ascii="Segoe UI" w:eastAsia="Times New Roman" w:hAnsi="Segoe UI" w:cs="Segoe UI"/>
      <w:sz w:val="18"/>
      <w:szCs w:val="18"/>
    </w:rPr>
  </w:style>
  <w:style w:type="paragraph" w:styleId="Header">
    <w:name w:val="header"/>
    <w:basedOn w:val="Normal"/>
    <w:link w:val="HeaderChar"/>
    <w:uiPriority w:val="99"/>
    <w:unhideWhenUsed/>
    <w:rsid w:val="004E5905"/>
    <w:pPr>
      <w:tabs>
        <w:tab w:val="center" w:pos="4680"/>
        <w:tab w:val="right" w:pos="9360"/>
      </w:tabs>
    </w:pPr>
  </w:style>
  <w:style w:type="character" w:customStyle="1" w:styleId="HeaderChar">
    <w:name w:val="Header Char"/>
    <w:basedOn w:val="DefaultParagraphFont"/>
    <w:link w:val="Header"/>
    <w:uiPriority w:val="99"/>
    <w:rsid w:val="004E590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E5905"/>
    <w:pPr>
      <w:tabs>
        <w:tab w:val="center" w:pos="4680"/>
        <w:tab w:val="right" w:pos="9360"/>
      </w:tabs>
    </w:pPr>
  </w:style>
  <w:style w:type="character" w:customStyle="1" w:styleId="FooterChar">
    <w:name w:val="Footer Char"/>
    <w:basedOn w:val="DefaultParagraphFont"/>
    <w:link w:val="Footer"/>
    <w:uiPriority w:val="99"/>
    <w:rsid w:val="004E5905"/>
    <w:rPr>
      <w:rFonts w:ascii="Times New Roman" w:eastAsia="Times New Roman" w:hAnsi="Times New Roman" w:cs="Times New Roman"/>
      <w:sz w:val="24"/>
      <w:szCs w:val="20"/>
    </w:rPr>
  </w:style>
  <w:style w:type="paragraph" w:customStyle="1" w:styleId="EndNoteBibliographyTitle">
    <w:name w:val="EndNote Bibliography Title"/>
    <w:basedOn w:val="Normal"/>
    <w:link w:val="EndNoteBibliographyTitleChar"/>
    <w:rsid w:val="004E5905"/>
    <w:pPr>
      <w:jc w:val="center"/>
    </w:pPr>
    <w:rPr>
      <w:noProof/>
    </w:rPr>
  </w:style>
  <w:style w:type="character" w:customStyle="1" w:styleId="BodyText1Char">
    <w:name w:val="Body Text1 Char"/>
    <w:basedOn w:val="DefaultParagraphFont"/>
    <w:link w:val="BodyText1"/>
    <w:rsid w:val="004E5905"/>
    <w:rPr>
      <w:rFonts w:ascii="Times New Roman" w:eastAsia="Times New Roman" w:hAnsi="Times New Roman" w:cs="Times New Roman"/>
      <w:sz w:val="24"/>
      <w:szCs w:val="20"/>
    </w:rPr>
  </w:style>
  <w:style w:type="character" w:customStyle="1" w:styleId="EndNoteBibliographyTitleChar">
    <w:name w:val="EndNote Bibliography Title Char"/>
    <w:basedOn w:val="BodyText1Char"/>
    <w:link w:val="EndNoteBibliographyTitle"/>
    <w:rsid w:val="004E5905"/>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4E5905"/>
    <w:rPr>
      <w:noProof/>
    </w:rPr>
  </w:style>
  <w:style w:type="character" w:customStyle="1" w:styleId="EndNoteBibliographyChar">
    <w:name w:val="EndNote Bibliography Char"/>
    <w:basedOn w:val="BodyText1Char"/>
    <w:link w:val="EndNoteBibliography"/>
    <w:rsid w:val="004E5905"/>
    <w:rPr>
      <w:rFonts w:ascii="Times New Roman" w:eastAsia="Times New Roman" w:hAnsi="Times New Roman" w:cs="Times New Roman"/>
      <w:noProof/>
      <w:sz w:val="24"/>
      <w:szCs w:val="20"/>
    </w:rPr>
  </w:style>
  <w:style w:type="character" w:customStyle="1" w:styleId="highlight">
    <w:name w:val="highlight"/>
    <w:basedOn w:val="DefaultParagraphFont"/>
    <w:rsid w:val="00BA58DC"/>
  </w:style>
  <w:style w:type="character" w:customStyle="1" w:styleId="jrnl">
    <w:name w:val="jrnl"/>
    <w:basedOn w:val="DefaultParagraphFont"/>
    <w:rsid w:val="00F4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 Sun H. (CDC/ONDIEH/NCCDPHP)</dc:creator>
  <cp:keywords/>
  <dc:description/>
  <cp:lastModifiedBy>Rim, Sun H. (CDC/ONDIEH/NCCDPHP)</cp:lastModifiedBy>
  <cp:revision>3</cp:revision>
  <dcterms:created xsi:type="dcterms:W3CDTF">2019-05-13T17:29:00Z</dcterms:created>
  <dcterms:modified xsi:type="dcterms:W3CDTF">2019-05-13T17:44:00Z</dcterms:modified>
</cp:coreProperties>
</file>