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tif" ContentType="image/tif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5DFD1" w14:textId="77777777" w:rsidR="00A12B5E" w:rsidRDefault="0085232B" w:rsidP="009C7957">
      <w:pPr>
        <w:jc w:val="center"/>
        <w:rPr>
          <w:b/>
        </w:rPr>
      </w:pPr>
      <w:r w:rsidRPr="0085232B">
        <w:rPr>
          <w:b/>
        </w:rPr>
        <w:t>Supplementary Information</w:t>
      </w:r>
    </w:p>
    <w:p w14:paraId="799CD49E" w14:textId="77777777" w:rsidR="00B62231" w:rsidRDefault="00B62231" w:rsidP="009C7957">
      <w:pPr>
        <w:jc w:val="center"/>
        <w:rPr>
          <w:b/>
        </w:rPr>
      </w:pPr>
    </w:p>
    <w:p w14:paraId="65F5D5D9" w14:textId="77777777" w:rsidR="00EC7934" w:rsidRDefault="00EC7934">
      <w:pPr>
        <w:pStyle w:val="TableofFigures"/>
        <w:tabs>
          <w:tab w:val="right" w:leader="dot" w:pos="9350"/>
        </w:tabs>
        <w:rPr>
          <w:noProof/>
          <w:lang w:eastAsia="en-US"/>
        </w:rPr>
      </w:pPr>
      <w:r>
        <w:rPr>
          <w:b/>
        </w:rPr>
        <w:fldChar w:fldCharType="begin"/>
      </w:r>
      <w:r>
        <w:rPr>
          <w:b/>
        </w:rPr>
        <w:instrText xml:space="preserve"> TOC \h \z \c "Supplementary Figure" </w:instrText>
      </w:r>
      <w:r>
        <w:rPr>
          <w:b/>
        </w:rPr>
        <w:fldChar w:fldCharType="separate"/>
      </w:r>
      <w:hyperlink w:anchor="_Toc497487264" w:history="1">
        <w:r w:rsidRPr="00274291">
          <w:rPr>
            <w:rStyle w:val="Hyperlink"/>
            <w:noProof/>
          </w:rPr>
          <w:t>Supplementary Figure 1 – Probability a given number of SNPs can uniquely assign a cell correctly to its donor given the number of samples multiplexed. Probability calculated over 100 simulated cells. Error bar determined by 10 simulation replicates.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_Toc497487264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19E609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65" w:history="1">
        <w:r w:rsidR="00EC7934" w:rsidRPr="00274291">
          <w:rPr>
            <w:rStyle w:val="Hyperlink"/>
            <w:noProof/>
          </w:rPr>
          <w:t>Supplementary Figure 2 – Number of usable singlets (triangle) and total number of cells sequenced (circle) as a function of number of individuals multiplexed at a fixed undetected doublet rate estimated from 1000 cells (1% - 10%).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_Toc497487265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4</w:t>
        </w:r>
        <w:r w:rsidR="00EC7934">
          <w:rPr>
            <w:noProof/>
            <w:webHidden/>
          </w:rPr>
          <w:fldChar w:fldCharType="end"/>
        </w:r>
      </w:hyperlink>
    </w:p>
    <w:p w14:paraId="339AB8F1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66" w:history="1">
        <w:r w:rsidR="00EC7934" w:rsidRPr="00274291">
          <w:rPr>
            <w:rStyle w:val="Hyperlink"/>
            <w:noProof/>
          </w:rPr>
          <w:t>Supplementary Figure 3 – Cost per singlet (triangle) and per all cells (circle) as a function of number of individuals multiplexed at a fixed undetected doublet rate estimated from 1000 cells (1% - 10%).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_Toc497487266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5</w:t>
        </w:r>
        <w:r w:rsidR="00EC7934">
          <w:rPr>
            <w:noProof/>
            <w:webHidden/>
          </w:rPr>
          <w:fldChar w:fldCharType="end"/>
        </w:r>
      </w:hyperlink>
    </w:p>
    <w:p w14:paraId="51B5CEF1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67" w:history="1">
        <w:r w:rsidR="00EC7934" w:rsidRPr="00274291">
          <w:rPr>
            <w:rStyle w:val="Hyperlink"/>
            <w:noProof/>
          </w:rPr>
          <w:t>Supplementary Figure 4 – Probability to demultiplex up to 64 unrelated individuals versus number of reads overlapping SNPs.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_Toc497487267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6</w:t>
        </w:r>
        <w:r w:rsidR="00EC7934">
          <w:rPr>
            <w:noProof/>
            <w:webHidden/>
          </w:rPr>
          <w:fldChar w:fldCharType="end"/>
        </w:r>
      </w:hyperlink>
    </w:p>
    <w:p w14:paraId="46D0C1C7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68" w:history="1">
        <w:r w:rsidR="00EC7934" w:rsidRPr="00274291">
          <w:rPr>
            <w:rStyle w:val="Hyperlink"/>
            <w:noProof/>
          </w:rPr>
          <w:t>Supplementary Figure 5 – Probability and error rates to detect doublets from up to 64 unrelated individuals versus number of reads overlapping SNPs. Dashed lines designate the theoretical limit for doublet detection (1/(1-N)).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_Toc497487268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7</w:t>
        </w:r>
        <w:r w:rsidR="00EC7934">
          <w:rPr>
            <w:noProof/>
            <w:webHidden/>
          </w:rPr>
          <w:fldChar w:fldCharType="end"/>
        </w:r>
      </w:hyperlink>
    </w:p>
    <w:p w14:paraId="51A6BB0B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69" w:history="1">
        <w:r w:rsidR="00EC7934" w:rsidRPr="00274291">
          <w:rPr>
            <w:rStyle w:val="Hyperlink"/>
            <w:noProof/>
          </w:rPr>
          <w:t>Supplementary Figure 6 –Number of SNPs detected per cell (y-axis) versus number of UMIs (x-axis).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_Toc497487269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8</w:t>
        </w:r>
        <w:r w:rsidR="00EC7934">
          <w:rPr>
            <w:noProof/>
            <w:webHidden/>
          </w:rPr>
          <w:fldChar w:fldCharType="end"/>
        </w:r>
      </w:hyperlink>
    </w:p>
    <w:p w14:paraId="04628757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0" w:history="1">
        <w:r w:rsidR="00EC7934" w:rsidRPr="00274291">
          <w:rPr>
            <w:rStyle w:val="Hyperlink"/>
            <w:noProof/>
          </w:rPr>
          <w:t>Supplementary Figure 7 – Proportion of correctly assigned cells as a function of reads overlapping SNPs for 8 related individuals from 1000 Genomes. Circles represent averages over 6,145 cells downsampled to a total of 5,000, 10,000, 25,000, 50,000, 75,000 or 90,000 reads overlapping SNPs over all individuals.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_Toc497487270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9</w:t>
        </w:r>
        <w:r w:rsidR="00EC7934">
          <w:rPr>
            <w:noProof/>
            <w:webHidden/>
          </w:rPr>
          <w:fldChar w:fldCharType="end"/>
        </w:r>
      </w:hyperlink>
    </w:p>
    <w:p w14:paraId="52EECF20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1" w:history="1">
        <w:r w:rsidR="00EC7934" w:rsidRPr="00274291">
          <w:rPr>
            <w:rStyle w:val="Hyperlink"/>
            <w:noProof/>
          </w:rPr>
          <w:t>Supplementary Figure 8 – Detection boundaries of likelihood differences between mixture model for doublets (LLK12) and singlets (SNG.LLK1).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_Toc497487271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10</w:t>
        </w:r>
        <w:r w:rsidR="00EC7934">
          <w:rPr>
            <w:noProof/>
            <w:webHidden/>
          </w:rPr>
          <w:fldChar w:fldCharType="end"/>
        </w:r>
      </w:hyperlink>
    </w:p>
    <w:p w14:paraId="2E8CD325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2" w:history="1">
        <w:r w:rsidR="00EC7934" w:rsidRPr="00274291">
          <w:rPr>
            <w:rStyle w:val="Hyperlink"/>
            <w:noProof/>
          </w:rPr>
          <w:t>Supplementary Figure 9 – Cell type-specific expression of single cells versus bulk. Average expression over single cells for each cell type (y-axis) versus the bulk expression of B cells, CD4+ T cells and monocytes (x-axis). Single cell averages were estimated for 8 individuals. Bulk expression was generated for 6 individuals.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_Toc497487272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11</w:t>
        </w:r>
        <w:r w:rsidR="00EC7934">
          <w:rPr>
            <w:noProof/>
            <w:webHidden/>
          </w:rPr>
          <w:fldChar w:fldCharType="end"/>
        </w:r>
      </w:hyperlink>
    </w:p>
    <w:p w14:paraId="6B8D0815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3" w:history="1">
        <w:r w:rsidR="00EC7934" w:rsidRPr="00274291">
          <w:rPr>
            <w:rStyle w:val="Hyperlink"/>
            <w:noProof/>
          </w:rPr>
          <w:t>Supplementary Figure 10 – Estimates of cell type proportion from three well experiment of unstimulated PBMCs. Estimates of cell type proportion for wells W1 and W2 (x-axis) versus estimates of cell type proportion for the same individuals in well W3 (y-axis).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_Toc497487273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12</w:t>
        </w:r>
        <w:r w:rsidR="00EC7934">
          <w:rPr>
            <w:noProof/>
            <w:webHidden/>
          </w:rPr>
          <w:fldChar w:fldCharType="end"/>
        </w:r>
      </w:hyperlink>
    </w:p>
    <w:p w14:paraId="1C7BFF13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4" w:history="1">
        <w:r w:rsidR="00EC7934" w:rsidRPr="00274291">
          <w:rPr>
            <w:rStyle w:val="Hyperlink"/>
            <w:noProof/>
          </w:rPr>
          <w:t>Supplementary Figure 11 – A. TSNE plot for wells W1, W2 and W3 separately. B. QQ plot comparing differential expression analysis between W1 and W2 with W3 for the same individuals.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_Toc497487274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13</w:t>
        </w:r>
        <w:r w:rsidR="00EC7934">
          <w:rPr>
            <w:noProof/>
            <w:webHidden/>
          </w:rPr>
          <w:fldChar w:fldCharType="end"/>
        </w:r>
      </w:hyperlink>
    </w:p>
    <w:p w14:paraId="5BF52FAD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5" w:history="1">
        <w:r w:rsidR="00EC7934" w:rsidRPr="00274291">
          <w:rPr>
            <w:rStyle w:val="Hyperlink"/>
            <w:noProof/>
          </w:rPr>
          <w:t>Supplementary Figure 12 – Estimated versus observed doublet rates for unstimulated cells. Expected doublet rates for each pair of individuals (i,j) are calculated as pi * pj, where pi and pj are the proportion of singlets individuals i and j.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_Toc497487275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14</w:t>
        </w:r>
        <w:r w:rsidR="00EC7934">
          <w:rPr>
            <w:noProof/>
            <w:webHidden/>
          </w:rPr>
          <w:fldChar w:fldCharType="end"/>
        </w:r>
      </w:hyperlink>
    </w:p>
    <w:p w14:paraId="6832ED64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6" w:history="1">
        <w:r w:rsidR="00EC7934" w:rsidRPr="00274291">
          <w:rPr>
            <w:rStyle w:val="Hyperlink"/>
            <w:noProof/>
          </w:rPr>
          <w:t>Supplementary Figure 13 – Detected doublets from the IFN-beta stimulation experiment. Red (confidently called doublets). Pink (ambiguous). Gray (singlets).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_Toc497487276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15</w:t>
        </w:r>
        <w:r w:rsidR="00EC7934">
          <w:rPr>
            <w:noProof/>
            <w:webHidden/>
          </w:rPr>
          <w:fldChar w:fldCharType="end"/>
        </w:r>
      </w:hyperlink>
    </w:p>
    <w:p w14:paraId="04CA049A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7" w:history="1">
        <w:r w:rsidR="00EC7934" w:rsidRPr="00274291">
          <w:rPr>
            <w:rStyle w:val="Hyperlink"/>
            <w:noProof/>
          </w:rPr>
          <w:t>Supplementary Figure 14 - Estimates of cell type proportion from unstimulated and IFN-beta stimulated PBMCs. Estimates of cell type proportion for unstimulated cells (x-axis) versus stimulated cells (y-axis) for 8 individuals.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_Toc497487277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16</w:t>
        </w:r>
        <w:r w:rsidR="00EC7934">
          <w:rPr>
            <w:noProof/>
            <w:webHidden/>
          </w:rPr>
          <w:fldChar w:fldCharType="end"/>
        </w:r>
      </w:hyperlink>
    </w:p>
    <w:p w14:paraId="551F314E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8" w:history="1">
        <w:r w:rsidR="00EC7934" w:rsidRPr="00274291">
          <w:rPr>
            <w:rStyle w:val="Hyperlink"/>
            <w:noProof/>
          </w:rPr>
          <w:t>Supplementary Figure 15 – Scatter plot of estimates of cell type proportion from dscRNA-seq (x-axis) and FACS sorting (y-axis) for 6 lupus patients after IFN-beta stimulation.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_Toc497487278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17</w:t>
        </w:r>
        <w:r w:rsidR="00EC7934">
          <w:rPr>
            <w:noProof/>
            <w:webHidden/>
          </w:rPr>
          <w:fldChar w:fldCharType="end"/>
        </w:r>
      </w:hyperlink>
    </w:p>
    <w:p w14:paraId="28B3615E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79" w:history="1">
        <w:r w:rsidR="00EC7934" w:rsidRPr="00274291">
          <w:rPr>
            <w:rStyle w:val="Hyperlink"/>
            <w:noProof/>
          </w:rPr>
          <w:t>Supplementary Figure 16 – Gene expression correlation between dscRNA-seq data and ImmGen mouse microarray data.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_Toc497487279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18</w:t>
        </w:r>
        <w:r w:rsidR="00EC7934">
          <w:rPr>
            <w:noProof/>
            <w:webHidden/>
          </w:rPr>
          <w:fldChar w:fldCharType="end"/>
        </w:r>
      </w:hyperlink>
    </w:p>
    <w:p w14:paraId="04AB196F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80" w:history="1">
        <w:r w:rsidR="00EC7934" w:rsidRPr="00274291">
          <w:rPr>
            <w:rStyle w:val="Hyperlink"/>
            <w:noProof/>
          </w:rPr>
          <w:t>Supplementary Figure 17 – Correlation of foldChange before and after IFN-beta stimulation of ~1000 expressed genes between published CD4 microarray (Ye et al., Science) and monocyte derived dendritic cells RNA-seq (Ye et al., unpublished) (y-axis) with dscRNA-seq cell type specific response (x-axis).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_Toc497487280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19</w:t>
        </w:r>
        <w:r w:rsidR="00EC7934">
          <w:rPr>
            <w:noProof/>
            <w:webHidden/>
          </w:rPr>
          <w:fldChar w:fldCharType="end"/>
        </w:r>
      </w:hyperlink>
    </w:p>
    <w:p w14:paraId="32FB7956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81" w:history="1">
        <w:r w:rsidR="00EC7934" w:rsidRPr="00274291">
          <w:rPr>
            <w:rStyle w:val="Hyperlink"/>
            <w:noProof/>
          </w:rPr>
          <w:t>Supplementary Figure 18 – IFN-beta fold change correlation between dscRNA-seq data (y axis) and qPCR data from CD4+ T cells (x axis).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_Toc497487281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20</w:t>
        </w:r>
        <w:r w:rsidR="00EC7934">
          <w:rPr>
            <w:noProof/>
            <w:webHidden/>
          </w:rPr>
          <w:fldChar w:fldCharType="end"/>
        </w:r>
      </w:hyperlink>
    </w:p>
    <w:p w14:paraId="746AB30D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82" w:history="1">
        <w:r w:rsidR="00EC7934" w:rsidRPr="00274291">
          <w:rPr>
            <w:rStyle w:val="Hyperlink"/>
            <w:noProof/>
          </w:rPr>
          <w:t>Supplementary Figure 19 – Expected versus observed variability in cell populations. Variance of average expression over single cells across 8 individuals (y) versus variance of average expression over single cells across 8 synthetic replicates matching cell number for each individual (x).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_Toc497487282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21</w:t>
        </w:r>
        <w:r w:rsidR="00EC7934">
          <w:rPr>
            <w:noProof/>
            <w:webHidden/>
          </w:rPr>
          <w:fldChar w:fldCharType="end"/>
        </w:r>
      </w:hyperlink>
    </w:p>
    <w:p w14:paraId="3C63FF9F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83" w:history="1">
        <w:r w:rsidR="00EC7934" w:rsidRPr="00274291">
          <w:rPr>
            <w:rStyle w:val="Hyperlink"/>
            <w:noProof/>
          </w:rPr>
          <w:t>Supplementary Figure 20 – Observed variability in gene expression is correlated between batches.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_Toc497487283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22</w:t>
        </w:r>
        <w:r w:rsidR="00EC7934">
          <w:rPr>
            <w:noProof/>
            <w:webHidden/>
          </w:rPr>
          <w:fldChar w:fldCharType="end"/>
        </w:r>
      </w:hyperlink>
    </w:p>
    <w:p w14:paraId="63524104" w14:textId="77777777" w:rsidR="00EC7934" w:rsidRDefault="00B277FA">
      <w:pPr>
        <w:pStyle w:val="TableofFigures"/>
        <w:tabs>
          <w:tab w:val="right" w:leader="dot" w:pos="9350"/>
        </w:tabs>
        <w:rPr>
          <w:noProof/>
          <w:lang w:eastAsia="en-US"/>
        </w:rPr>
      </w:pPr>
      <w:hyperlink w:anchor="_Toc497487284" w:history="1">
        <w:r w:rsidR="00EC7934" w:rsidRPr="00274291">
          <w:rPr>
            <w:rStyle w:val="Hyperlink"/>
            <w:noProof/>
          </w:rPr>
          <w:t>Supplementary Figure 21 – Example of flow cytometry gating strategy for quantifying immune cell populations.</w:t>
        </w:r>
        <w:r w:rsidR="00EC7934">
          <w:rPr>
            <w:noProof/>
            <w:webHidden/>
          </w:rPr>
          <w:tab/>
        </w:r>
        <w:r w:rsidR="00EC7934">
          <w:rPr>
            <w:noProof/>
            <w:webHidden/>
          </w:rPr>
          <w:fldChar w:fldCharType="begin"/>
        </w:r>
        <w:r w:rsidR="00EC7934">
          <w:rPr>
            <w:noProof/>
            <w:webHidden/>
          </w:rPr>
          <w:instrText xml:space="preserve"> PAGEREF _Toc497487284 \h </w:instrText>
        </w:r>
        <w:r w:rsidR="00EC7934">
          <w:rPr>
            <w:noProof/>
            <w:webHidden/>
          </w:rPr>
        </w:r>
        <w:r w:rsidR="00EC7934">
          <w:rPr>
            <w:noProof/>
            <w:webHidden/>
          </w:rPr>
          <w:fldChar w:fldCharType="separate"/>
        </w:r>
        <w:r w:rsidR="00EC7934">
          <w:rPr>
            <w:noProof/>
            <w:webHidden/>
          </w:rPr>
          <w:t>23</w:t>
        </w:r>
        <w:r w:rsidR="00EC7934">
          <w:rPr>
            <w:noProof/>
            <w:webHidden/>
          </w:rPr>
          <w:fldChar w:fldCharType="end"/>
        </w:r>
      </w:hyperlink>
    </w:p>
    <w:p w14:paraId="1C6FB4B0" w14:textId="2D339370" w:rsidR="00B43214" w:rsidRPr="00847358" w:rsidRDefault="00EC7934">
      <w:pPr>
        <w:rPr>
          <w:b/>
        </w:rPr>
      </w:pPr>
      <w:r>
        <w:rPr>
          <w:b/>
        </w:rPr>
        <w:fldChar w:fldCharType="end"/>
      </w:r>
      <w:r w:rsidR="00B43214">
        <w:br w:type="page"/>
      </w:r>
    </w:p>
    <w:p w14:paraId="7A8BEDA6" w14:textId="3951FEAE" w:rsidR="0010172A" w:rsidRDefault="00AF1556" w:rsidP="005D260C">
      <w:pPr>
        <w:keepNext/>
      </w:pPr>
      <w:r w:rsidRPr="00AF1556">
        <w:rPr>
          <w:noProof/>
        </w:rPr>
        <w:drawing>
          <wp:inline distT="0" distB="0" distL="0" distR="0" wp14:anchorId="19A43C7E" wp14:editId="033637CF">
            <wp:extent cx="5943600" cy="4359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9546" w14:textId="6E6D1195" w:rsidR="00AC3B98" w:rsidRDefault="005D260C" w:rsidP="005D260C">
      <w:pPr>
        <w:pStyle w:val="Caption"/>
        <w:rPr>
          <w:i w:val="0"/>
        </w:rPr>
      </w:pPr>
      <w:bookmarkStart w:id="0" w:name="_Toc490255182"/>
      <w:bookmarkStart w:id="1" w:name="_Toc490555381"/>
      <w:bookmarkStart w:id="2" w:name="_Toc497487264"/>
      <w:r>
        <w:t xml:space="preserve">Supplementary Figure </w:t>
      </w:r>
      <w:fldSimple w:instr=" SEQ Supplementary_Figure \* ARABIC ">
        <w:r w:rsidR="007E1344">
          <w:rPr>
            <w:noProof/>
          </w:rPr>
          <w:t>1</w:t>
        </w:r>
      </w:fldSimple>
      <w:r>
        <w:t xml:space="preserve"> – </w:t>
      </w:r>
      <w:r w:rsidR="00F8491B">
        <w:rPr>
          <w:i w:val="0"/>
        </w:rPr>
        <w:t>Probabil</w:t>
      </w:r>
      <w:r w:rsidR="000206B5">
        <w:rPr>
          <w:i w:val="0"/>
        </w:rPr>
        <w:t xml:space="preserve">ity a given number of SNPs can </w:t>
      </w:r>
      <w:r w:rsidR="00F8491B">
        <w:rPr>
          <w:i w:val="0"/>
        </w:rPr>
        <w:t>uniquely</w:t>
      </w:r>
      <w:r>
        <w:rPr>
          <w:i w:val="0"/>
        </w:rPr>
        <w:t xml:space="preserve"> assign a cell correctly to its donor</w:t>
      </w:r>
      <w:r w:rsidR="00F8491B">
        <w:rPr>
          <w:i w:val="0"/>
        </w:rPr>
        <w:t xml:space="preserve"> given the number of samples multiplexed.</w:t>
      </w:r>
      <w:r w:rsidR="000206B5">
        <w:rPr>
          <w:i w:val="0"/>
        </w:rPr>
        <w:t xml:space="preserve"> Probability calculated over 100 simulated cells. Error bar determined by 10 simulation replicates.</w:t>
      </w:r>
      <w:bookmarkEnd w:id="0"/>
      <w:bookmarkEnd w:id="1"/>
      <w:bookmarkEnd w:id="2"/>
    </w:p>
    <w:p w14:paraId="6948714B" w14:textId="77777777" w:rsidR="00AC3B98" w:rsidRDefault="00AC3B98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586294D2" w14:textId="77777777" w:rsidR="00CF0491" w:rsidRDefault="00CF0491" w:rsidP="00CF0491">
      <w:pPr>
        <w:keepNext/>
      </w:pPr>
      <w:r w:rsidRPr="001B232B">
        <w:rPr>
          <w:noProof/>
        </w:rPr>
        <w:drawing>
          <wp:inline distT="0" distB="0" distL="0" distR="0" wp14:anchorId="39808F72" wp14:editId="140BDE5C">
            <wp:extent cx="5943600" cy="4248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2CD5" w14:textId="77777777" w:rsidR="00CF0491" w:rsidRDefault="00CF0491" w:rsidP="00CF0491">
      <w:pPr>
        <w:pStyle w:val="Caption"/>
        <w:rPr>
          <w:i w:val="0"/>
        </w:rPr>
      </w:pPr>
      <w:bookmarkStart w:id="3" w:name="_Toc490255183"/>
      <w:bookmarkStart w:id="4" w:name="_Toc490555384"/>
      <w:bookmarkStart w:id="5" w:name="_Toc497487265"/>
      <w:r>
        <w:t xml:space="preserve">Supplementary Figure </w:t>
      </w:r>
      <w:r w:rsidR="00B277FA">
        <w:fldChar w:fldCharType="begin"/>
      </w:r>
      <w:r w:rsidR="00B277FA">
        <w:instrText xml:space="preserve"> SEQ Supplementary_Figure \* ARABIC </w:instrText>
      </w:r>
      <w:r w:rsidR="00B277FA">
        <w:fldChar w:fldCharType="separate"/>
      </w:r>
      <w:r w:rsidR="007E1344">
        <w:rPr>
          <w:noProof/>
        </w:rPr>
        <w:t>2</w:t>
      </w:r>
      <w:r w:rsidR="00B277FA">
        <w:rPr>
          <w:noProof/>
        </w:rPr>
        <w:fldChar w:fldCharType="end"/>
      </w:r>
      <w:r>
        <w:t xml:space="preserve"> – </w:t>
      </w:r>
      <w:r>
        <w:rPr>
          <w:i w:val="0"/>
        </w:rPr>
        <w:t>Number of usable singlets (triangle) and total number of cells sequenced (circle) as a function of number of individuals multiplexed at a fixed undetected doublet rate estimated from 1000 cells (1% - 10%).</w:t>
      </w:r>
      <w:bookmarkEnd w:id="3"/>
      <w:bookmarkEnd w:id="4"/>
      <w:bookmarkEnd w:id="5"/>
      <w:r>
        <w:rPr>
          <w:i w:val="0"/>
        </w:rPr>
        <w:t xml:space="preserve"> </w:t>
      </w:r>
    </w:p>
    <w:p w14:paraId="2A68BA7A" w14:textId="77777777" w:rsidR="00CF0491" w:rsidRDefault="00CF0491" w:rsidP="00CF0491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0EC69EA9" w14:textId="77777777" w:rsidR="00CF0491" w:rsidRDefault="00CF0491" w:rsidP="00CF0491">
      <w:pPr>
        <w:pStyle w:val="Caption"/>
        <w:keepNext/>
      </w:pPr>
      <w:r w:rsidRPr="003E35F5">
        <w:rPr>
          <w:noProof/>
        </w:rPr>
        <w:drawing>
          <wp:inline distT="0" distB="0" distL="0" distR="0" wp14:anchorId="265E3003" wp14:editId="0664AC99">
            <wp:extent cx="5943600" cy="4248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5FAE" w14:textId="3AD2EA69" w:rsidR="009840E6" w:rsidRDefault="00CF0491" w:rsidP="00CF0491">
      <w:pPr>
        <w:pStyle w:val="Caption"/>
        <w:rPr>
          <w:i w:val="0"/>
        </w:rPr>
      </w:pPr>
      <w:bookmarkStart w:id="6" w:name="_Toc490255184"/>
      <w:bookmarkStart w:id="7" w:name="_Toc490555385"/>
      <w:bookmarkStart w:id="8" w:name="_Toc497487266"/>
      <w:r>
        <w:t xml:space="preserve">Supplementary Figure </w:t>
      </w:r>
      <w:r w:rsidR="00B277FA">
        <w:fldChar w:fldCharType="begin"/>
      </w:r>
      <w:r w:rsidR="00B277FA">
        <w:instrText xml:space="preserve"> SEQ Supplementary_Figure \* ARABIC </w:instrText>
      </w:r>
      <w:r w:rsidR="00B277FA">
        <w:fldChar w:fldCharType="separate"/>
      </w:r>
      <w:r w:rsidR="007E1344">
        <w:rPr>
          <w:noProof/>
        </w:rPr>
        <w:t>3</w:t>
      </w:r>
      <w:r w:rsidR="00B277FA">
        <w:rPr>
          <w:noProof/>
        </w:rPr>
        <w:fldChar w:fldCharType="end"/>
      </w:r>
      <w:r>
        <w:t xml:space="preserve"> – </w:t>
      </w:r>
      <w:r>
        <w:rPr>
          <w:i w:val="0"/>
        </w:rPr>
        <w:t>Cost per singlet (triangle) and per all cells (circl</w:t>
      </w:r>
      <w:r w:rsidR="002A209D">
        <w:rPr>
          <w:i w:val="0"/>
        </w:rPr>
        <w:t>e</w:t>
      </w:r>
      <w:r>
        <w:rPr>
          <w:i w:val="0"/>
        </w:rPr>
        <w:t>) as a function of number of individuals multiplexed at a fixed undetected doublet rate estimated from 1000 cells (1% - 10%).</w:t>
      </w:r>
      <w:bookmarkEnd w:id="6"/>
      <w:bookmarkEnd w:id="7"/>
      <w:bookmarkEnd w:id="8"/>
    </w:p>
    <w:p w14:paraId="24DE0DEF" w14:textId="77777777" w:rsidR="009840E6" w:rsidRDefault="009840E6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471AB1B8" w14:textId="77777777" w:rsidR="009840E6" w:rsidRDefault="009840E6" w:rsidP="009840E6">
      <w:pPr>
        <w:pStyle w:val="Caption"/>
        <w:rPr>
          <w:i w:val="0"/>
        </w:rPr>
      </w:pPr>
      <w:r w:rsidRPr="00AE1120">
        <w:rPr>
          <w:i w:val="0"/>
          <w:noProof/>
        </w:rPr>
        <w:drawing>
          <wp:inline distT="0" distB="0" distL="0" distR="0" wp14:anchorId="0E7517C9" wp14:editId="3D1E422D">
            <wp:extent cx="5943600" cy="3493135"/>
            <wp:effectExtent l="0" t="0" r="0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AC0B" w14:textId="5EE37F13" w:rsidR="00CE3294" w:rsidRDefault="009840E6" w:rsidP="009840E6">
      <w:pPr>
        <w:pStyle w:val="Caption"/>
        <w:rPr>
          <w:i w:val="0"/>
        </w:rPr>
      </w:pPr>
      <w:bookmarkStart w:id="9" w:name="_Toc497487267"/>
      <w:r>
        <w:t xml:space="preserve">Supplementary Figure </w:t>
      </w:r>
      <w:r w:rsidR="00B277FA">
        <w:fldChar w:fldCharType="begin"/>
      </w:r>
      <w:r w:rsidR="00B277FA">
        <w:instrText xml:space="preserve"> SEQ Supplementary_Figure \* ARABIC </w:instrText>
      </w:r>
      <w:r w:rsidR="00B277FA">
        <w:fldChar w:fldCharType="separate"/>
      </w:r>
      <w:r w:rsidR="007E1344">
        <w:rPr>
          <w:noProof/>
        </w:rPr>
        <w:t>4</w:t>
      </w:r>
      <w:r w:rsidR="00B277FA">
        <w:rPr>
          <w:noProof/>
        </w:rPr>
        <w:fldChar w:fldCharType="end"/>
      </w:r>
      <w:r>
        <w:t xml:space="preserve"> – </w:t>
      </w:r>
      <w:r>
        <w:rPr>
          <w:i w:val="0"/>
        </w:rPr>
        <w:t xml:space="preserve">Probability to </w:t>
      </w:r>
      <w:proofErr w:type="spellStart"/>
      <w:r>
        <w:rPr>
          <w:i w:val="0"/>
        </w:rPr>
        <w:t>demultiplex</w:t>
      </w:r>
      <w:proofErr w:type="spellEnd"/>
      <w:r>
        <w:rPr>
          <w:i w:val="0"/>
        </w:rPr>
        <w:t xml:space="preserve"> up to 64 unrelated individuals versus number of reads overlapping SNPs.</w:t>
      </w:r>
      <w:bookmarkEnd w:id="9"/>
    </w:p>
    <w:p w14:paraId="588ED9A3" w14:textId="77777777" w:rsidR="00CE3294" w:rsidRDefault="00CE3294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042D74B9" w14:textId="261C80DE" w:rsidR="001361FE" w:rsidRDefault="00620E41" w:rsidP="009840E6">
      <w:pPr>
        <w:pStyle w:val="Caption"/>
        <w:rPr>
          <w:i w:val="0"/>
        </w:rPr>
      </w:pPr>
      <w:r w:rsidRPr="00620E41">
        <w:rPr>
          <w:i w:val="0"/>
          <w:noProof/>
        </w:rPr>
        <w:drawing>
          <wp:inline distT="0" distB="0" distL="0" distR="0" wp14:anchorId="2E889965" wp14:editId="34793DB7">
            <wp:extent cx="2642616" cy="320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7516"/>
                    <a:stretch/>
                  </pic:blipFill>
                  <pic:spPr bwMode="auto">
                    <a:xfrm>
                      <a:off x="0" y="0"/>
                      <a:ext cx="2642616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46C" w:rsidRPr="00A8446C">
        <w:rPr>
          <w:i w:val="0"/>
          <w:noProof/>
        </w:rPr>
        <w:t xml:space="preserve"> </w:t>
      </w:r>
      <w:r w:rsidR="006E3C56" w:rsidRPr="006E3C56">
        <w:rPr>
          <w:i w:val="0"/>
          <w:noProof/>
        </w:rPr>
        <w:drawing>
          <wp:inline distT="0" distB="0" distL="0" distR="0" wp14:anchorId="55F21943" wp14:editId="3D688568">
            <wp:extent cx="3200400" cy="3200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9247" w14:textId="70DD43C7" w:rsidR="00441EC9" w:rsidRDefault="00A8446C" w:rsidP="00A8446C">
      <w:pPr>
        <w:pStyle w:val="Caption"/>
        <w:rPr>
          <w:i w:val="0"/>
        </w:rPr>
      </w:pPr>
      <w:bookmarkStart w:id="10" w:name="_Toc497487268"/>
      <w:r>
        <w:t xml:space="preserve">Supplementary Figure </w:t>
      </w:r>
      <w:fldSimple w:instr=" SEQ Supplementary_Figure \* ARABIC ">
        <w:r w:rsidR="007E1344">
          <w:rPr>
            <w:noProof/>
          </w:rPr>
          <w:t>5</w:t>
        </w:r>
      </w:fldSimple>
      <w:r>
        <w:t xml:space="preserve"> – </w:t>
      </w:r>
      <w:r>
        <w:rPr>
          <w:i w:val="0"/>
        </w:rPr>
        <w:t>Probability</w:t>
      </w:r>
      <w:r w:rsidR="00D563B4">
        <w:rPr>
          <w:i w:val="0"/>
        </w:rPr>
        <w:t xml:space="preserve"> and error rates</w:t>
      </w:r>
      <w:r>
        <w:rPr>
          <w:i w:val="0"/>
        </w:rPr>
        <w:t xml:space="preserve"> to detect doublets </w:t>
      </w:r>
      <w:r w:rsidR="001B7403">
        <w:rPr>
          <w:i w:val="0"/>
        </w:rPr>
        <w:t xml:space="preserve">from </w:t>
      </w:r>
      <w:r>
        <w:rPr>
          <w:i w:val="0"/>
        </w:rPr>
        <w:t>up to 64 unrelated individuals versus number of reads overlapping SNPs.</w:t>
      </w:r>
      <w:r w:rsidR="00D563B4">
        <w:rPr>
          <w:i w:val="0"/>
        </w:rPr>
        <w:t xml:space="preserve"> Dashed lines designate the theoretical limit for doublet detection (1/(1-N)).</w:t>
      </w:r>
      <w:bookmarkEnd w:id="10"/>
    </w:p>
    <w:p w14:paraId="289E448C" w14:textId="61DAE60E" w:rsidR="00441EC9" w:rsidRDefault="00441EC9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31E54862" w14:textId="0E394208" w:rsidR="001361FE" w:rsidRPr="00441EC9" w:rsidRDefault="00441EC9" w:rsidP="00441EC9">
      <w:pPr>
        <w:pStyle w:val="Caption"/>
        <w:rPr>
          <w:i w:val="0"/>
        </w:rPr>
      </w:pPr>
      <w:r w:rsidRPr="00C23E27">
        <w:rPr>
          <w:noProof/>
        </w:rPr>
        <w:drawing>
          <wp:inline distT="0" distB="0" distL="0" distR="0" wp14:anchorId="17F85A8F" wp14:editId="5C0EDAAA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5091" w14:textId="2CE9E02B" w:rsidR="00AE5D2B" w:rsidRPr="00AE5D2B" w:rsidRDefault="00AE5D2B" w:rsidP="00AE5D2B">
      <w:pPr>
        <w:pStyle w:val="Caption"/>
      </w:pPr>
      <w:bookmarkStart w:id="11" w:name="_Toc490555383"/>
      <w:r w:rsidRPr="00AE5D2B">
        <w:t xml:space="preserve"> </w:t>
      </w:r>
      <w:bookmarkStart w:id="12" w:name="_Toc497487269"/>
      <w:r>
        <w:t xml:space="preserve">Supplementary Figure </w:t>
      </w:r>
      <w:fldSimple w:instr=" SEQ Supplementary_Figure \* ARABIC ">
        <w:r w:rsidR="007E1344">
          <w:rPr>
            <w:noProof/>
          </w:rPr>
          <w:t>6</w:t>
        </w:r>
      </w:fldSimple>
      <w:r>
        <w:t xml:space="preserve"> –</w:t>
      </w:r>
      <w:r w:rsidR="00E7596B">
        <w:rPr>
          <w:i w:val="0"/>
        </w:rPr>
        <w:t>N</w:t>
      </w:r>
      <w:r>
        <w:rPr>
          <w:i w:val="0"/>
        </w:rPr>
        <w:t>umber of SNPs</w:t>
      </w:r>
      <w:r w:rsidR="007E1344">
        <w:rPr>
          <w:i w:val="0"/>
        </w:rPr>
        <w:t xml:space="preserve"> detected per cell</w:t>
      </w:r>
      <w:r w:rsidR="00E7596B">
        <w:rPr>
          <w:i w:val="0"/>
        </w:rPr>
        <w:t xml:space="preserve"> (y-axis) versus number of UMIs (x-axis)</w:t>
      </w:r>
      <w:r>
        <w:rPr>
          <w:i w:val="0"/>
        </w:rPr>
        <w:t>.</w:t>
      </w:r>
      <w:bookmarkEnd w:id="11"/>
      <w:bookmarkEnd w:id="12"/>
    </w:p>
    <w:p w14:paraId="32D9D961" w14:textId="68C82E5B" w:rsidR="001361FE" w:rsidRPr="00AE5D2B" w:rsidRDefault="001361FE" w:rsidP="001361FE">
      <w:pPr>
        <w:pStyle w:val="Caption"/>
      </w:pPr>
    </w:p>
    <w:p w14:paraId="0BA28370" w14:textId="77777777" w:rsidR="009840E6" w:rsidRDefault="009840E6" w:rsidP="009840E6">
      <w:pPr>
        <w:pStyle w:val="Caption"/>
        <w:rPr>
          <w:i w:val="0"/>
        </w:rPr>
      </w:pPr>
    </w:p>
    <w:p w14:paraId="627E03FD" w14:textId="77777777" w:rsidR="00CF0491" w:rsidRPr="003F434A" w:rsidRDefault="00CF0491" w:rsidP="00CF0491">
      <w:pPr>
        <w:pStyle w:val="Caption"/>
        <w:rPr>
          <w:i w:val="0"/>
        </w:rPr>
      </w:pPr>
    </w:p>
    <w:p w14:paraId="5AE06AC6" w14:textId="77777777" w:rsidR="002F0E72" w:rsidRDefault="002F0E72" w:rsidP="005D260C">
      <w:pPr>
        <w:pStyle w:val="Caption"/>
        <w:rPr>
          <w:i w:val="0"/>
        </w:rPr>
      </w:pPr>
    </w:p>
    <w:p w14:paraId="36817237" w14:textId="77777777" w:rsidR="002F0E72" w:rsidRDefault="002F0E72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0E099F0A" w14:textId="1295338C" w:rsidR="00290EC1" w:rsidRDefault="002A0B4E" w:rsidP="002F0E72">
      <w:pPr>
        <w:pStyle w:val="Caption"/>
      </w:pPr>
      <w:bookmarkStart w:id="13" w:name="_Toc490555382"/>
      <w:r>
        <w:rPr>
          <w:noProof/>
        </w:rPr>
        <w:drawing>
          <wp:inline distT="0" distB="0" distL="0" distR="0" wp14:anchorId="74E743F5" wp14:editId="3B99B3D8">
            <wp:extent cx="5940425" cy="4341495"/>
            <wp:effectExtent l="0" t="0" r="3175" b="1905"/>
            <wp:docPr id="19" name="Picture 19" descr="../supplemental%20information/snps.vs.prob.t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upplemental%20information/snps.vs.prob.tr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D1E5" w14:textId="2B955F17" w:rsidR="00AE5D2B" w:rsidRDefault="00AE5D2B" w:rsidP="002D7CA1">
      <w:pPr>
        <w:pStyle w:val="Caption"/>
        <w:rPr>
          <w:i w:val="0"/>
        </w:rPr>
      </w:pPr>
      <w:bookmarkStart w:id="14" w:name="_Toc497487270"/>
      <w:bookmarkEnd w:id="13"/>
      <w:r>
        <w:t xml:space="preserve">Supplementary Figure </w:t>
      </w:r>
      <w:fldSimple w:instr=" SEQ Supplementary_Figure \* ARABIC ">
        <w:r w:rsidR="007E1344">
          <w:rPr>
            <w:noProof/>
          </w:rPr>
          <w:t>7</w:t>
        </w:r>
      </w:fldSimple>
      <w:r>
        <w:t xml:space="preserve"> – </w:t>
      </w:r>
      <w:r w:rsidR="002D7CA1">
        <w:rPr>
          <w:i w:val="0"/>
        </w:rPr>
        <w:t xml:space="preserve">Proportion of correctly assigned cells as a function of reads overlapping SNPs for 8 related individuals from 1000 Genomes. </w:t>
      </w:r>
      <w:r>
        <w:rPr>
          <w:i w:val="0"/>
        </w:rPr>
        <w:t xml:space="preserve">Circles represent averages over </w:t>
      </w:r>
      <w:r w:rsidR="0036338B">
        <w:rPr>
          <w:i w:val="0"/>
        </w:rPr>
        <w:t>6,145</w:t>
      </w:r>
      <w:r w:rsidR="002D7CA1">
        <w:rPr>
          <w:i w:val="0"/>
        </w:rPr>
        <w:t xml:space="preserve"> cells </w:t>
      </w:r>
      <w:proofErr w:type="spellStart"/>
      <w:r>
        <w:rPr>
          <w:i w:val="0"/>
        </w:rPr>
        <w:t>downsampled</w:t>
      </w:r>
      <w:proofErr w:type="spellEnd"/>
      <w:r>
        <w:rPr>
          <w:i w:val="0"/>
        </w:rPr>
        <w:t xml:space="preserve"> to </w:t>
      </w:r>
      <w:r w:rsidR="0036338B">
        <w:rPr>
          <w:i w:val="0"/>
        </w:rPr>
        <w:t xml:space="preserve">a total of </w:t>
      </w:r>
      <w:r>
        <w:rPr>
          <w:i w:val="0"/>
        </w:rPr>
        <w:t>5</w:t>
      </w:r>
      <w:r w:rsidR="002D7CA1">
        <w:rPr>
          <w:i w:val="0"/>
        </w:rPr>
        <w:t>,</w:t>
      </w:r>
      <w:r>
        <w:rPr>
          <w:i w:val="0"/>
        </w:rPr>
        <w:t>000, 10</w:t>
      </w:r>
      <w:r w:rsidR="002D7CA1">
        <w:rPr>
          <w:i w:val="0"/>
        </w:rPr>
        <w:t>,</w:t>
      </w:r>
      <w:r>
        <w:rPr>
          <w:i w:val="0"/>
        </w:rPr>
        <w:t>000, 25</w:t>
      </w:r>
      <w:r w:rsidR="002D7CA1">
        <w:rPr>
          <w:i w:val="0"/>
        </w:rPr>
        <w:t>,</w:t>
      </w:r>
      <w:r>
        <w:rPr>
          <w:i w:val="0"/>
        </w:rPr>
        <w:t>000, 50</w:t>
      </w:r>
      <w:r w:rsidR="002D7CA1">
        <w:rPr>
          <w:i w:val="0"/>
        </w:rPr>
        <w:t>,</w:t>
      </w:r>
      <w:r>
        <w:rPr>
          <w:i w:val="0"/>
        </w:rPr>
        <w:t>000, 75</w:t>
      </w:r>
      <w:r w:rsidR="002D7CA1">
        <w:rPr>
          <w:i w:val="0"/>
        </w:rPr>
        <w:t>,</w:t>
      </w:r>
      <w:r>
        <w:rPr>
          <w:i w:val="0"/>
        </w:rPr>
        <w:t>000 or 90</w:t>
      </w:r>
      <w:r w:rsidR="002D7CA1">
        <w:rPr>
          <w:i w:val="0"/>
        </w:rPr>
        <w:t>,</w:t>
      </w:r>
      <w:r>
        <w:rPr>
          <w:i w:val="0"/>
        </w:rPr>
        <w:t xml:space="preserve">000 reads overlapping SNPs over </w:t>
      </w:r>
      <w:r w:rsidR="0036338B">
        <w:rPr>
          <w:i w:val="0"/>
        </w:rPr>
        <w:t>all individuals</w:t>
      </w:r>
      <w:r>
        <w:rPr>
          <w:i w:val="0"/>
        </w:rPr>
        <w:t>.</w:t>
      </w:r>
      <w:bookmarkEnd w:id="14"/>
    </w:p>
    <w:p w14:paraId="6A106DD5" w14:textId="78135ECD" w:rsidR="00F8654B" w:rsidRPr="00BC58D0" w:rsidRDefault="00F8654B" w:rsidP="008B70C6">
      <w:pPr>
        <w:rPr>
          <w:iCs/>
          <w:color w:val="44546A" w:themeColor="text2"/>
          <w:sz w:val="18"/>
          <w:szCs w:val="18"/>
        </w:rPr>
      </w:pPr>
      <w:r>
        <w:br w:type="page"/>
      </w:r>
      <w:r w:rsidR="00D82DD3">
        <w:rPr>
          <w:noProof/>
        </w:rPr>
        <w:drawing>
          <wp:inline distT="0" distB="0" distL="0" distR="0" wp14:anchorId="7086B588" wp14:editId="47B234E9">
            <wp:extent cx="5938520" cy="5938520"/>
            <wp:effectExtent l="0" t="0" r="5080" b="5080"/>
            <wp:docPr id="9" name="Picture 9" descr="FigS1.synthetic.boundaries/simulated/jya.sim.results.01.al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S1.synthetic.boundaries/simulated/jya.sim.results.01.all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7523" w14:textId="77777777" w:rsidR="00AE5D2B" w:rsidRPr="00F8654B" w:rsidRDefault="00AE5D2B" w:rsidP="00AE5D2B">
      <w:pPr>
        <w:pStyle w:val="Caption"/>
        <w:rPr>
          <w:i w:val="0"/>
        </w:rPr>
      </w:pPr>
      <w:bookmarkStart w:id="15" w:name="_Toc490255185"/>
      <w:bookmarkStart w:id="16" w:name="_Toc490555386"/>
      <w:bookmarkStart w:id="17" w:name="_Toc497487271"/>
      <w:r>
        <w:t xml:space="preserve">Supplementary Figure </w:t>
      </w:r>
      <w:fldSimple w:instr=" SEQ Supplementary_Figure \* ARABIC ">
        <w:r w:rsidR="007E1344">
          <w:rPr>
            <w:noProof/>
          </w:rPr>
          <w:t>8</w:t>
        </w:r>
      </w:fldSimple>
      <w:r>
        <w:t xml:space="preserve"> – </w:t>
      </w:r>
      <w:r>
        <w:rPr>
          <w:i w:val="0"/>
        </w:rPr>
        <w:t>Detection boundaries of likelihood differences between mixture model for doublets (LLK12) and singlets (SNG.LLK1).</w:t>
      </w:r>
      <w:bookmarkEnd w:id="15"/>
      <w:bookmarkEnd w:id="16"/>
      <w:bookmarkEnd w:id="17"/>
    </w:p>
    <w:p w14:paraId="68CD2DEA" w14:textId="77777777" w:rsidR="00841975" w:rsidRDefault="00841975" w:rsidP="00DC1C58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063F814E" w14:textId="77777777" w:rsidR="00F62943" w:rsidRDefault="00F62943" w:rsidP="00DC1C58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54018887" wp14:editId="7041637A">
            <wp:extent cx="5080635" cy="6489761"/>
            <wp:effectExtent l="0" t="0" r="0" b="0"/>
            <wp:docPr id="3" name="Picture 3" descr="FigS2/FigS2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S2/FigS2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0" t="8333" r="17261" b="36774"/>
                    <a:stretch/>
                  </pic:blipFill>
                  <pic:spPr bwMode="auto">
                    <a:xfrm>
                      <a:off x="0" y="0"/>
                      <a:ext cx="5084031" cy="64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78199" w14:textId="4EE03854" w:rsidR="00AE5D2B" w:rsidRDefault="00AE5D2B" w:rsidP="00AE5D2B">
      <w:pPr>
        <w:pStyle w:val="Caption"/>
        <w:rPr>
          <w:iCs w:val="0"/>
        </w:rPr>
      </w:pPr>
      <w:bookmarkStart w:id="18" w:name="_Toc490255186"/>
      <w:bookmarkStart w:id="19" w:name="_Toc490555387"/>
      <w:bookmarkStart w:id="20" w:name="_Toc497487272"/>
      <w:r>
        <w:t xml:space="preserve">Supplementary Figure </w:t>
      </w:r>
      <w:fldSimple w:instr=" SEQ Supplementary_Figure \* ARABIC ">
        <w:r w:rsidR="007E1344">
          <w:rPr>
            <w:noProof/>
          </w:rPr>
          <w:t>9</w:t>
        </w:r>
      </w:fldSimple>
      <w:r w:rsidRPr="00BD1479">
        <w:t xml:space="preserve"> </w:t>
      </w:r>
      <w:r w:rsidR="005A544A">
        <w:t>– Cell type-</w:t>
      </w:r>
      <w:r>
        <w:t xml:space="preserve">specific expression of single cells versus bulk. </w:t>
      </w:r>
      <w:r>
        <w:rPr>
          <w:i w:val="0"/>
        </w:rPr>
        <w:t>Average expression over single cells for each cell type (y-axis) versus the bulk expression of B cells, CD4+ T cells and monocytes (x-axis). Single cell averages were estimated for 8 individuals. Bulk expression was generated for 6 individuals.</w:t>
      </w:r>
      <w:bookmarkEnd w:id="18"/>
      <w:bookmarkEnd w:id="19"/>
      <w:bookmarkEnd w:id="20"/>
      <w:r>
        <w:rPr>
          <w:i w:val="0"/>
        </w:rPr>
        <w:br w:type="page"/>
      </w:r>
    </w:p>
    <w:p w14:paraId="7100FD50" w14:textId="77777777" w:rsidR="00BD1479" w:rsidRDefault="00BD1479" w:rsidP="00BD1479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7E249F39" wp14:editId="2BBF7D50">
            <wp:extent cx="5943600" cy="5943600"/>
            <wp:effectExtent l="0" t="0" r="0" b="0"/>
            <wp:docPr id="4" name="Picture 4" descr="FigS3/batch1.celltype.pro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S3/batch1.celltype.prop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CAE0" w14:textId="77777777" w:rsidR="00AE5D2B" w:rsidRDefault="00AE5D2B" w:rsidP="00AE5D2B">
      <w:pPr>
        <w:pStyle w:val="Caption"/>
        <w:rPr>
          <w:i w:val="0"/>
        </w:rPr>
      </w:pPr>
      <w:bookmarkStart w:id="21" w:name="_Toc490255187"/>
      <w:bookmarkStart w:id="22" w:name="_Toc490555388"/>
      <w:bookmarkStart w:id="23" w:name="_Toc497487273"/>
      <w:r>
        <w:t xml:space="preserve">Supplementary Figure </w:t>
      </w:r>
      <w:fldSimple w:instr=" SEQ Supplementary_Figure \* ARABIC ">
        <w:r w:rsidR="007E1344">
          <w:rPr>
            <w:noProof/>
          </w:rPr>
          <w:t>10</w:t>
        </w:r>
      </w:fldSimple>
      <w:r>
        <w:t xml:space="preserve"> – Estimates of cell type proportion from three well experiment of unstimulated PBMCs. </w:t>
      </w:r>
      <w:r>
        <w:rPr>
          <w:i w:val="0"/>
        </w:rPr>
        <w:t>Estimates of cell type proportion for wells W1 and W2 (x-axis) versus estimates of cell type proportion for the same individuals in well W3 (y-axis).</w:t>
      </w:r>
      <w:bookmarkEnd w:id="21"/>
      <w:bookmarkEnd w:id="22"/>
      <w:bookmarkEnd w:id="23"/>
    </w:p>
    <w:p w14:paraId="2A29C4DB" w14:textId="77777777" w:rsidR="00847C8C" w:rsidRDefault="00847C8C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1D260E46" w14:textId="77777777" w:rsidR="00847C8C" w:rsidRDefault="00847C8C" w:rsidP="00847C8C">
      <w:pPr>
        <w:keepNext/>
      </w:pPr>
      <w:r>
        <w:rPr>
          <w:noProof/>
        </w:rPr>
        <w:drawing>
          <wp:inline distT="0" distB="0" distL="0" distR="0" wp14:anchorId="3036484A" wp14:editId="2D8010B5">
            <wp:extent cx="5733288" cy="599541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2.well.TSNE.M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59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5092" w14:textId="77777777" w:rsidR="00847C8C" w:rsidRDefault="00847C8C" w:rsidP="00847C8C">
      <w:pPr>
        <w:keepNext/>
      </w:pPr>
    </w:p>
    <w:p w14:paraId="2F19A39C" w14:textId="77777777" w:rsidR="00AE5D2B" w:rsidRDefault="00AE5D2B" w:rsidP="00AE5D2B">
      <w:pPr>
        <w:pStyle w:val="Caption"/>
        <w:rPr>
          <w:i w:val="0"/>
        </w:rPr>
      </w:pPr>
      <w:bookmarkStart w:id="24" w:name="_Toc490255188"/>
      <w:bookmarkStart w:id="25" w:name="_Toc490555389"/>
      <w:bookmarkStart w:id="26" w:name="_Toc497487274"/>
      <w:r>
        <w:t xml:space="preserve">Supplementary Figure </w:t>
      </w:r>
      <w:fldSimple w:instr=" SEQ Supplementary_Figure \* ARABIC ">
        <w:r w:rsidR="007E1344">
          <w:rPr>
            <w:noProof/>
          </w:rPr>
          <w:t>11</w:t>
        </w:r>
      </w:fldSimple>
      <w:r>
        <w:t xml:space="preserve"> – A. </w:t>
      </w:r>
      <w:r>
        <w:rPr>
          <w:i w:val="0"/>
        </w:rPr>
        <w:t>TSNE plot for wells W1, W2 and W3 separately. B. QQ plot comparing differential expression analysis between W1 and W2 with W3 for the same individuals.</w:t>
      </w:r>
      <w:bookmarkEnd w:id="24"/>
      <w:bookmarkEnd w:id="25"/>
      <w:bookmarkEnd w:id="26"/>
      <w:r>
        <w:rPr>
          <w:i w:val="0"/>
        </w:rPr>
        <w:t xml:space="preserve"> </w:t>
      </w:r>
    </w:p>
    <w:p w14:paraId="1EBEFD5B" w14:textId="395C679F" w:rsidR="000F0566" w:rsidRPr="00D24DE6" w:rsidRDefault="00622601" w:rsidP="00D24DE6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  <w:r w:rsidR="000F0566">
        <w:rPr>
          <w:i/>
          <w:noProof/>
        </w:rPr>
        <w:drawing>
          <wp:inline distT="0" distB="0" distL="0" distR="0" wp14:anchorId="05981D52" wp14:editId="1466F884">
            <wp:extent cx="4736465" cy="4736465"/>
            <wp:effectExtent l="0" t="0" r="0" b="0"/>
            <wp:docPr id="8" name="Picture 8" descr="FigS5.predicted.doublet.rates/FigS5.predicted.doublet.r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S5.predicted.doublet.rates/FigS5.predicted.doublet.rat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6D95" w14:textId="77777777" w:rsidR="00AE5D2B" w:rsidRDefault="00AE5D2B" w:rsidP="00AE5D2B">
      <w:pPr>
        <w:pStyle w:val="Caption"/>
        <w:rPr>
          <w:i w:val="0"/>
        </w:rPr>
      </w:pPr>
      <w:bookmarkStart w:id="27" w:name="_Toc490255189"/>
      <w:bookmarkStart w:id="28" w:name="_Toc490555390"/>
      <w:bookmarkStart w:id="29" w:name="_Toc497487275"/>
      <w:r>
        <w:t xml:space="preserve">Supplementary Figure </w:t>
      </w:r>
      <w:fldSimple w:instr=" SEQ Supplementary_Figure \* ARABIC ">
        <w:r w:rsidR="007E1344">
          <w:rPr>
            <w:noProof/>
          </w:rPr>
          <w:t>12</w:t>
        </w:r>
      </w:fldSimple>
      <w:r>
        <w:t xml:space="preserve"> – Estimated versus observed doublet rates for unstimulated cells</w:t>
      </w:r>
      <w:r>
        <w:rPr>
          <w:i w:val="0"/>
        </w:rPr>
        <w:t>. Expected doublet rates for each pair of individuals (</w:t>
      </w:r>
      <w:proofErr w:type="spellStart"/>
      <w:proofErr w:type="gramStart"/>
      <w:r>
        <w:rPr>
          <w:i w:val="0"/>
        </w:rPr>
        <w:t>i,j</w:t>
      </w:r>
      <w:proofErr w:type="spellEnd"/>
      <w:proofErr w:type="gramEnd"/>
      <w:r>
        <w:rPr>
          <w:i w:val="0"/>
        </w:rPr>
        <w:t xml:space="preserve">) are calculated as pi * </w:t>
      </w:r>
      <w:proofErr w:type="spellStart"/>
      <w:r>
        <w:rPr>
          <w:i w:val="0"/>
        </w:rPr>
        <w:t>pj</w:t>
      </w:r>
      <w:proofErr w:type="spellEnd"/>
      <w:r>
        <w:rPr>
          <w:i w:val="0"/>
        </w:rPr>
        <w:t xml:space="preserve">, where pi and </w:t>
      </w:r>
      <w:proofErr w:type="spellStart"/>
      <w:r>
        <w:rPr>
          <w:i w:val="0"/>
        </w:rPr>
        <w:t>pj</w:t>
      </w:r>
      <w:proofErr w:type="spellEnd"/>
      <w:r>
        <w:rPr>
          <w:i w:val="0"/>
        </w:rPr>
        <w:t xml:space="preserve"> are the proportion of singlets individuals </w:t>
      </w:r>
      <w:proofErr w:type="spellStart"/>
      <w:r>
        <w:rPr>
          <w:i w:val="0"/>
        </w:rPr>
        <w:t>i</w:t>
      </w:r>
      <w:proofErr w:type="spellEnd"/>
      <w:r>
        <w:rPr>
          <w:i w:val="0"/>
        </w:rPr>
        <w:t xml:space="preserve"> and j.</w:t>
      </w:r>
      <w:bookmarkEnd w:id="27"/>
      <w:bookmarkEnd w:id="28"/>
      <w:bookmarkEnd w:id="29"/>
    </w:p>
    <w:p w14:paraId="290016BB" w14:textId="77777777" w:rsidR="009B0C07" w:rsidRPr="009B0C07" w:rsidRDefault="009B0C07" w:rsidP="009B0C07"/>
    <w:p w14:paraId="627608CE" w14:textId="77777777" w:rsidR="007B3FC4" w:rsidRDefault="007B3FC4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76590A42" w14:textId="77777777" w:rsidR="007B3FC4" w:rsidRDefault="007B3FC4" w:rsidP="007B3FC4">
      <w:pPr>
        <w:pStyle w:val="Caption"/>
        <w:rPr>
          <w:i w:val="0"/>
        </w:rPr>
      </w:pPr>
      <w:r>
        <w:rPr>
          <w:i w:val="0"/>
          <w:noProof/>
        </w:rPr>
        <w:drawing>
          <wp:inline distT="0" distB="0" distL="0" distR="0" wp14:anchorId="74933AF5" wp14:editId="4F49C3E3">
            <wp:extent cx="4803140" cy="4803140"/>
            <wp:effectExtent l="0" t="0" r="0" b="0"/>
            <wp:docPr id="2" name="Picture 2" descr="figS5.batch2.doubl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S5.batch2.doublet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8646" w14:textId="77777777" w:rsidR="00AE5D2B" w:rsidRPr="002444E4" w:rsidRDefault="00AE5D2B" w:rsidP="00AE5D2B">
      <w:pPr>
        <w:pStyle w:val="Caption"/>
      </w:pPr>
      <w:bookmarkStart w:id="30" w:name="_Toc490255190"/>
      <w:bookmarkStart w:id="31" w:name="_Toc490555391"/>
      <w:bookmarkStart w:id="32" w:name="_Toc497487276"/>
      <w:r>
        <w:t xml:space="preserve">Supplementary Figure </w:t>
      </w:r>
      <w:fldSimple w:instr=" SEQ Supplementary_Figure \* ARABIC ">
        <w:r w:rsidR="007E1344">
          <w:rPr>
            <w:noProof/>
          </w:rPr>
          <w:t>13</w:t>
        </w:r>
      </w:fldSimple>
      <w:r>
        <w:t xml:space="preserve"> – Detected doublets from the IFN-beta stimulation experiment. Red (confidently called doublets). Pink (ambiguous). Gray (singlets).</w:t>
      </w:r>
      <w:bookmarkEnd w:id="30"/>
      <w:bookmarkEnd w:id="31"/>
      <w:bookmarkEnd w:id="32"/>
    </w:p>
    <w:p w14:paraId="46AFC872" w14:textId="77777777" w:rsidR="00AE0C24" w:rsidRDefault="00AE0C24" w:rsidP="000F0566">
      <w:pPr>
        <w:pStyle w:val="Caption"/>
        <w:rPr>
          <w:i w:val="0"/>
        </w:rPr>
      </w:pPr>
    </w:p>
    <w:p w14:paraId="385C8113" w14:textId="77777777" w:rsidR="00AE0C24" w:rsidRDefault="00AE0C24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4FE703A0" w14:textId="77777777" w:rsidR="00F622EF" w:rsidRDefault="00F622EF" w:rsidP="00F622EF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76FE0612" wp14:editId="0A3BD129">
            <wp:extent cx="5943600" cy="5943600"/>
            <wp:effectExtent l="0" t="0" r="0" b="0"/>
            <wp:docPr id="5" name="Picture 5" descr="FigS6/celltype.prop.ctrl.sti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S6/celltype.prop.ctrl.stim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53EC" w14:textId="77777777" w:rsidR="00AE5D2B" w:rsidRDefault="00AE5D2B" w:rsidP="00AE5D2B">
      <w:pPr>
        <w:pStyle w:val="Caption"/>
        <w:rPr>
          <w:i w:val="0"/>
        </w:rPr>
      </w:pPr>
      <w:bookmarkStart w:id="33" w:name="_Toc490255191"/>
      <w:bookmarkStart w:id="34" w:name="_Toc490555392"/>
      <w:bookmarkStart w:id="35" w:name="_Toc497487277"/>
      <w:r>
        <w:t xml:space="preserve">Supplementary Figure </w:t>
      </w:r>
      <w:fldSimple w:instr=" SEQ Supplementary_Figure \* ARABIC ">
        <w:r w:rsidR="007E1344">
          <w:rPr>
            <w:noProof/>
          </w:rPr>
          <w:t>14</w:t>
        </w:r>
      </w:fldSimple>
      <w:r>
        <w:t xml:space="preserve"> - Estimates of cell type proportion from unstimulated and IFN-beta stimulated PBMCs. </w:t>
      </w:r>
      <w:r>
        <w:rPr>
          <w:i w:val="0"/>
        </w:rPr>
        <w:t>Estimates of cell type proportion for unstimulated cells (x-axis) versus stimulated cells (y-axis) for 8 individuals.</w:t>
      </w:r>
      <w:bookmarkEnd w:id="33"/>
      <w:bookmarkEnd w:id="34"/>
      <w:bookmarkEnd w:id="35"/>
    </w:p>
    <w:p w14:paraId="72120169" w14:textId="77777777" w:rsidR="006D69C6" w:rsidRDefault="006D69C6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22EF9E42" w14:textId="77777777" w:rsidR="006D69C6" w:rsidRDefault="006D69C6" w:rsidP="006D69C6">
      <w:pPr>
        <w:keepNext/>
      </w:pPr>
      <w:r w:rsidRPr="005B3202">
        <w:rPr>
          <w:rFonts w:ascii="Calibri" w:eastAsia="Times New Roman" w:hAnsi="Calibri" w:cs="Arial"/>
          <w:b/>
          <w:bCs/>
          <w:noProof/>
          <w:color w:val="000000"/>
          <w:kern w:val="36"/>
        </w:rPr>
        <w:drawing>
          <wp:inline distT="0" distB="0" distL="0" distR="0" wp14:anchorId="06A28481" wp14:editId="23C1F466">
            <wp:extent cx="5537835" cy="5537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5713" w14:textId="5969DB14" w:rsidR="00AE5D2B" w:rsidRPr="005B3202" w:rsidRDefault="00AE5D2B" w:rsidP="00AE5D2B">
      <w:pPr>
        <w:pStyle w:val="Caption"/>
        <w:rPr>
          <w:i w:val="0"/>
        </w:rPr>
      </w:pPr>
      <w:bookmarkStart w:id="36" w:name="_Toc490255196"/>
      <w:bookmarkStart w:id="37" w:name="_Toc490555398"/>
      <w:bookmarkStart w:id="38" w:name="_Toc497487278"/>
      <w:r>
        <w:t xml:space="preserve">Supplementary Figure </w:t>
      </w:r>
      <w:fldSimple w:instr=" SEQ Supplementary_Figure \* ARABIC ">
        <w:r w:rsidR="007E1344">
          <w:rPr>
            <w:noProof/>
          </w:rPr>
          <w:t>15</w:t>
        </w:r>
      </w:fldSimple>
      <w:r>
        <w:t xml:space="preserve"> – </w:t>
      </w:r>
      <w:r>
        <w:rPr>
          <w:i w:val="0"/>
        </w:rPr>
        <w:t xml:space="preserve">Scatter plot of estimates of cell type proportion from </w:t>
      </w:r>
      <w:proofErr w:type="spellStart"/>
      <w:r>
        <w:rPr>
          <w:i w:val="0"/>
        </w:rPr>
        <w:t>dscRNA-seq</w:t>
      </w:r>
      <w:proofErr w:type="spellEnd"/>
      <w:r>
        <w:rPr>
          <w:i w:val="0"/>
        </w:rPr>
        <w:t xml:space="preserve"> (x-axis) and FACS sorting (y-axis) for</w:t>
      </w:r>
      <w:r w:rsidR="00624EB5">
        <w:rPr>
          <w:i w:val="0"/>
        </w:rPr>
        <w:t xml:space="preserve"> 6 lupus patients after </w:t>
      </w:r>
      <w:r>
        <w:rPr>
          <w:i w:val="0"/>
        </w:rPr>
        <w:t>IFN-beta stimulation.</w:t>
      </w:r>
      <w:bookmarkEnd w:id="36"/>
      <w:bookmarkEnd w:id="37"/>
      <w:bookmarkEnd w:id="38"/>
    </w:p>
    <w:p w14:paraId="73C6EFB2" w14:textId="77777777" w:rsidR="006F1E44" w:rsidRDefault="006F1E44" w:rsidP="006F1E44">
      <w:pPr>
        <w:pStyle w:val="Caption"/>
        <w:rPr>
          <w:i w:val="0"/>
        </w:rPr>
      </w:pPr>
    </w:p>
    <w:p w14:paraId="6DF17977" w14:textId="77777777" w:rsidR="00105FB6" w:rsidRDefault="00105FB6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2D5D1777" w14:textId="454B143F" w:rsidR="00AC62C8" w:rsidRPr="00105FB6" w:rsidRDefault="00105FB6" w:rsidP="00105FB6">
      <w:pPr>
        <w:pStyle w:val="Caption"/>
        <w:rPr>
          <w:i w:val="0"/>
        </w:rPr>
      </w:pPr>
      <w:r>
        <w:rPr>
          <w:noProof/>
        </w:rPr>
        <w:drawing>
          <wp:inline distT="0" distB="0" distL="0" distR="0" wp14:anchorId="5739404F" wp14:editId="57F6AE13">
            <wp:extent cx="5943600" cy="26377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gen_ye_correlations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2C7B" w14:textId="77777777" w:rsidR="00AE5D2B" w:rsidRDefault="00AC62C8" w:rsidP="00AE5D2B">
      <w:pPr>
        <w:pStyle w:val="Caption"/>
        <w:rPr>
          <w:i w:val="0"/>
        </w:rPr>
      </w:pPr>
      <w:bookmarkStart w:id="39" w:name="_Toc490255193"/>
      <w:bookmarkStart w:id="40" w:name="_Toc490555393"/>
      <w:r>
        <w:br/>
      </w:r>
      <w:bookmarkStart w:id="41" w:name="_Toc497487279"/>
      <w:bookmarkEnd w:id="39"/>
      <w:bookmarkEnd w:id="40"/>
      <w:r w:rsidR="00AE5D2B">
        <w:t xml:space="preserve">Supplementary Figure </w:t>
      </w:r>
      <w:fldSimple w:instr=" SEQ Supplementary_Figure \* ARABIC ">
        <w:r w:rsidR="007E1344">
          <w:rPr>
            <w:noProof/>
          </w:rPr>
          <w:t>16</w:t>
        </w:r>
      </w:fldSimple>
      <w:r w:rsidR="00AE5D2B">
        <w:t xml:space="preserve"> –</w:t>
      </w:r>
      <w:r w:rsidR="00AE5D2B">
        <w:rPr>
          <w:i w:val="0"/>
        </w:rPr>
        <w:t xml:space="preserve"> Gene expression correlation between </w:t>
      </w:r>
      <w:proofErr w:type="spellStart"/>
      <w:r w:rsidR="00AE5D2B">
        <w:rPr>
          <w:i w:val="0"/>
        </w:rPr>
        <w:t>dscRNA-seq</w:t>
      </w:r>
      <w:proofErr w:type="spellEnd"/>
      <w:r w:rsidR="00AE5D2B">
        <w:rPr>
          <w:i w:val="0"/>
        </w:rPr>
        <w:t xml:space="preserve"> data and </w:t>
      </w:r>
      <w:proofErr w:type="spellStart"/>
      <w:r w:rsidR="00AE5D2B">
        <w:rPr>
          <w:i w:val="0"/>
        </w:rPr>
        <w:t>ImmGen</w:t>
      </w:r>
      <w:proofErr w:type="spellEnd"/>
      <w:r w:rsidR="00AE5D2B">
        <w:rPr>
          <w:i w:val="0"/>
        </w:rPr>
        <w:t xml:space="preserve"> mouse microarray data.</w:t>
      </w:r>
      <w:bookmarkEnd w:id="41"/>
      <w:r w:rsidR="00AE5D2B">
        <w:rPr>
          <w:i w:val="0"/>
        </w:rPr>
        <w:t xml:space="preserve"> </w:t>
      </w:r>
    </w:p>
    <w:p w14:paraId="44A41BC3" w14:textId="77777777" w:rsidR="00AE5D2B" w:rsidRDefault="00AE5D2B" w:rsidP="00AE5D2B">
      <w:pPr>
        <w:pStyle w:val="Caption"/>
        <w:rPr>
          <w:i w:val="0"/>
        </w:rPr>
      </w:pPr>
      <w:r>
        <w:rPr>
          <w:i w:val="0"/>
        </w:rPr>
        <w:t>Average abundance is calculated for each cell-type by stimulation. ~2000 homologous genes are used.</w:t>
      </w:r>
    </w:p>
    <w:p w14:paraId="0D128136" w14:textId="70C66302" w:rsidR="00F50E39" w:rsidRDefault="00F50E39" w:rsidP="00AE5D2B">
      <w:pPr>
        <w:pStyle w:val="Caption"/>
        <w:rPr>
          <w:i w:val="0"/>
        </w:rPr>
      </w:pPr>
    </w:p>
    <w:p w14:paraId="0854663C" w14:textId="77777777" w:rsidR="00F50E39" w:rsidRDefault="00F50E39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1D2AB4BA" w14:textId="5C2CEF71" w:rsidR="00A90E6A" w:rsidRPr="00A90E6A" w:rsidRDefault="00A90E6A" w:rsidP="00A90E6A">
      <w:r>
        <w:rPr>
          <w:noProof/>
        </w:rPr>
        <w:drawing>
          <wp:inline distT="0" distB="0" distL="0" distR="0" wp14:anchorId="00793159" wp14:editId="3C45C896">
            <wp:extent cx="5486400" cy="2743200"/>
            <wp:effectExtent l="0" t="0" r="0" b="0"/>
            <wp:docPr id="18" name="Picture 18" descr="/var/folders/fw/yj4262ss7s72px7m7thg2_qr0000gp/T/com.apple.Preview/com.apple.Preview.PasteboardItems/heatmap (dragged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fw/yj4262ss7s72px7m7thg2_qr0000gp/T/com.apple.Preview/com.apple.Preview.PasteboardItems/heatmap (dragged) 2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6671" w14:textId="77777777" w:rsidR="00C814CF" w:rsidRDefault="00C814CF" w:rsidP="00C814CF">
      <w:pPr>
        <w:pStyle w:val="Caption"/>
        <w:rPr>
          <w:i w:val="0"/>
        </w:rPr>
      </w:pPr>
      <w:bookmarkStart w:id="42" w:name="_Toc490255192"/>
      <w:bookmarkStart w:id="43" w:name="_Toc490555394"/>
      <w:bookmarkStart w:id="44" w:name="_Toc497487280"/>
      <w:r>
        <w:t xml:space="preserve">Supplementary Figure </w:t>
      </w:r>
      <w:r w:rsidR="00B277FA">
        <w:fldChar w:fldCharType="begin"/>
      </w:r>
      <w:r w:rsidR="00B277FA">
        <w:instrText xml:space="preserve"> SEQ Supplementary_Figure \* ARABIC </w:instrText>
      </w:r>
      <w:r w:rsidR="00B277FA">
        <w:fldChar w:fldCharType="separate"/>
      </w:r>
      <w:r w:rsidR="007E1344">
        <w:rPr>
          <w:noProof/>
        </w:rPr>
        <w:t>17</w:t>
      </w:r>
      <w:r w:rsidR="00B277FA">
        <w:rPr>
          <w:noProof/>
        </w:rPr>
        <w:fldChar w:fldCharType="end"/>
      </w:r>
      <w:r>
        <w:t xml:space="preserve"> – </w:t>
      </w:r>
      <w:r>
        <w:rPr>
          <w:i w:val="0"/>
        </w:rPr>
        <w:t xml:space="preserve">Correlation of </w:t>
      </w:r>
      <w:proofErr w:type="spellStart"/>
      <w:r>
        <w:rPr>
          <w:i w:val="0"/>
        </w:rPr>
        <w:t>foldChange</w:t>
      </w:r>
      <w:proofErr w:type="spellEnd"/>
      <w:r>
        <w:rPr>
          <w:i w:val="0"/>
        </w:rPr>
        <w:t xml:space="preserve"> before and after IFN-beta stimulation of ~1000 expressed genes between published CD4 microarray (Ye et al., Science) and monocyte derived dendritic cells RNA-</w:t>
      </w:r>
      <w:proofErr w:type="spellStart"/>
      <w:r>
        <w:rPr>
          <w:i w:val="0"/>
        </w:rPr>
        <w:t>seq</w:t>
      </w:r>
      <w:proofErr w:type="spellEnd"/>
      <w:r>
        <w:rPr>
          <w:i w:val="0"/>
        </w:rPr>
        <w:t xml:space="preserve"> (Ye et al., unpublished) (y-axis) with </w:t>
      </w:r>
      <w:proofErr w:type="spellStart"/>
      <w:r>
        <w:rPr>
          <w:i w:val="0"/>
        </w:rPr>
        <w:t>dscRNA-seq</w:t>
      </w:r>
      <w:proofErr w:type="spellEnd"/>
      <w:r>
        <w:rPr>
          <w:i w:val="0"/>
        </w:rPr>
        <w:t xml:space="preserve"> cell type specific response (x-axis).</w:t>
      </w:r>
      <w:bookmarkEnd w:id="42"/>
      <w:bookmarkEnd w:id="43"/>
      <w:bookmarkEnd w:id="44"/>
    </w:p>
    <w:p w14:paraId="7EE990F7" w14:textId="77777777" w:rsidR="00C814CF" w:rsidRDefault="00C814CF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190548E1" w14:textId="77777777" w:rsidR="00C814CF" w:rsidRDefault="00C814CF" w:rsidP="00C814CF">
      <w:pPr>
        <w:pStyle w:val="Caption"/>
        <w:rPr>
          <w:i w:val="0"/>
        </w:rPr>
      </w:pPr>
      <w:r>
        <w:rPr>
          <w:noProof/>
        </w:rPr>
        <w:drawing>
          <wp:inline distT="0" distB="0" distL="0" distR="0" wp14:anchorId="3BEA4E84" wp14:editId="26D30402">
            <wp:extent cx="5943600" cy="2882900"/>
            <wp:effectExtent l="0" t="0" r="0" b="12700"/>
            <wp:docPr id="12" name="Picture 12" descr="../supplemental%20information/qpcr.vs.scRNAs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upplemental%20information/qpcr.vs.scRNAseq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8D84" w14:textId="77777777" w:rsidR="00C814CF" w:rsidRDefault="00C814CF" w:rsidP="00C814CF">
      <w:pPr>
        <w:pStyle w:val="Caption"/>
        <w:rPr>
          <w:i w:val="0"/>
        </w:rPr>
      </w:pPr>
    </w:p>
    <w:p w14:paraId="2147007C" w14:textId="77777777" w:rsidR="00C814CF" w:rsidRDefault="00C814CF" w:rsidP="00C814CF">
      <w:pPr>
        <w:pStyle w:val="Caption"/>
        <w:rPr>
          <w:i w:val="0"/>
        </w:rPr>
      </w:pPr>
      <w:bookmarkStart w:id="45" w:name="_Toc497487281"/>
      <w:r>
        <w:t xml:space="preserve">Supplementary Figure </w:t>
      </w:r>
      <w:r w:rsidR="00B277FA">
        <w:fldChar w:fldCharType="begin"/>
      </w:r>
      <w:r w:rsidR="00B277FA">
        <w:instrText xml:space="preserve"> SEQ Supplementary_Figure \* ARABIC </w:instrText>
      </w:r>
      <w:r w:rsidR="00B277FA">
        <w:fldChar w:fldCharType="separate"/>
      </w:r>
      <w:r w:rsidR="007E1344">
        <w:rPr>
          <w:noProof/>
        </w:rPr>
        <w:t>18</w:t>
      </w:r>
      <w:r w:rsidR="00B277FA">
        <w:rPr>
          <w:noProof/>
        </w:rPr>
        <w:fldChar w:fldCharType="end"/>
      </w:r>
      <w:r>
        <w:t xml:space="preserve"> –</w:t>
      </w:r>
      <w:r>
        <w:rPr>
          <w:i w:val="0"/>
        </w:rPr>
        <w:t xml:space="preserve"> IFN-beta fold change correlation between </w:t>
      </w:r>
      <w:proofErr w:type="spellStart"/>
      <w:r>
        <w:rPr>
          <w:i w:val="0"/>
        </w:rPr>
        <w:t>dscRNA-seq</w:t>
      </w:r>
      <w:proofErr w:type="spellEnd"/>
      <w:r>
        <w:rPr>
          <w:i w:val="0"/>
        </w:rPr>
        <w:t xml:space="preserve"> data (y axis) and qPCR data from CD4+ T cells (x axis).</w:t>
      </w:r>
      <w:bookmarkEnd w:id="45"/>
    </w:p>
    <w:p w14:paraId="5995E323" w14:textId="77777777" w:rsidR="00AE5D2B" w:rsidRDefault="00AE5D2B" w:rsidP="00AE5D2B">
      <w:pPr>
        <w:pStyle w:val="Caption"/>
        <w:rPr>
          <w:i w:val="0"/>
        </w:rPr>
      </w:pPr>
    </w:p>
    <w:p w14:paraId="79990556" w14:textId="77777777" w:rsidR="0024680C" w:rsidRDefault="0024680C" w:rsidP="0024680C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03AC78F7" w14:textId="77777777" w:rsidR="00B849E6" w:rsidRPr="00D66254" w:rsidRDefault="00B849E6" w:rsidP="00B849E6">
      <w:pPr>
        <w:rPr>
          <w:iCs/>
          <w:color w:val="44546A" w:themeColor="text2"/>
          <w:sz w:val="18"/>
          <w:szCs w:val="18"/>
        </w:rPr>
      </w:pPr>
      <w:r>
        <w:rPr>
          <w:i/>
          <w:noProof/>
        </w:rPr>
        <w:drawing>
          <wp:inline distT="0" distB="0" distL="0" distR="0" wp14:anchorId="52586DAE" wp14:editId="25748980">
            <wp:extent cx="3968750" cy="4023360"/>
            <wp:effectExtent l="0" t="0" r="0" b="0"/>
            <wp:docPr id="6" name="Picture 6" descr="Fig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S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749C" w14:textId="77777777" w:rsidR="00AE5D2B" w:rsidRDefault="00AE5D2B" w:rsidP="00AE5D2B">
      <w:pPr>
        <w:pStyle w:val="Caption"/>
        <w:rPr>
          <w:i w:val="0"/>
        </w:rPr>
      </w:pPr>
      <w:bookmarkStart w:id="46" w:name="_Toc490255194"/>
      <w:bookmarkStart w:id="47" w:name="_Toc490555395"/>
      <w:bookmarkStart w:id="48" w:name="_Toc497487282"/>
      <w:r>
        <w:t xml:space="preserve">Supplementary Figure </w:t>
      </w:r>
      <w:fldSimple w:instr=" SEQ Supplementary_Figure \* ARABIC ">
        <w:r w:rsidR="007E1344">
          <w:rPr>
            <w:noProof/>
          </w:rPr>
          <w:t>19</w:t>
        </w:r>
      </w:fldSimple>
      <w:r>
        <w:t xml:space="preserve"> – </w:t>
      </w:r>
      <w:r>
        <w:rPr>
          <w:i w:val="0"/>
        </w:rPr>
        <w:t>Expected versus observed variability in cell populations. Variance of average expression over single cells across 8 individuals (y) versus variance of average expression over single cells across 8 synthetic replicates matching cell number for each individual (x).</w:t>
      </w:r>
      <w:bookmarkEnd w:id="46"/>
      <w:bookmarkEnd w:id="47"/>
      <w:bookmarkEnd w:id="48"/>
    </w:p>
    <w:p w14:paraId="5554B60E" w14:textId="420DF9F7" w:rsidR="0084381C" w:rsidRDefault="00AA1093">
      <w:pPr>
        <w:rPr>
          <w:i/>
        </w:rPr>
      </w:pPr>
      <w:r>
        <w:rPr>
          <w:i/>
        </w:rPr>
        <w:br w:type="page"/>
      </w:r>
    </w:p>
    <w:p w14:paraId="1AA699F5" w14:textId="2589B096" w:rsidR="00D66254" w:rsidRDefault="00D66254">
      <w:pPr>
        <w:rPr>
          <w:iCs/>
          <w:color w:val="44546A" w:themeColor="text2"/>
          <w:sz w:val="18"/>
          <w:szCs w:val="18"/>
        </w:rPr>
      </w:pPr>
    </w:p>
    <w:p w14:paraId="70C8AC68" w14:textId="77777777" w:rsidR="00B829AF" w:rsidRDefault="00B829AF">
      <w:pPr>
        <w:rPr>
          <w:iCs/>
          <w:color w:val="44546A" w:themeColor="text2"/>
          <w:sz w:val="18"/>
          <w:szCs w:val="18"/>
        </w:rPr>
      </w:pPr>
    </w:p>
    <w:p w14:paraId="772BC585" w14:textId="77777777" w:rsidR="005B4D37" w:rsidRDefault="00907438" w:rsidP="00907438">
      <w:pPr>
        <w:pStyle w:val="Caption"/>
      </w:pPr>
      <w:r>
        <w:rPr>
          <w:noProof/>
        </w:rPr>
        <w:drawing>
          <wp:inline distT="0" distB="0" distL="0" distR="0" wp14:anchorId="2ECC3397" wp14:editId="674257B6">
            <wp:extent cx="4784737" cy="4803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38" cy="48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EE29" w14:textId="490989BB" w:rsidR="008B2639" w:rsidRDefault="00AE5D2B" w:rsidP="00AE5D2B">
      <w:pPr>
        <w:pStyle w:val="Caption"/>
        <w:rPr>
          <w:i w:val="0"/>
        </w:rPr>
      </w:pPr>
      <w:bookmarkStart w:id="49" w:name="_Toc490255195"/>
      <w:bookmarkStart w:id="50" w:name="_Toc490555397"/>
      <w:bookmarkStart w:id="51" w:name="_Toc497487283"/>
      <w:r>
        <w:t xml:space="preserve">Supplementary Figure </w:t>
      </w:r>
      <w:fldSimple w:instr=" SEQ Supplementary_Figure \* ARABIC ">
        <w:r w:rsidR="007E1344">
          <w:rPr>
            <w:noProof/>
          </w:rPr>
          <w:t>20</w:t>
        </w:r>
      </w:fldSimple>
      <w:r>
        <w:t xml:space="preserve"> – </w:t>
      </w:r>
      <w:r>
        <w:rPr>
          <w:i w:val="0"/>
        </w:rPr>
        <w:t>Observed variability in gene expression is correlated between batches.</w:t>
      </w:r>
      <w:bookmarkEnd w:id="49"/>
      <w:bookmarkEnd w:id="50"/>
      <w:bookmarkEnd w:id="51"/>
    </w:p>
    <w:p w14:paraId="0DF5B2CA" w14:textId="77777777" w:rsidR="008B2639" w:rsidRDefault="008B2639">
      <w:pPr>
        <w:rPr>
          <w:iCs/>
          <w:color w:val="44546A" w:themeColor="text2"/>
          <w:sz w:val="18"/>
          <w:szCs w:val="18"/>
        </w:rPr>
      </w:pPr>
      <w:r>
        <w:rPr>
          <w:i/>
        </w:rPr>
        <w:br w:type="page"/>
      </w:r>
    </w:p>
    <w:p w14:paraId="528EBD85" w14:textId="77C3540A" w:rsidR="00AE5D2B" w:rsidRDefault="00C21B87" w:rsidP="00AE5D2B">
      <w:pPr>
        <w:pStyle w:val="Caption"/>
        <w:rPr>
          <w:i w:val="0"/>
        </w:rPr>
      </w:pPr>
      <w:bookmarkStart w:id="52" w:name="_GoBack"/>
      <w:r>
        <w:rPr>
          <w:i w:val="0"/>
          <w:noProof/>
        </w:rPr>
        <w:drawing>
          <wp:inline distT="0" distB="0" distL="0" distR="0" wp14:anchorId="1B7C0796" wp14:editId="293C9F9A">
            <wp:extent cx="5943600" cy="3185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FACS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8" b="46702"/>
                    <a:stretch/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F787C" w14:textId="1F9EBAC0" w:rsidR="00622601" w:rsidRPr="00847358" w:rsidRDefault="00265177" w:rsidP="00847358">
      <w:pPr>
        <w:pStyle w:val="Caption"/>
        <w:rPr>
          <w:i w:val="0"/>
        </w:rPr>
      </w:pPr>
      <w:bookmarkStart w:id="53" w:name="_Toc497487284"/>
      <w:bookmarkEnd w:id="52"/>
      <w:r>
        <w:t xml:space="preserve">Supplementary Figure </w:t>
      </w:r>
      <w:r w:rsidR="00B277FA">
        <w:fldChar w:fldCharType="begin"/>
      </w:r>
      <w:r w:rsidR="00B277FA">
        <w:instrText xml:space="preserve"> SEQ Supplementary_Figure \* ARABIC </w:instrText>
      </w:r>
      <w:r w:rsidR="00B277FA">
        <w:fldChar w:fldCharType="separate"/>
      </w:r>
      <w:r>
        <w:rPr>
          <w:noProof/>
        </w:rPr>
        <w:t>21</w:t>
      </w:r>
      <w:r w:rsidR="00B277FA">
        <w:rPr>
          <w:noProof/>
        </w:rPr>
        <w:fldChar w:fldCharType="end"/>
      </w:r>
      <w:r>
        <w:t xml:space="preserve"> – </w:t>
      </w:r>
      <w:r>
        <w:rPr>
          <w:i w:val="0"/>
        </w:rPr>
        <w:t>Example of flow cytometry gating strategy for quantifying immune cell populations.</w:t>
      </w:r>
      <w:bookmarkEnd w:id="53"/>
      <w:r>
        <w:rPr>
          <w:i w:val="0"/>
        </w:rPr>
        <w:t xml:space="preserve"> </w:t>
      </w:r>
    </w:p>
    <w:p w14:paraId="063FC7A8" w14:textId="3B26C03B" w:rsidR="00521C78" w:rsidRPr="003A4E1B" w:rsidRDefault="003A4E1B" w:rsidP="003A4E1B">
      <w:pPr>
        <w:pStyle w:val="Caption"/>
        <w:rPr>
          <w:i w:val="0"/>
        </w:rPr>
      </w:pPr>
      <w:r>
        <w:rPr>
          <w:i w:val="0"/>
        </w:rPr>
        <w:t xml:space="preserve"> </w:t>
      </w:r>
    </w:p>
    <w:sectPr w:rsidR="00521C78" w:rsidRPr="003A4E1B" w:rsidSect="002B279D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6F9"/>
    <w:rsid w:val="00000EE9"/>
    <w:rsid w:val="00001602"/>
    <w:rsid w:val="000206B5"/>
    <w:rsid w:val="00043B9A"/>
    <w:rsid w:val="00053C43"/>
    <w:rsid w:val="00055DD0"/>
    <w:rsid w:val="00076FBA"/>
    <w:rsid w:val="00081775"/>
    <w:rsid w:val="000A12EF"/>
    <w:rsid w:val="000B7C9D"/>
    <w:rsid w:val="000D2039"/>
    <w:rsid w:val="000D4606"/>
    <w:rsid w:val="000F0566"/>
    <w:rsid w:val="000F7630"/>
    <w:rsid w:val="0010172A"/>
    <w:rsid w:val="00105FB6"/>
    <w:rsid w:val="00110D4E"/>
    <w:rsid w:val="001159D0"/>
    <w:rsid w:val="00122D2D"/>
    <w:rsid w:val="001361FE"/>
    <w:rsid w:val="00144B82"/>
    <w:rsid w:val="0016437B"/>
    <w:rsid w:val="001700DB"/>
    <w:rsid w:val="0017458B"/>
    <w:rsid w:val="00177E6B"/>
    <w:rsid w:val="00196325"/>
    <w:rsid w:val="001B232B"/>
    <w:rsid w:val="001B4297"/>
    <w:rsid w:val="001B7403"/>
    <w:rsid w:val="001D6A07"/>
    <w:rsid w:val="001F15D9"/>
    <w:rsid w:val="001F2594"/>
    <w:rsid w:val="00201B8E"/>
    <w:rsid w:val="0021175B"/>
    <w:rsid w:val="00222E77"/>
    <w:rsid w:val="00227502"/>
    <w:rsid w:val="002444E4"/>
    <w:rsid w:val="0024680C"/>
    <w:rsid w:val="00253A9C"/>
    <w:rsid w:val="002603C6"/>
    <w:rsid w:val="00265177"/>
    <w:rsid w:val="0027681A"/>
    <w:rsid w:val="00290EC1"/>
    <w:rsid w:val="002A0B4E"/>
    <w:rsid w:val="002A209D"/>
    <w:rsid w:val="002B279D"/>
    <w:rsid w:val="002C36F0"/>
    <w:rsid w:val="002D7CA1"/>
    <w:rsid w:val="002F0E72"/>
    <w:rsid w:val="00321614"/>
    <w:rsid w:val="003623F0"/>
    <w:rsid w:val="0036338B"/>
    <w:rsid w:val="00364071"/>
    <w:rsid w:val="00366CCA"/>
    <w:rsid w:val="003A4E1B"/>
    <w:rsid w:val="003C4997"/>
    <w:rsid w:val="003C7255"/>
    <w:rsid w:val="003C7948"/>
    <w:rsid w:val="003D65FC"/>
    <w:rsid w:val="003E35F5"/>
    <w:rsid w:val="003F434A"/>
    <w:rsid w:val="003F7C7A"/>
    <w:rsid w:val="00421712"/>
    <w:rsid w:val="00433549"/>
    <w:rsid w:val="00441EC9"/>
    <w:rsid w:val="004632D2"/>
    <w:rsid w:val="004A3675"/>
    <w:rsid w:val="004A3B57"/>
    <w:rsid w:val="004C3A2C"/>
    <w:rsid w:val="00511F23"/>
    <w:rsid w:val="0053314A"/>
    <w:rsid w:val="005636C1"/>
    <w:rsid w:val="005750C7"/>
    <w:rsid w:val="00596603"/>
    <w:rsid w:val="00596F67"/>
    <w:rsid w:val="005A544A"/>
    <w:rsid w:val="005B3202"/>
    <w:rsid w:val="005B4D37"/>
    <w:rsid w:val="005D245B"/>
    <w:rsid w:val="005D260C"/>
    <w:rsid w:val="00600B57"/>
    <w:rsid w:val="00610728"/>
    <w:rsid w:val="00620E41"/>
    <w:rsid w:val="00622601"/>
    <w:rsid w:val="00624EB5"/>
    <w:rsid w:val="0062720E"/>
    <w:rsid w:val="0064580C"/>
    <w:rsid w:val="0067688A"/>
    <w:rsid w:val="0069393C"/>
    <w:rsid w:val="00696CF5"/>
    <w:rsid w:val="006C4460"/>
    <w:rsid w:val="006C46FF"/>
    <w:rsid w:val="006D65AA"/>
    <w:rsid w:val="006D69C6"/>
    <w:rsid w:val="006E3C56"/>
    <w:rsid w:val="006F1E44"/>
    <w:rsid w:val="006F35F7"/>
    <w:rsid w:val="00735D33"/>
    <w:rsid w:val="007537F1"/>
    <w:rsid w:val="00795C58"/>
    <w:rsid w:val="007A4E6E"/>
    <w:rsid w:val="007B3FC4"/>
    <w:rsid w:val="007C385C"/>
    <w:rsid w:val="007C74E6"/>
    <w:rsid w:val="007E1344"/>
    <w:rsid w:val="008236D4"/>
    <w:rsid w:val="00837BC8"/>
    <w:rsid w:val="00841975"/>
    <w:rsid w:val="0084381C"/>
    <w:rsid w:val="00847358"/>
    <w:rsid w:val="00847C8C"/>
    <w:rsid w:val="0085232B"/>
    <w:rsid w:val="00871315"/>
    <w:rsid w:val="00883135"/>
    <w:rsid w:val="008B2639"/>
    <w:rsid w:val="008B493D"/>
    <w:rsid w:val="008B70C6"/>
    <w:rsid w:val="008D32E6"/>
    <w:rsid w:val="008D77C6"/>
    <w:rsid w:val="009008A6"/>
    <w:rsid w:val="00904DA6"/>
    <w:rsid w:val="00907438"/>
    <w:rsid w:val="00914CB7"/>
    <w:rsid w:val="00922587"/>
    <w:rsid w:val="009564F2"/>
    <w:rsid w:val="00956A8B"/>
    <w:rsid w:val="00960D16"/>
    <w:rsid w:val="009840E6"/>
    <w:rsid w:val="00985A30"/>
    <w:rsid w:val="009B0C07"/>
    <w:rsid w:val="009C7957"/>
    <w:rsid w:val="00A12B5E"/>
    <w:rsid w:val="00A51FB0"/>
    <w:rsid w:val="00A60223"/>
    <w:rsid w:val="00A62125"/>
    <w:rsid w:val="00A65E1B"/>
    <w:rsid w:val="00A74538"/>
    <w:rsid w:val="00A8446C"/>
    <w:rsid w:val="00A85342"/>
    <w:rsid w:val="00A86665"/>
    <w:rsid w:val="00A90E6A"/>
    <w:rsid w:val="00A95A49"/>
    <w:rsid w:val="00A970E8"/>
    <w:rsid w:val="00AA1093"/>
    <w:rsid w:val="00AC3B98"/>
    <w:rsid w:val="00AC62C8"/>
    <w:rsid w:val="00AC794F"/>
    <w:rsid w:val="00AD479C"/>
    <w:rsid w:val="00AE0C24"/>
    <w:rsid w:val="00AE1120"/>
    <w:rsid w:val="00AE5D2B"/>
    <w:rsid w:val="00AF1556"/>
    <w:rsid w:val="00B10E3F"/>
    <w:rsid w:val="00B11F02"/>
    <w:rsid w:val="00B224D5"/>
    <w:rsid w:val="00B277FA"/>
    <w:rsid w:val="00B30CD2"/>
    <w:rsid w:val="00B31D78"/>
    <w:rsid w:val="00B31E0A"/>
    <w:rsid w:val="00B43214"/>
    <w:rsid w:val="00B62231"/>
    <w:rsid w:val="00B630D4"/>
    <w:rsid w:val="00B81C26"/>
    <w:rsid w:val="00B829AF"/>
    <w:rsid w:val="00B849E6"/>
    <w:rsid w:val="00BC58D0"/>
    <w:rsid w:val="00BD1136"/>
    <w:rsid w:val="00BD1479"/>
    <w:rsid w:val="00BF6B94"/>
    <w:rsid w:val="00C039B9"/>
    <w:rsid w:val="00C21B87"/>
    <w:rsid w:val="00C23E27"/>
    <w:rsid w:val="00C6530B"/>
    <w:rsid w:val="00C814CF"/>
    <w:rsid w:val="00CE194A"/>
    <w:rsid w:val="00CE3294"/>
    <w:rsid w:val="00CE3A72"/>
    <w:rsid w:val="00CF0491"/>
    <w:rsid w:val="00D24DE6"/>
    <w:rsid w:val="00D358DC"/>
    <w:rsid w:val="00D563B4"/>
    <w:rsid w:val="00D63AC9"/>
    <w:rsid w:val="00D66254"/>
    <w:rsid w:val="00D82DD3"/>
    <w:rsid w:val="00DB55D6"/>
    <w:rsid w:val="00DB5FB0"/>
    <w:rsid w:val="00DC1C58"/>
    <w:rsid w:val="00DC58D1"/>
    <w:rsid w:val="00E14946"/>
    <w:rsid w:val="00E152A9"/>
    <w:rsid w:val="00E1557C"/>
    <w:rsid w:val="00E32774"/>
    <w:rsid w:val="00E40022"/>
    <w:rsid w:val="00E47A3F"/>
    <w:rsid w:val="00E66107"/>
    <w:rsid w:val="00E7596B"/>
    <w:rsid w:val="00EA0684"/>
    <w:rsid w:val="00EA73EA"/>
    <w:rsid w:val="00EC7934"/>
    <w:rsid w:val="00ED3F54"/>
    <w:rsid w:val="00EE45E4"/>
    <w:rsid w:val="00EE47EF"/>
    <w:rsid w:val="00EF02E4"/>
    <w:rsid w:val="00EF2CA2"/>
    <w:rsid w:val="00F00691"/>
    <w:rsid w:val="00F10C3E"/>
    <w:rsid w:val="00F22087"/>
    <w:rsid w:val="00F506F9"/>
    <w:rsid w:val="00F50E39"/>
    <w:rsid w:val="00F622EF"/>
    <w:rsid w:val="00F62943"/>
    <w:rsid w:val="00F62E6C"/>
    <w:rsid w:val="00F7550E"/>
    <w:rsid w:val="00F8491B"/>
    <w:rsid w:val="00F8654B"/>
    <w:rsid w:val="00FD6D2E"/>
    <w:rsid w:val="00FE2F3E"/>
    <w:rsid w:val="00FF4F4E"/>
    <w:rsid w:val="00FF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B29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41975"/>
    <w:pPr>
      <w:spacing w:after="200"/>
    </w:pPr>
    <w:rPr>
      <w:i/>
      <w:iCs/>
      <w:color w:val="44546A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DC1C58"/>
  </w:style>
  <w:style w:type="paragraph" w:styleId="TOC2">
    <w:name w:val="toc 2"/>
    <w:basedOn w:val="Normal"/>
    <w:next w:val="Normal"/>
    <w:autoRedefine/>
    <w:uiPriority w:val="39"/>
    <w:unhideWhenUsed/>
    <w:rsid w:val="00DC1C58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C1C58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DC1C58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DC1C58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DC1C58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DC1C58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DC1C58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DC1C58"/>
    <w:pPr>
      <w:ind w:left="1920"/>
    </w:pPr>
  </w:style>
  <w:style w:type="paragraph" w:styleId="TableofFigures">
    <w:name w:val="table of figures"/>
    <w:basedOn w:val="Normal"/>
    <w:next w:val="Normal"/>
    <w:uiPriority w:val="99"/>
    <w:unhideWhenUsed/>
    <w:rsid w:val="00DC1C58"/>
    <w:pPr>
      <w:ind w:left="480" w:hanging="480"/>
    </w:pPr>
  </w:style>
  <w:style w:type="table" w:styleId="TableGrid">
    <w:name w:val="Table Grid"/>
    <w:basedOn w:val="TableNormal"/>
    <w:uiPriority w:val="39"/>
    <w:rsid w:val="00366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05FB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FE2F3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FE2F3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FE2F3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FE2F3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FE2F3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FE2F3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FE2F3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FE2F3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FE2F3E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FE2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tif"/><Relationship Id="rId22" Type="http://schemas.openxmlformats.org/officeDocument/2006/relationships/image" Target="media/image18.emf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png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F224AC-51C7-A242-8AC2-BEACAE60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1622</Words>
  <Characters>9251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Ye, Chun</dc:creator>
  <cp:keywords/>
  <dc:description/>
  <cp:lastModifiedBy>Microsoft Office User</cp:lastModifiedBy>
  <cp:revision>3</cp:revision>
  <cp:lastPrinted>2017-08-29T23:00:00Z</cp:lastPrinted>
  <dcterms:created xsi:type="dcterms:W3CDTF">2017-11-03T22:55:00Z</dcterms:created>
  <dcterms:modified xsi:type="dcterms:W3CDTF">2017-11-03T23:16:00Z</dcterms:modified>
</cp:coreProperties>
</file>