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96" w:rsidRPr="00956883" w:rsidRDefault="00060C96" w:rsidP="00060C96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bookmarkStart w:id="0" w:name="_GoBack"/>
      <w:bookmarkEnd w:id="0"/>
      <w:r w:rsidRPr="00956883">
        <w:rPr>
          <w:rFonts w:ascii="Times New Roman" w:eastAsia="Calibri" w:hAnsi="Times New Roman" w:cs="Times New Roman"/>
          <w:sz w:val="24"/>
          <w:szCs w:val="24"/>
          <w:lang w:bidi="ar-SA"/>
        </w:rPr>
        <w:t>Supplementary Table 1: Maternal and Infant Characteristics by Treatment Arm</w:t>
      </w:r>
    </w:p>
    <w:tbl>
      <w:tblPr>
        <w:tblW w:w="9450" w:type="dxa"/>
        <w:tblInd w:w="90" w:type="dxa"/>
        <w:tblBorders>
          <w:top w:val="single" w:sz="6" w:space="0" w:color="000000"/>
          <w:bottom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070"/>
        <w:gridCol w:w="2070"/>
        <w:gridCol w:w="2070"/>
      </w:tblGrid>
      <w:tr w:rsidR="00060C96" w:rsidRPr="00956883" w:rsidTr="007575C7">
        <w:trPr>
          <w:cantSplit/>
        </w:trPr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TDF</w:t>
            </w:r>
          </w:p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 (%) or median (IQR)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Placebo</w:t>
            </w:r>
          </w:p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 (%) or median (IQR)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Overall</w:t>
            </w:r>
          </w:p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 (%) or median (IQR)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Maternal Characteristics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N=71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N=69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N=140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study treatment initiation: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Gestational age (weeks)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28.3 (27.9 to 28.6)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28.1 (27.7 to 28.6)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28.1 (27.9 to 28.6)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Age (years)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25.9 (23.0 to 29.2)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26.7 (23.5 to 29.2)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26.7 (23.3 to 29.2)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Height (cm)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158 (153 to 164)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157 (151 to 160)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157 (153 to 160)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Weight (kg)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63 (56 to 72)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62 (54 to 68)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62 (56 to 71)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HBV DNA (log</w:t>
            </w: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bidi="ar-SA"/>
              </w:rPr>
              <w:t>10</w:t>
            </w: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IU/mL)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8.2 (7.5 to 8.5)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7.9 (7.1 to 8.3)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8.0 (7.3 to 8.4)</w:t>
            </w:r>
          </w:p>
        </w:tc>
      </w:tr>
      <w:tr w:rsidR="00060C96" w:rsidRPr="00956883" w:rsidTr="007575C7">
        <w:trPr>
          <w:cantSplit/>
          <w:trHeight w:val="80"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Education level lower than high school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33 (46%)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 (57%)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72 (51%)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Household income (Thai Baht)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15,000 (10,000 to 20,000)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18,000 (10,000 to 30,000)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18,000 (10,000 to 21,000)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delivery: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Gestational age (weeks)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39.0 (38.4 to 40.1)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39.1 (38.1 to 40.1)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39.1 (38.3 to 40.1)</w:t>
            </w:r>
          </w:p>
        </w:tc>
      </w:tr>
      <w:tr w:rsidR="00060C96" w:rsidRPr="00956883" w:rsidTr="007575C7">
        <w:trPr>
          <w:cantSplit/>
          <w:trHeight w:val="228"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HBV DNA (log</w:t>
            </w: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bidi="ar-SA"/>
              </w:rPr>
              <w:t>10</w:t>
            </w: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IU/mL)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3.9 (3.0 to 4.8)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7.8 (6.8 to 8.4)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5.3 (3.6 to 7.9)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During postpartum: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Breastfed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68 (96%)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67 (97%)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135 (96%)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Breastfeeding duration (months)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6.1 (3.1 to 11.8)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(N=68)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6.2 (4.0 to 12.0)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(N=67)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6.1 (3.8 to 12.0)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(N=135)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time of BMD assessment: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Weight (kg)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56 (50 to 66)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54 (49 to 62)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55 (50 to 62)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Infant Characteristics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N=70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N=67</w:t>
            </w:r>
          </w:p>
        </w:tc>
        <w:tc>
          <w:tcPr>
            <w:tcW w:w="2070" w:type="dxa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N=137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birth: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Male sex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38 (54%)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 (46%)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69 (50%)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Ballard score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39 (36 to 41)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(N=66)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39 (36 to 41)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(N=64)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39 (36 to 41)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(N=130)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Preterm</w:t>
            </w: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ar-SA"/>
              </w:rPr>
              <w:t>a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3 (5%)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(N=66)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3 (5%)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(N=64)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6 (5%) </w:t>
            </w: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(N=130)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WHO weight-for-age z-score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-0.53 (-1.20 to 0.15)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-0.30 (-1.01 to 0.25)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-0.40 (-1.13 to 0.16)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WHO length-for-age z-score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0.46 (-0.47 to 1.12)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0.59 (-0.47 to 1.12)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0.46 (-0.47 to 1.12)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12 months of age: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Confirmed positive HBV infection status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 (0%)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 (3%)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 (1%)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Could walk by him/herself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51 (73%)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51 (76%)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102 (74%)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At time of BMD assessment: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Age (weeks)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53.1 (51.5 to 54.8)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52.8 (51.5 to 53.8)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53.0 (51.5 to 54.1)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WHO weight-for-age z-score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-0.55 (-1.20 to 0.19)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-0.41 (-1.02 to 0.29)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-0.49 (-1.06 to 0.25)</w:t>
            </w:r>
          </w:p>
        </w:tc>
      </w:tr>
      <w:tr w:rsidR="00060C96" w:rsidRPr="00956883" w:rsidTr="007575C7">
        <w:trPr>
          <w:cantSplit/>
        </w:trPr>
        <w:tc>
          <w:tcPr>
            <w:tcW w:w="324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tabs>
                <w:tab w:val="center" w:pos="1904"/>
              </w:tabs>
              <w:autoSpaceDE w:val="0"/>
              <w:autoSpaceDN w:val="0"/>
              <w:adjustRightInd w:val="0"/>
              <w:spacing w:before="30" w:after="3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WHO length-for-age z-score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-0.43 (-1.22 to 0.46)</w:t>
            </w:r>
          </w:p>
        </w:tc>
        <w:tc>
          <w:tcPr>
            <w:tcW w:w="2070" w:type="dxa"/>
            <w:shd w:val="clear" w:color="auto" w:fill="FFFFFF"/>
            <w:tcMar>
              <w:left w:w="30" w:type="dxa"/>
              <w:right w:w="30" w:type="dxa"/>
            </w:tcMar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-0.53 (-1.18 to 0.65)</w:t>
            </w:r>
          </w:p>
        </w:tc>
        <w:tc>
          <w:tcPr>
            <w:tcW w:w="2070" w:type="dxa"/>
            <w:shd w:val="clear" w:color="auto" w:fill="FFFFFF"/>
          </w:tcPr>
          <w:p w:rsidR="00060C96" w:rsidRPr="00956883" w:rsidRDefault="00060C96" w:rsidP="007575C7">
            <w:pPr>
              <w:autoSpaceDE w:val="0"/>
              <w:autoSpaceDN w:val="0"/>
              <w:adjustRightInd w:val="0"/>
              <w:spacing w:before="30" w:after="3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-0.46 (-1.18 to 0.58)</w:t>
            </w:r>
          </w:p>
        </w:tc>
      </w:tr>
    </w:tbl>
    <w:p w:rsidR="00060C96" w:rsidRPr="00956883" w:rsidRDefault="00060C96" w:rsidP="0006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956883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a</w:t>
      </w:r>
      <w:r w:rsidRPr="00956883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Birth before 37 weeks of gestation.</w:t>
      </w:r>
    </w:p>
    <w:p w:rsidR="00060C96" w:rsidRPr="000A5467" w:rsidRDefault="00060C96" w:rsidP="0006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956883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>Abbreviations: BMD, bone mineral density; DNA, deoxyribonucleic acid; HBV, hepatitis B virus; IQR, interquartile range; TDF, tenofovir disoproxil fumarate; WHO, World Health Organization.</w:t>
      </w:r>
    </w:p>
    <w:p w:rsidR="00DA33F2" w:rsidRDefault="00DA33F2"/>
    <w:sectPr w:rsidR="00DA33F2" w:rsidSect="006B6D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E5B">
      <w:pPr>
        <w:spacing w:after="0" w:line="240" w:lineRule="auto"/>
      </w:pPr>
      <w:r>
        <w:separator/>
      </w:r>
    </w:p>
  </w:endnote>
  <w:endnote w:type="continuationSeparator" w:id="0">
    <w:p w:rsidR="00000000" w:rsidRDefault="00CB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3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5EC" w:rsidRDefault="00060C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5EC" w:rsidRDefault="00CB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E5B">
      <w:pPr>
        <w:spacing w:after="0" w:line="240" w:lineRule="auto"/>
      </w:pPr>
      <w:r>
        <w:separator/>
      </w:r>
    </w:p>
  </w:footnote>
  <w:footnote w:type="continuationSeparator" w:id="0">
    <w:p w:rsidR="00000000" w:rsidRDefault="00CB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F2" w:rsidRDefault="00CB2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96"/>
    <w:rsid w:val="00060C96"/>
    <w:rsid w:val="00CB2E5B"/>
    <w:rsid w:val="00D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E5D2-D4F3-4F9C-BBAE-1D04138F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96"/>
    <w:pPr>
      <w:spacing w:after="160" w:line="259" w:lineRule="auto"/>
    </w:pPr>
    <w:rPr>
      <w:rFonts w:cs="Arial Unicode MS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96"/>
    <w:rPr>
      <w:rFonts w:cs="Arial Unicode MS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06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96"/>
    <w:rPr>
      <w:rFonts w:cs="Arial Unicode MS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Terra</dc:creator>
  <cp:lastModifiedBy>Folger, Suzanne (CDC/ONDIEH/NCCDPHP)</cp:lastModifiedBy>
  <cp:revision>2</cp:revision>
  <dcterms:created xsi:type="dcterms:W3CDTF">2019-05-08T19:38:00Z</dcterms:created>
  <dcterms:modified xsi:type="dcterms:W3CDTF">2019-05-08T19:38:00Z</dcterms:modified>
</cp:coreProperties>
</file>