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66191" w14:textId="77777777" w:rsidR="00E2633C" w:rsidRPr="0042546B" w:rsidRDefault="00E2633C" w:rsidP="00E2633C">
      <w:pPr>
        <w:rPr>
          <w:rFonts w:ascii="Times New Roman" w:hAnsi="Times New Roman" w:cs="Times New Roman"/>
          <w:b/>
        </w:rPr>
      </w:pPr>
      <w:r w:rsidRPr="0042546B">
        <w:rPr>
          <w:rFonts w:ascii="Times New Roman" w:hAnsi="Times New Roman" w:cs="Times New Roman"/>
          <w:b/>
        </w:rPr>
        <w:t>Appendix Table 1. Pre-specified adverse events (AE) following vaccination.</w:t>
      </w:r>
    </w:p>
    <w:tbl>
      <w:tblPr>
        <w:tblW w:w="90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960"/>
        <w:gridCol w:w="1350"/>
        <w:gridCol w:w="990"/>
      </w:tblGrid>
      <w:tr w:rsidR="00E2633C" w:rsidRPr="0042546B" w14:paraId="22E9FC01" w14:textId="77777777" w:rsidTr="00A501C1">
        <w:tc>
          <w:tcPr>
            <w:tcW w:w="2790" w:type="dxa"/>
            <w:shd w:val="clear" w:color="auto" w:fill="auto"/>
          </w:tcPr>
          <w:p w14:paraId="40A9D749" w14:textId="77777777" w:rsidR="00E2633C" w:rsidRPr="0042546B" w:rsidRDefault="00E2633C" w:rsidP="00A501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Adverse events</w:t>
            </w:r>
          </w:p>
          <w:p w14:paraId="4EB4DCAB" w14:textId="77777777" w:rsidR="00E2633C" w:rsidRPr="0042546B" w:rsidRDefault="00E2633C" w:rsidP="00A501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(care setting)</w:t>
            </w:r>
          </w:p>
        </w:tc>
        <w:tc>
          <w:tcPr>
            <w:tcW w:w="3960" w:type="dxa"/>
            <w:shd w:val="clear" w:color="auto" w:fill="auto"/>
          </w:tcPr>
          <w:p w14:paraId="0B825B19" w14:textId="77777777" w:rsidR="00E2633C" w:rsidRPr="0042546B" w:rsidRDefault="00E2633C" w:rsidP="00A501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Diagnosis</w:t>
            </w:r>
          </w:p>
        </w:tc>
        <w:tc>
          <w:tcPr>
            <w:tcW w:w="1350" w:type="dxa"/>
          </w:tcPr>
          <w:p w14:paraId="22ED92CB" w14:textId="77777777" w:rsidR="00E2633C" w:rsidRPr="0042546B" w:rsidRDefault="00E2633C" w:rsidP="00A501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Risk window</w:t>
            </w:r>
          </w:p>
        </w:tc>
        <w:tc>
          <w:tcPr>
            <w:tcW w:w="990" w:type="dxa"/>
          </w:tcPr>
          <w:p w14:paraId="0F253EE1" w14:textId="77777777" w:rsidR="00E2633C" w:rsidRPr="0042546B" w:rsidRDefault="00E2633C" w:rsidP="00A501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ICD-9 Code</w:t>
            </w:r>
            <w:r w:rsidRPr="0042546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US"/>
              </w:rPr>
              <w:t>*</w:t>
            </w:r>
          </w:p>
        </w:tc>
      </w:tr>
      <w:tr w:rsidR="00E2633C" w:rsidRPr="0042546B" w14:paraId="09E75CDD" w14:textId="77777777" w:rsidTr="00A501C1">
        <w:tc>
          <w:tcPr>
            <w:tcW w:w="2790" w:type="dxa"/>
            <w:shd w:val="clear" w:color="auto" w:fill="auto"/>
          </w:tcPr>
          <w:p w14:paraId="05758A09" w14:textId="77777777" w:rsidR="00E2633C" w:rsidRPr="0042546B" w:rsidRDefault="00E2633C" w:rsidP="00A501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Group 1. Systemic reactions (inpatient, ED)</w:t>
            </w:r>
          </w:p>
        </w:tc>
        <w:tc>
          <w:tcPr>
            <w:tcW w:w="3960" w:type="dxa"/>
            <w:shd w:val="clear" w:color="auto" w:fill="auto"/>
          </w:tcPr>
          <w:p w14:paraId="093D1C51" w14:textId="77777777" w:rsidR="00E2633C" w:rsidRPr="0042546B" w:rsidRDefault="00E2633C" w:rsidP="00A501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Anaphylaxis</w:t>
            </w:r>
          </w:p>
        </w:tc>
        <w:tc>
          <w:tcPr>
            <w:tcW w:w="1350" w:type="dxa"/>
          </w:tcPr>
          <w:p w14:paraId="087406E0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0-6 days </w:t>
            </w:r>
          </w:p>
          <w:p w14:paraId="663882BC" w14:textId="77777777" w:rsidR="00E2633C" w:rsidRPr="0042546B" w:rsidRDefault="00E2633C" w:rsidP="00A5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(first episode in 30 days)</w:t>
            </w:r>
          </w:p>
        </w:tc>
        <w:tc>
          <w:tcPr>
            <w:tcW w:w="990" w:type="dxa"/>
          </w:tcPr>
          <w:p w14:paraId="20FC4B74" w14:textId="77777777" w:rsidR="00E2633C" w:rsidRPr="0042546B" w:rsidRDefault="00E2633C" w:rsidP="00A501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995.0, 999.4</w:t>
            </w:r>
          </w:p>
        </w:tc>
      </w:tr>
      <w:tr w:rsidR="00E2633C" w:rsidRPr="0042546B" w14:paraId="0CD3258B" w14:textId="77777777" w:rsidTr="00A501C1">
        <w:tc>
          <w:tcPr>
            <w:tcW w:w="2790" w:type="dxa"/>
            <w:tcBorders>
              <w:top w:val="nil"/>
            </w:tcBorders>
            <w:shd w:val="clear" w:color="auto" w:fill="auto"/>
          </w:tcPr>
          <w:p w14:paraId="0BE234D9" w14:textId="77777777" w:rsidR="00E2633C" w:rsidRPr="0042546B" w:rsidRDefault="00E2633C" w:rsidP="00A501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Group 2: Local reactions (outpatient, inpatient, ED)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auto"/>
          </w:tcPr>
          <w:p w14:paraId="001222E8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a) Cellulitis and infection</w:t>
            </w:r>
          </w:p>
          <w:p w14:paraId="52D1C8FD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Cellulitis, upper arm and forearm</w:t>
            </w:r>
          </w:p>
          <w:p w14:paraId="55188048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Cellulitis</w:t>
            </w:r>
          </w:p>
          <w:p w14:paraId="27FE20A0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Cellulitis, unspecified site</w:t>
            </w:r>
          </w:p>
          <w:p w14:paraId="5B366520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Pain in limb</w:t>
            </w:r>
          </w:p>
          <w:p w14:paraId="50D27602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Limb swelling </w:t>
            </w:r>
          </w:p>
          <w:p w14:paraId="35060E75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Complication of medical care</w:t>
            </w:r>
          </w:p>
          <w:p w14:paraId="44656F47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Lymphadenitis, unspecified, except mesenteric</w:t>
            </w:r>
          </w:p>
          <w:p w14:paraId="026AC94B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Acute lymphadenitis</w:t>
            </w:r>
          </w:p>
          <w:p w14:paraId="55B8F532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Enlargement of lymph nodes, lymphadenopathy</w:t>
            </w:r>
          </w:p>
          <w:p w14:paraId="33A36CCA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b) Allergic Reaction  </w:t>
            </w:r>
          </w:p>
          <w:p w14:paraId="1F9141E6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Angioneurotic edema</w:t>
            </w:r>
          </w:p>
          <w:p w14:paraId="2299D718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Allergy unspecified</w:t>
            </w:r>
          </w:p>
          <w:p w14:paraId="02DD7296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Allergic urticaria</w:t>
            </w:r>
          </w:p>
          <w:p w14:paraId="0481A72F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Idiopathic urticaria </w:t>
            </w:r>
          </w:p>
          <w:p w14:paraId="7CF75C83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Urticaria, unspecified</w:t>
            </w:r>
          </w:p>
        </w:tc>
        <w:tc>
          <w:tcPr>
            <w:tcW w:w="1350" w:type="dxa"/>
            <w:tcBorders>
              <w:top w:val="nil"/>
            </w:tcBorders>
          </w:tcPr>
          <w:p w14:paraId="38A50564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1-7 days </w:t>
            </w:r>
          </w:p>
          <w:p w14:paraId="2DCCA8F8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(first episode in 30 days)</w:t>
            </w:r>
          </w:p>
        </w:tc>
        <w:tc>
          <w:tcPr>
            <w:tcW w:w="990" w:type="dxa"/>
            <w:tcBorders>
              <w:top w:val="nil"/>
            </w:tcBorders>
          </w:tcPr>
          <w:p w14:paraId="1F7AEB31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99D7A03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682.3</w:t>
            </w:r>
          </w:p>
          <w:p w14:paraId="395E9C4F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682.8</w:t>
            </w:r>
          </w:p>
          <w:p w14:paraId="7D9F46A8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682.9</w:t>
            </w:r>
          </w:p>
          <w:p w14:paraId="62669191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729.5</w:t>
            </w:r>
          </w:p>
          <w:p w14:paraId="13EB4F4E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729.81</w:t>
            </w:r>
          </w:p>
          <w:p w14:paraId="454E1ED4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999.9</w:t>
            </w:r>
          </w:p>
          <w:p w14:paraId="61018D65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289.3</w:t>
            </w:r>
          </w:p>
          <w:p w14:paraId="139A487E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0DBB35C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683</w:t>
            </w:r>
          </w:p>
          <w:p w14:paraId="277CA2FF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785.6</w:t>
            </w:r>
          </w:p>
          <w:p w14:paraId="7385CA8E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EB89315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9EF833E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995.1</w:t>
            </w:r>
          </w:p>
          <w:p w14:paraId="348AA9AE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995.3</w:t>
            </w:r>
          </w:p>
          <w:p w14:paraId="469C4EFA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708.0</w:t>
            </w:r>
          </w:p>
          <w:p w14:paraId="758EB3B2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708.1</w:t>
            </w:r>
          </w:p>
          <w:p w14:paraId="7E909C8F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708.9</w:t>
            </w:r>
          </w:p>
        </w:tc>
      </w:tr>
      <w:tr w:rsidR="00E2633C" w:rsidRPr="0042546B" w14:paraId="53F855CB" w14:textId="77777777" w:rsidTr="00A501C1">
        <w:trPr>
          <w:trHeight w:val="440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B540843" w14:textId="77777777" w:rsidR="00E2633C" w:rsidRPr="0042546B" w:rsidRDefault="00E2633C" w:rsidP="00A501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Group 3. Cardiovascular events (inpatient, ED)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01CD9FC0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>a) Acute and subacute myocardial infarction</w:t>
            </w:r>
          </w:p>
          <w:p w14:paraId="48763F13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Acute myocardial infarction</w:t>
            </w:r>
          </w:p>
          <w:p w14:paraId="7B5E89D4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Other acute and subacute forms of ischemic heart disease</w:t>
            </w:r>
          </w:p>
          <w:p w14:paraId="74DA7742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b) Acute pericarditis</w:t>
            </w:r>
          </w:p>
          <w:p w14:paraId="7C1E18E2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Acute pericarditis</w:t>
            </w:r>
          </w:p>
          <w:p w14:paraId="29AD8453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c) Acute myocarditis</w:t>
            </w:r>
          </w:p>
          <w:p w14:paraId="00BA1F20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Acute myocarditis in diseases classified elsewhere</w:t>
            </w:r>
          </w:p>
          <w:p w14:paraId="7F48C039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Acute myocarditis NOS </w:t>
            </w:r>
          </w:p>
          <w:p w14:paraId="2503545A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Idiopathic myocarditis </w:t>
            </w:r>
          </w:p>
          <w:p w14:paraId="0BC7D9A4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Other and unspecified acute myocarditis</w:t>
            </w:r>
          </w:p>
          <w:p w14:paraId="0CF50CFF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Myocarditis unspecified</w:t>
            </w:r>
          </w:p>
          <w:p w14:paraId="300050C1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d) Cardiomyopathy</w:t>
            </w:r>
          </w:p>
          <w:p w14:paraId="1726C5D8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Other primary cardiomyopathies</w:t>
            </w:r>
          </w:p>
          <w:p w14:paraId="4580BF1E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Cardiomyopathy in other diseases classified elsewhere</w:t>
            </w:r>
          </w:p>
          <w:p w14:paraId="7730BEF5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Secondary cardiomyopathy unspecified</w:t>
            </w:r>
          </w:p>
          <w:p w14:paraId="241AADC6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Cardiomegaly – dilation, hypertrophy, ventricular dilation</w:t>
            </w:r>
          </w:p>
          <w:p w14:paraId="2E8946A5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e) Heart failure</w:t>
            </w:r>
          </w:p>
          <w:p w14:paraId="6367E6E1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Congestive heart failure unspecified</w:t>
            </w:r>
          </w:p>
          <w:p w14:paraId="241135C2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Left heart failure</w:t>
            </w:r>
          </w:p>
          <w:p w14:paraId="43481C28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Systolic heart failure</w:t>
            </w:r>
          </w:p>
          <w:p w14:paraId="406D0BB7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Combined systolic and diastolic heart failure</w:t>
            </w:r>
          </w:p>
          <w:p w14:paraId="32673583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Heart failure unspecified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7CA7C0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1-42 days </w:t>
            </w:r>
          </w:p>
          <w:p w14:paraId="153C3D54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(first episode in 12 months)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3098B6B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03661C9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410</w:t>
            </w:r>
          </w:p>
          <w:p w14:paraId="215234A9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411</w:t>
            </w:r>
          </w:p>
          <w:p w14:paraId="69BB0CA9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7E1A45C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66B25A7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420</w:t>
            </w:r>
          </w:p>
          <w:p w14:paraId="47905567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729332D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422.0</w:t>
            </w:r>
          </w:p>
          <w:p w14:paraId="529D0842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D52ADAE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422.90</w:t>
            </w:r>
          </w:p>
          <w:p w14:paraId="17DDE705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422.91</w:t>
            </w:r>
          </w:p>
          <w:p w14:paraId="36F47991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422.99</w:t>
            </w:r>
          </w:p>
          <w:p w14:paraId="5BE885D8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429.0</w:t>
            </w:r>
          </w:p>
          <w:p w14:paraId="026384F7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EF0B4DF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425.4</w:t>
            </w:r>
          </w:p>
          <w:p w14:paraId="3357B13F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425.8</w:t>
            </w:r>
          </w:p>
          <w:p w14:paraId="46378D63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C37DE16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425.9</w:t>
            </w:r>
          </w:p>
          <w:p w14:paraId="664FEB00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429.3</w:t>
            </w:r>
          </w:p>
          <w:p w14:paraId="22F74641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34EEAA2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58BF31D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428.0</w:t>
            </w:r>
          </w:p>
          <w:p w14:paraId="64FA6418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428.1</w:t>
            </w:r>
          </w:p>
          <w:p w14:paraId="74DEE544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428.2</w:t>
            </w:r>
          </w:p>
          <w:p w14:paraId="260E5C96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428.4</w:t>
            </w:r>
          </w:p>
          <w:p w14:paraId="1002BC23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428.9</w:t>
            </w:r>
          </w:p>
        </w:tc>
      </w:tr>
      <w:tr w:rsidR="00E2633C" w:rsidRPr="0042546B" w14:paraId="133A4689" w14:textId="77777777" w:rsidTr="00A501C1">
        <w:trPr>
          <w:trHeight w:val="396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90026BB" w14:textId="77777777" w:rsidR="00E2633C" w:rsidRPr="0042546B" w:rsidRDefault="00E2633C" w:rsidP="00A501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Group 4. Stroke, cerebrovascular diseases, </w:t>
            </w:r>
            <w:r w:rsidRPr="00425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venous thromboembolism (VTE) (inpatient, ED)</w:t>
            </w:r>
          </w:p>
        </w:tc>
        <w:tc>
          <w:tcPr>
            <w:tcW w:w="3960" w:type="dxa"/>
            <w:shd w:val="clear" w:color="auto" w:fill="auto"/>
          </w:tcPr>
          <w:p w14:paraId="15DAD9E9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lastRenderedPageBreak/>
              <w:t>a) Stroke and cerebrovascular diseases</w:t>
            </w:r>
          </w:p>
          <w:p w14:paraId="07E66A6F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Occlusion and stenosis of precerebral arteries</w:t>
            </w:r>
          </w:p>
          <w:p w14:paraId="2D8DCCF0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Occlusion of cerebral arteries</w:t>
            </w:r>
          </w:p>
          <w:p w14:paraId="33FBD7E6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Transient cerebral ischemia</w:t>
            </w:r>
          </w:p>
          <w:p w14:paraId="5F965BAF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Acute, ill-defined, cerebrovascular disease</w:t>
            </w:r>
          </w:p>
          <w:p w14:paraId="26482D34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Other and ill-defined cerebrovascular disease</w:t>
            </w:r>
          </w:p>
          <w:p w14:paraId="39FAFB8F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C91645A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0C3D4DF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b) VTE</w:t>
            </w: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13CA3260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pulmonary embolism and infarction</w:t>
            </w:r>
          </w:p>
          <w:p w14:paraId="4EFB4BAA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Deep vein thrombosis (DVT)</w:t>
            </w:r>
          </w:p>
        </w:tc>
        <w:tc>
          <w:tcPr>
            <w:tcW w:w="1350" w:type="dxa"/>
          </w:tcPr>
          <w:p w14:paraId="19929AD7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1-42 days</w:t>
            </w:r>
          </w:p>
          <w:p w14:paraId="284AFB08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(first episode in 12 months)</w:t>
            </w:r>
          </w:p>
          <w:p w14:paraId="5F8D1BF9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37716E5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AB61732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6A4C85C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AA73A2E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C6FB880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1-14 days</w:t>
            </w:r>
          </w:p>
          <w:p w14:paraId="2505CC69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(first episode in 12 months)</w:t>
            </w:r>
          </w:p>
          <w:p w14:paraId="6A7F9DAD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14:paraId="3CD0E544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4F83F5D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433</w:t>
            </w:r>
          </w:p>
          <w:p w14:paraId="32A3AE93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434</w:t>
            </w:r>
          </w:p>
          <w:p w14:paraId="4C6D046F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435</w:t>
            </w:r>
          </w:p>
          <w:p w14:paraId="0D4FF7A9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436</w:t>
            </w:r>
          </w:p>
          <w:p w14:paraId="4FDCBFFF" w14:textId="77777777" w:rsidR="00E2633C" w:rsidRPr="0042546B" w:rsidRDefault="00E2633C" w:rsidP="00A501C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437.1,437.4,437.6,437.8,437.9</w:t>
            </w:r>
          </w:p>
          <w:p w14:paraId="62BE7CEA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0CB10B3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415.1</w:t>
            </w:r>
          </w:p>
          <w:p w14:paraId="494C67E3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453.4</w:t>
            </w:r>
          </w:p>
        </w:tc>
      </w:tr>
      <w:tr w:rsidR="00E2633C" w:rsidRPr="0042546B" w14:paraId="226CF95E" w14:textId="77777777" w:rsidTr="00A501C1">
        <w:tc>
          <w:tcPr>
            <w:tcW w:w="2790" w:type="dxa"/>
            <w:shd w:val="clear" w:color="auto" w:fill="auto"/>
          </w:tcPr>
          <w:p w14:paraId="3DB0ABCB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Group 5. Meningitis, encephalitis, and encephalopathy (inpatient, ED)</w:t>
            </w:r>
          </w:p>
        </w:tc>
        <w:tc>
          <w:tcPr>
            <w:tcW w:w="3960" w:type="dxa"/>
            <w:shd w:val="clear" w:color="auto" w:fill="auto"/>
          </w:tcPr>
          <w:p w14:paraId="3DBB6329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Other specified viral meningitis</w:t>
            </w:r>
          </w:p>
          <w:p w14:paraId="58D8029F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Unspecified viral meningitis, viral meningitis NOS, meningitis</w:t>
            </w:r>
          </w:p>
          <w:p w14:paraId="71E968B9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Unspecified non-arthropod-borne viral diseases of central nervous system, viral encephalitis NOS</w:t>
            </w:r>
          </w:p>
          <w:p w14:paraId="22636EAE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Meningitis due to viruses not elsewhere classified</w:t>
            </w:r>
          </w:p>
          <w:p w14:paraId="5B99CB39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Meningitis due to other nonbacterial organisms classified elsewhere</w:t>
            </w:r>
          </w:p>
          <w:p w14:paraId="36162485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Meningitis of unspecified cause</w:t>
            </w:r>
          </w:p>
          <w:p w14:paraId="0A83E1DB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Encephalitis, myelitis, and encephalomyelitis</w:t>
            </w:r>
          </w:p>
          <w:p w14:paraId="007C3261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Encephalopathy,</w:t>
            </w:r>
            <w:proofErr w:type="gramEnd"/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not elsewhere classified</w:t>
            </w:r>
          </w:p>
        </w:tc>
        <w:tc>
          <w:tcPr>
            <w:tcW w:w="1350" w:type="dxa"/>
          </w:tcPr>
          <w:p w14:paraId="37A55FF9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1-42 days</w:t>
            </w:r>
          </w:p>
          <w:p w14:paraId="5E5F97CB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(first episode in 12 months)</w:t>
            </w:r>
          </w:p>
        </w:tc>
        <w:tc>
          <w:tcPr>
            <w:tcW w:w="990" w:type="dxa"/>
          </w:tcPr>
          <w:p w14:paraId="144F1EDD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047.8</w:t>
            </w:r>
          </w:p>
          <w:p w14:paraId="3A5FCF24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047.9</w:t>
            </w:r>
          </w:p>
          <w:p w14:paraId="089A5D2A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4F4D9DE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049.9</w:t>
            </w:r>
          </w:p>
          <w:p w14:paraId="6056E9AC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14F4507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917D357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321.2 </w:t>
            </w:r>
          </w:p>
          <w:p w14:paraId="02139A7C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51A38E0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321.8</w:t>
            </w:r>
          </w:p>
          <w:p w14:paraId="1A04BB34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28E6B7E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322</w:t>
            </w:r>
          </w:p>
          <w:p w14:paraId="6CBEA40D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323</w:t>
            </w:r>
          </w:p>
          <w:p w14:paraId="68A87A69" w14:textId="77777777" w:rsidR="00E2633C" w:rsidRPr="0042546B" w:rsidRDefault="00E2633C" w:rsidP="00A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4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348.3</w:t>
            </w:r>
          </w:p>
        </w:tc>
      </w:tr>
    </w:tbl>
    <w:p w14:paraId="49A76237" w14:textId="77777777" w:rsidR="00E2633C" w:rsidRPr="0042546B" w:rsidRDefault="00E2633C" w:rsidP="00E2633C">
      <w:pPr>
        <w:rPr>
          <w:rFonts w:ascii="Times New Roman" w:hAnsi="Times New Roman" w:cs="Times New Roman"/>
          <w:sz w:val="20"/>
          <w:szCs w:val="20"/>
        </w:rPr>
      </w:pPr>
      <w:r w:rsidRPr="0042546B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42546B">
        <w:rPr>
          <w:rFonts w:ascii="Times New Roman" w:hAnsi="Times New Roman" w:cs="Times New Roman"/>
          <w:sz w:val="20"/>
          <w:szCs w:val="20"/>
        </w:rPr>
        <w:t>ICD-9 codes include all additional fourth- or fifth- level digits where applicable.</w:t>
      </w:r>
    </w:p>
    <w:p w14:paraId="356FB45E" w14:textId="77777777" w:rsidR="00E2633C" w:rsidRPr="0042546B" w:rsidRDefault="00E2633C" w:rsidP="00E2633C">
      <w:pPr>
        <w:rPr>
          <w:rFonts w:ascii="Times New Roman" w:hAnsi="Times New Roman" w:cs="Times New Roman"/>
          <w:b/>
          <w:sz w:val="24"/>
          <w:szCs w:val="24"/>
        </w:rPr>
      </w:pPr>
      <w:r w:rsidRPr="0042546B">
        <w:rPr>
          <w:rFonts w:ascii="Times New Roman" w:hAnsi="Times New Roman" w:cs="Times New Roman"/>
          <w:sz w:val="20"/>
          <w:szCs w:val="20"/>
        </w:rPr>
        <w:t>ED: emergency department; NOS: not specified.</w:t>
      </w:r>
      <w:r w:rsidRPr="0042546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675291" w14:textId="77777777" w:rsidR="00E2633C" w:rsidRPr="0042546B" w:rsidRDefault="00E2633C" w:rsidP="00E2633C">
      <w:pPr>
        <w:rPr>
          <w:rFonts w:ascii="Times New Roman" w:hAnsi="Times New Roman" w:cs="Times New Roman"/>
          <w:b/>
        </w:rPr>
      </w:pPr>
      <w:r w:rsidRPr="0042546B">
        <w:rPr>
          <w:rFonts w:ascii="Times New Roman" w:hAnsi="Times New Roman" w:cs="Times New Roman"/>
          <w:b/>
        </w:rPr>
        <w:lastRenderedPageBreak/>
        <w:t>Appendix Table 2. Characteristics of the chart review confirmed stroke/cerebrovascular cases among HIV-infected patients with a baseline viral load &gt; 10,000 copies/ml, Vaccine Datalink Project, 2002-2013.</w:t>
      </w:r>
    </w:p>
    <w:tbl>
      <w:tblPr>
        <w:tblW w:w="9260" w:type="dxa"/>
        <w:tblBorders>
          <w:top w:val="single" w:sz="4" w:space="0" w:color="auto"/>
          <w:left w:val="single" w:sz="8" w:space="0" w:color="FFFFFF"/>
          <w:bottom w:val="single" w:sz="4" w:space="0" w:color="auto"/>
          <w:right w:val="single" w:sz="8" w:space="0" w:color="FFFFFF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0"/>
        <w:gridCol w:w="3510"/>
        <w:gridCol w:w="2790"/>
      </w:tblGrid>
      <w:tr w:rsidR="00E2633C" w:rsidRPr="0042546B" w14:paraId="65AC93B0" w14:textId="77777777" w:rsidTr="00A501C1">
        <w:trPr>
          <w:trHeight w:val="782"/>
        </w:trPr>
        <w:tc>
          <w:tcPr>
            <w:tcW w:w="2960" w:type="dxa"/>
            <w:vMerge w:val="restar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BD7450A" w14:textId="77777777" w:rsidR="00E2633C" w:rsidRPr="0042546B" w:rsidRDefault="00E2633C" w:rsidP="00A501C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Characteristics</w:t>
            </w:r>
          </w:p>
        </w:tc>
        <w:tc>
          <w:tcPr>
            <w:tcW w:w="6300" w:type="dxa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806B98" w14:textId="77777777" w:rsidR="00E2633C" w:rsidRPr="0042546B" w:rsidRDefault="00E2633C" w:rsidP="00A501C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Number of Cases</w:t>
            </w:r>
          </w:p>
        </w:tc>
      </w:tr>
      <w:tr w:rsidR="00E2633C" w:rsidRPr="0042546B" w14:paraId="46F79ED3" w14:textId="77777777" w:rsidTr="00A501C1">
        <w:trPr>
          <w:trHeight w:val="391"/>
        </w:trPr>
        <w:tc>
          <w:tcPr>
            <w:tcW w:w="2960" w:type="dxa"/>
            <w:vMerge/>
            <w:shd w:val="clear" w:color="auto" w:fill="auto"/>
            <w:vAlign w:val="center"/>
            <w:hideMark/>
          </w:tcPr>
          <w:p w14:paraId="28AAAF50" w14:textId="77777777" w:rsidR="00E2633C" w:rsidRPr="0042546B" w:rsidRDefault="00E2633C" w:rsidP="00A501C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7146AE0" w14:textId="77777777" w:rsidR="00E2633C" w:rsidRPr="0042546B" w:rsidRDefault="00E2633C" w:rsidP="00A501C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Risk window (n=4)</w:t>
            </w:r>
          </w:p>
        </w:tc>
        <w:tc>
          <w:tcPr>
            <w:tcW w:w="279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554F2E9" w14:textId="77777777" w:rsidR="00E2633C" w:rsidRPr="0042546B" w:rsidRDefault="00E2633C" w:rsidP="00A501C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Control window (n=4)</w:t>
            </w:r>
          </w:p>
        </w:tc>
      </w:tr>
      <w:tr w:rsidR="00E2633C" w:rsidRPr="0042546B" w14:paraId="7BEDD1E2" w14:textId="77777777" w:rsidTr="00A501C1">
        <w:trPr>
          <w:trHeight w:val="223"/>
        </w:trPr>
        <w:tc>
          <w:tcPr>
            <w:tcW w:w="296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494D7C0" w14:textId="77777777" w:rsidR="00E2633C" w:rsidRPr="0042546B" w:rsidRDefault="00E2633C" w:rsidP="00A501C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</w:t>
            </w:r>
            <w:r w:rsidRPr="004254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ew onset vs. recurrent</w:t>
            </w:r>
          </w:p>
        </w:tc>
        <w:tc>
          <w:tcPr>
            <w:tcW w:w="35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D25A515" w14:textId="77777777" w:rsidR="00E2633C" w:rsidRPr="0042546B" w:rsidRDefault="00E2633C" w:rsidP="00A501C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83B09A5" w14:textId="77777777" w:rsidR="00E2633C" w:rsidRPr="0042546B" w:rsidRDefault="00E2633C" w:rsidP="00A501C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E2633C" w:rsidRPr="0042546B" w14:paraId="377D0FAF" w14:textId="77777777" w:rsidTr="00A501C1">
        <w:trPr>
          <w:trHeight w:val="223"/>
        </w:trPr>
        <w:tc>
          <w:tcPr>
            <w:tcW w:w="296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D99CE39" w14:textId="77777777" w:rsidR="00E2633C" w:rsidRPr="0042546B" w:rsidRDefault="00E2633C" w:rsidP="00A501C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New onset</w:t>
            </w:r>
          </w:p>
        </w:tc>
        <w:tc>
          <w:tcPr>
            <w:tcW w:w="35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0895C1D" w14:textId="77777777" w:rsidR="00E2633C" w:rsidRPr="0042546B" w:rsidRDefault="00E2633C" w:rsidP="00A501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9FA4AA" w14:textId="77777777" w:rsidR="00E2633C" w:rsidRPr="0042546B" w:rsidRDefault="00E2633C" w:rsidP="00A501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E2633C" w:rsidRPr="0042546B" w14:paraId="26D6A86E" w14:textId="77777777" w:rsidTr="00A501C1">
        <w:trPr>
          <w:trHeight w:val="223"/>
        </w:trPr>
        <w:tc>
          <w:tcPr>
            <w:tcW w:w="296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3CF8537" w14:textId="77777777" w:rsidR="00E2633C" w:rsidRPr="0042546B" w:rsidRDefault="00E2633C" w:rsidP="00A501C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Recurrent cases</w:t>
            </w:r>
          </w:p>
        </w:tc>
        <w:tc>
          <w:tcPr>
            <w:tcW w:w="35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B36643F" w14:textId="77777777" w:rsidR="00E2633C" w:rsidRPr="0042546B" w:rsidRDefault="00E2633C" w:rsidP="00A501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B0B9D9" w14:textId="77777777" w:rsidR="00E2633C" w:rsidRPr="0042546B" w:rsidRDefault="00E2633C" w:rsidP="00A501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2633C" w:rsidRPr="0042546B" w14:paraId="42761B55" w14:textId="77777777" w:rsidTr="00A501C1">
        <w:trPr>
          <w:trHeight w:val="223"/>
        </w:trPr>
        <w:tc>
          <w:tcPr>
            <w:tcW w:w="296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4083B56" w14:textId="77777777" w:rsidR="00E2633C" w:rsidRPr="0042546B" w:rsidRDefault="00E2633C" w:rsidP="00A501C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Confirmed diagnosis</w:t>
            </w:r>
          </w:p>
        </w:tc>
        <w:tc>
          <w:tcPr>
            <w:tcW w:w="35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AD90EA3" w14:textId="77777777" w:rsidR="00E2633C" w:rsidRPr="0042546B" w:rsidRDefault="00E2633C" w:rsidP="00A501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4134621" w14:textId="77777777" w:rsidR="00E2633C" w:rsidRPr="0042546B" w:rsidRDefault="00E2633C" w:rsidP="00A501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2633C" w:rsidRPr="0042546B" w14:paraId="6EE76998" w14:textId="77777777" w:rsidTr="00A501C1">
        <w:trPr>
          <w:trHeight w:val="223"/>
        </w:trPr>
        <w:tc>
          <w:tcPr>
            <w:tcW w:w="296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8036053" w14:textId="77777777" w:rsidR="00E2633C" w:rsidRPr="0042546B" w:rsidRDefault="00E2633C" w:rsidP="00A501C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Stroke</w:t>
            </w:r>
          </w:p>
        </w:tc>
        <w:tc>
          <w:tcPr>
            <w:tcW w:w="35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4931ED4" w14:textId="77777777" w:rsidR="00E2633C" w:rsidRPr="0042546B" w:rsidRDefault="00E2633C" w:rsidP="00A501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B127A37" w14:textId="77777777" w:rsidR="00E2633C" w:rsidRPr="0042546B" w:rsidRDefault="00E2633C" w:rsidP="00A501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E2633C" w:rsidRPr="0042546B" w14:paraId="747914ED" w14:textId="77777777" w:rsidTr="00A501C1">
        <w:trPr>
          <w:trHeight w:val="223"/>
        </w:trPr>
        <w:tc>
          <w:tcPr>
            <w:tcW w:w="296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ECACF59" w14:textId="77777777" w:rsidR="00E2633C" w:rsidRPr="0042546B" w:rsidRDefault="00E2633C" w:rsidP="00A501C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Transient Ischemic Attack (TIA )</w:t>
            </w:r>
          </w:p>
        </w:tc>
        <w:tc>
          <w:tcPr>
            <w:tcW w:w="35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5816F2A" w14:textId="77777777" w:rsidR="00E2633C" w:rsidRPr="0042546B" w:rsidRDefault="00E2633C" w:rsidP="00A501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1924BF7" w14:textId="77777777" w:rsidR="00E2633C" w:rsidRPr="0042546B" w:rsidRDefault="00E2633C" w:rsidP="00A501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E2633C" w:rsidRPr="0042546B" w14:paraId="58DD9067" w14:textId="77777777" w:rsidTr="00A501C1">
        <w:trPr>
          <w:trHeight w:val="223"/>
        </w:trPr>
        <w:tc>
          <w:tcPr>
            <w:tcW w:w="296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424ABE6" w14:textId="77777777" w:rsidR="00E2633C" w:rsidRPr="0042546B" w:rsidRDefault="00E2633C" w:rsidP="00A501C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Cluster pattern of onset date within the observation period</w:t>
            </w:r>
          </w:p>
        </w:tc>
        <w:tc>
          <w:tcPr>
            <w:tcW w:w="35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DE394A8" w14:textId="77777777" w:rsidR="00E2633C" w:rsidRPr="0042546B" w:rsidRDefault="00E2633C" w:rsidP="00A501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 case on the day of vaccination; others on days 12, 36, and 39; </w:t>
            </w:r>
          </w:p>
        </w:tc>
        <w:tc>
          <w:tcPr>
            <w:tcW w:w="279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ECAE5C5" w14:textId="77777777" w:rsidR="00E2633C" w:rsidRPr="0042546B" w:rsidRDefault="00E2633C" w:rsidP="00A501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noProof/>
                <w:sz w:val="20"/>
                <w:szCs w:val="20"/>
              </w:rPr>
              <w:t>On days 70, 74, 95, and 105</w:t>
            </w:r>
          </w:p>
        </w:tc>
      </w:tr>
      <w:tr w:rsidR="00E2633C" w:rsidRPr="0042546B" w14:paraId="53510B9A" w14:textId="77777777" w:rsidTr="00A501C1">
        <w:trPr>
          <w:trHeight w:val="223"/>
        </w:trPr>
        <w:tc>
          <w:tcPr>
            <w:tcW w:w="296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6F9B774" w14:textId="77777777" w:rsidR="00E2633C" w:rsidRPr="0042546B" w:rsidRDefault="00E2633C" w:rsidP="00A501C1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Type of vaccine received</w:t>
            </w:r>
          </w:p>
        </w:tc>
        <w:tc>
          <w:tcPr>
            <w:tcW w:w="35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4FFB687" w14:textId="77777777" w:rsidR="00E2633C" w:rsidRPr="0042546B" w:rsidRDefault="00E2633C" w:rsidP="00A501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noProof/>
                <w:sz w:val="20"/>
                <w:szCs w:val="20"/>
              </w:rPr>
              <w:t>2 cases received influenza vaccine, 2 cases received hepatitis B vaccine</w:t>
            </w:r>
          </w:p>
        </w:tc>
        <w:tc>
          <w:tcPr>
            <w:tcW w:w="279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10A4DA2" w14:textId="77777777" w:rsidR="00E2633C" w:rsidRPr="0042546B" w:rsidRDefault="00E2633C" w:rsidP="00A501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noProof/>
                <w:sz w:val="20"/>
                <w:szCs w:val="20"/>
              </w:rPr>
              <w:t>3 cases received influenza vaccine, 1 case received hepatitis B vacine</w:t>
            </w:r>
          </w:p>
        </w:tc>
      </w:tr>
      <w:tr w:rsidR="00E2633C" w:rsidRPr="0042546B" w14:paraId="4A839775" w14:textId="77777777" w:rsidTr="00A501C1">
        <w:trPr>
          <w:trHeight w:val="223"/>
        </w:trPr>
        <w:tc>
          <w:tcPr>
            <w:tcW w:w="296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370549" w14:textId="77777777" w:rsidR="00E2633C" w:rsidRPr="0042546B" w:rsidRDefault="00E2633C" w:rsidP="00A501C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Documented potential risk factors</w:t>
            </w:r>
          </w:p>
        </w:tc>
        <w:tc>
          <w:tcPr>
            <w:tcW w:w="35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4D2A267" w14:textId="77777777" w:rsidR="00E2633C" w:rsidRPr="0042546B" w:rsidRDefault="00E2633C" w:rsidP="00A501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noProof/>
                <w:sz w:val="20"/>
                <w:szCs w:val="20"/>
              </w:rPr>
              <w:t>1 new onset TIA case: atherosclerotic plaque;</w:t>
            </w:r>
          </w:p>
          <w:p w14:paraId="5FAD1DEF" w14:textId="77777777" w:rsidR="00E2633C" w:rsidRPr="0042546B" w:rsidRDefault="00E2633C" w:rsidP="00A501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noProof/>
                <w:sz w:val="20"/>
                <w:szCs w:val="20"/>
              </w:rPr>
              <w:t>1 recurrent stroke case: type-2 diabetes, hyperlipidemia, AIDS.</w:t>
            </w:r>
          </w:p>
        </w:tc>
        <w:tc>
          <w:tcPr>
            <w:tcW w:w="279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F6255D5" w14:textId="77777777" w:rsidR="00E2633C" w:rsidRPr="0042546B" w:rsidRDefault="00E2633C" w:rsidP="00A501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546B">
              <w:rPr>
                <w:rFonts w:ascii="Times New Roman" w:hAnsi="Times New Roman" w:cs="Times New Roman"/>
                <w:noProof/>
                <w:sz w:val="20"/>
                <w:szCs w:val="20"/>
              </w:rPr>
              <w:t>1 new onset stroke case: encephalitis, smoker in remission</w:t>
            </w:r>
          </w:p>
        </w:tc>
      </w:tr>
    </w:tbl>
    <w:p w14:paraId="3E664A48" w14:textId="76E9CEB9" w:rsidR="00313149" w:rsidRPr="00E2633C" w:rsidRDefault="003131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13149" w:rsidRPr="00E2633C" w:rsidSect="008C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3C"/>
    <w:rsid w:val="00313149"/>
    <w:rsid w:val="00E2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8D27"/>
  <w15:chartTrackingRefBased/>
  <w15:docId w15:val="{7B660E5E-DEC5-4F36-8904-1E435BDF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33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 X. Cardoso</dc:creator>
  <cp:keywords/>
  <dc:description/>
  <cp:lastModifiedBy>Sole X. Cardoso</cp:lastModifiedBy>
  <cp:revision>1</cp:revision>
  <dcterms:created xsi:type="dcterms:W3CDTF">2019-01-16T16:49:00Z</dcterms:created>
  <dcterms:modified xsi:type="dcterms:W3CDTF">2019-01-16T16:50:00Z</dcterms:modified>
</cp:coreProperties>
</file>