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0" w:rsidRDefault="003A2D06" w:rsidP="00783510">
      <w:pPr>
        <w:spacing w:line="240" w:lineRule="auto"/>
        <w:contextualSpacing/>
        <w:rPr>
          <w:rFonts w:cstheme="minorHAnsi"/>
          <w:b/>
          <w:color w:val="000000" w:themeColor="text1"/>
          <w:vertAlign w:val="superscript"/>
        </w:rPr>
      </w:pPr>
      <w:r>
        <w:rPr>
          <w:b/>
        </w:rPr>
        <w:t>Supplementa</w:t>
      </w:r>
      <w:r w:rsidR="0027573E">
        <w:rPr>
          <w:b/>
        </w:rPr>
        <w:t>ry</w:t>
      </w:r>
      <w:r>
        <w:rPr>
          <w:b/>
        </w:rPr>
        <w:t xml:space="preserve"> </w:t>
      </w:r>
      <w:r w:rsidR="0027573E">
        <w:rPr>
          <w:b/>
        </w:rPr>
        <w:t>Table</w:t>
      </w:r>
      <w:bookmarkStart w:id="0" w:name="_GoBack"/>
      <w:bookmarkEnd w:id="0"/>
      <w:r w:rsidR="00783510">
        <w:rPr>
          <w:b/>
        </w:rPr>
        <w:t>.</w:t>
      </w:r>
      <w:r w:rsidR="00783510">
        <w:rPr>
          <w:rFonts w:cstheme="minorHAnsi"/>
          <w:b/>
          <w:color w:val="000000" w:themeColor="text1"/>
        </w:rPr>
        <w:t xml:space="preserve"> D</w:t>
      </w:r>
      <w:r w:rsidR="00783510" w:rsidRPr="003F1DC0">
        <w:rPr>
          <w:rFonts w:cstheme="minorHAnsi"/>
          <w:b/>
          <w:color w:val="000000" w:themeColor="text1"/>
        </w:rPr>
        <w:t>iagnosis categories</w:t>
      </w:r>
      <w:r w:rsidR="00783510">
        <w:rPr>
          <w:rFonts w:cstheme="minorHAnsi"/>
          <w:b/>
          <w:color w:val="000000" w:themeColor="text1"/>
        </w:rPr>
        <w:t xml:space="preserve"> adapted for possible ceftriaxone indications</w:t>
      </w:r>
      <w:r w:rsidR="00783510" w:rsidRPr="00AB65AA">
        <w:rPr>
          <w:rFonts w:cstheme="minorHAnsi"/>
          <w:b/>
          <w:color w:val="000000" w:themeColor="text1"/>
          <w:vertAlign w:val="superscript"/>
        </w:rPr>
        <w:t>A</w:t>
      </w:r>
    </w:p>
    <w:p w:rsidR="00783510" w:rsidRPr="00FC794D" w:rsidRDefault="00783510" w:rsidP="00783510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eGrid"/>
        <w:tblW w:w="90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5788"/>
      </w:tblGrid>
      <w:tr w:rsidR="00783510" w:rsidRPr="00F25086" w:rsidTr="009007BF">
        <w:trPr>
          <w:trHeight w:val="20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83510" w:rsidRPr="00F25086" w:rsidRDefault="00783510" w:rsidP="009007B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</w:rPr>
            </w:pPr>
            <w:r w:rsidRPr="00F25086">
              <w:rPr>
                <w:rFonts w:eastAsia="Times New Roman" w:cstheme="minorHAnsi"/>
                <w:b/>
                <w:color w:val="000000" w:themeColor="text1"/>
                <w:sz w:val="20"/>
              </w:rPr>
              <w:t>Diagnosis Name</w:t>
            </w: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510" w:rsidRPr="00F25086" w:rsidRDefault="00783510" w:rsidP="009007B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</w:rPr>
            </w:pPr>
            <w:r w:rsidRPr="00F25086">
              <w:rPr>
                <w:rFonts w:eastAsia="Times New Roman" w:cstheme="minorHAnsi"/>
                <w:b/>
                <w:color w:val="000000" w:themeColor="text1"/>
                <w:sz w:val="20"/>
              </w:rPr>
              <w:t>ICD9 Codes Included</w:t>
            </w:r>
          </w:p>
        </w:tc>
      </w:tr>
      <w:tr w:rsidR="00783510" w:rsidRPr="008E2EF8" w:rsidTr="009007BF">
        <w:trPr>
          <w:trHeight w:val="20"/>
        </w:trPr>
        <w:tc>
          <w:tcPr>
            <w:tcW w:w="90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</w:rPr>
              <w:t>CEFTRIAXONE PERMISSIBLE FOR SOME OUTPATIENTS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vertAlign w:val="superscript"/>
              </w:rPr>
              <w:t>B</w:t>
            </w:r>
          </w:p>
        </w:tc>
      </w:tr>
      <w:tr w:rsidR="00783510" w:rsidRPr="008E2EF8" w:rsidTr="009007BF">
        <w:trPr>
          <w:trHeight w:val="332"/>
        </w:trPr>
        <w:tc>
          <w:tcPr>
            <w:tcW w:w="3291" w:type="dxa"/>
            <w:tcBorders>
              <w:top w:val="single" w:sz="4" w:space="0" w:color="auto"/>
            </w:tcBorders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Sexually transmitted diseases</w:t>
            </w:r>
          </w:p>
        </w:tc>
        <w:tc>
          <w:tcPr>
            <w:tcW w:w="5788" w:type="dxa"/>
            <w:tcBorders>
              <w:top w:val="single" w:sz="4" w:space="0" w:color="auto"/>
            </w:tcBorders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079.88, 079.98, 090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cstheme="minorHAnsi"/>
                <w:color w:val="000000" w:themeColor="text1"/>
                <w:sz w:val="20"/>
              </w:rPr>
              <w:t>099,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 xml:space="preserve"> 597, 604, 614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616 (except 614.6)</w:t>
            </w:r>
          </w:p>
        </w:tc>
      </w:tr>
      <w:tr w:rsidR="00783510" w:rsidRPr="008E2EF8" w:rsidTr="009007BF">
        <w:trPr>
          <w:trHeight w:val="20"/>
        </w:trPr>
        <w:tc>
          <w:tcPr>
            <w:tcW w:w="0" w:type="auto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Pneumonia</w:t>
            </w:r>
          </w:p>
        </w:tc>
        <w:tc>
          <w:tcPr>
            <w:tcW w:w="5788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481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486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Urinary tract infections</w:t>
            </w:r>
          </w:p>
        </w:tc>
        <w:tc>
          <w:tcPr>
            <w:tcW w:w="5788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590, 595.0, 595.9, 599.0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Miscellaneous bacterial infections</w:t>
            </w:r>
          </w:p>
        </w:tc>
        <w:tc>
          <w:tcPr>
            <w:tcW w:w="5788" w:type="dxa"/>
            <w:noWrap/>
            <w:vAlign w:val="center"/>
          </w:tcPr>
          <w:p w:rsidR="00783510" w:rsidRPr="008E2EF8" w:rsidRDefault="00783510" w:rsidP="009007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010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033, 036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 xml:space="preserve"> 041, 070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088 (except 079.88 and 79.98), 100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104, 130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139, 320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323, 383, 475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Sickle cell disease</w:t>
            </w:r>
          </w:p>
        </w:tc>
        <w:tc>
          <w:tcPr>
            <w:tcW w:w="5788" w:type="dxa"/>
            <w:noWrap/>
            <w:vAlign w:val="center"/>
          </w:tcPr>
          <w:p w:rsidR="00783510" w:rsidRPr="008E2EF8" w:rsidRDefault="00783510" w:rsidP="009007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282.6, 282.41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282.42, 289.52, 517.3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tcBorders>
              <w:bottom w:val="single" w:sz="4" w:space="0" w:color="auto"/>
            </w:tcBorders>
            <w:noWrap/>
            <w:vAlign w:val="center"/>
          </w:tcPr>
          <w:p w:rsidR="00783510" w:rsidRPr="008E2EF8" w:rsidRDefault="00BA12F8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</w:rPr>
              <w:t>Acute s</w:t>
            </w:r>
            <w:r w:rsidR="00783510">
              <w:rPr>
                <w:rFonts w:eastAsia="Times New Roman" w:cstheme="minorHAnsi"/>
                <w:color w:val="000000" w:themeColor="text1"/>
                <w:sz w:val="20"/>
              </w:rPr>
              <w:t>uppurative</w:t>
            </w:r>
            <w:r w:rsidR="00783510" w:rsidRPr="008E2EF8">
              <w:rPr>
                <w:rFonts w:eastAsia="Times New Roman" w:cstheme="minorHAnsi"/>
                <w:color w:val="000000" w:themeColor="text1"/>
                <w:sz w:val="20"/>
              </w:rPr>
              <w:t xml:space="preserve"> otitis media</w:t>
            </w:r>
          </w:p>
        </w:tc>
        <w:tc>
          <w:tcPr>
            <w:tcW w:w="5788" w:type="dxa"/>
            <w:tcBorders>
              <w:bottom w:val="single" w:sz="4" w:space="0" w:color="auto"/>
            </w:tcBorders>
            <w:noWrap/>
            <w:vAlign w:val="center"/>
          </w:tcPr>
          <w:p w:rsidR="00783510" w:rsidRPr="008E2EF8" w:rsidRDefault="00783510" w:rsidP="009007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cstheme="minorHAnsi"/>
                <w:color w:val="000000" w:themeColor="text1"/>
                <w:sz w:val="20"/>
              </w:rPr>
              <w:t>382</w:t>
            </w:r>
          </w:p>
        </w:tc>
      </w:tr>
      <w:tr w:rsidR="00783510" w:rsidRPr="008E2EF8" w:rsidTr="009007BF">
        <w:trPr>
          <w:trHeight w:val="20"/>
        </w:trPr>
        <w:tc>
          <w:tcPr>
            <w:tcW w:w="90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</w:rPr>
              <w:t>CEFTRIAXONE NOT INDICATED, OTHER ANTIBIOTIC SOMETIMES INDICATED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565E1B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vertAlign w:val="superscript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Sinusitis</w:t>
            </w:r>
            <w:r>
              <w:rPr>
                <w:rFonts w:eastAsia="Times New Roman" w:cstheme="minorHAnsi"/>
                <w:color w:val="000000" w:themeColor="text1"/>
                <w:sz w:val="20"/>
                <w:vertAlign w:val="superscript"/>
              </w:rPr>
              <w:t>C</w:t>
            </w:r>
          </w:p>
        </w:tc>
        <w:tc>
          <w:tcPr>
            <w:tcW w:w="5788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461, 473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</w:rPr>
              <w:t>Pharyngitis</w:t>
            </w:r>
          </w:p>
        </w:tc>
        <w:tc>
          <w:tcPr>
            <w:tcW w:w="5788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034, 462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463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Chronic obstructive pulmonary disease with acute exacerbation</w:t>
            </w:r>
          </w:p>
        </w:tc>
        <w:tc>
          <w:tcPr>
            <w:tcW w:w="5788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491.21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Skin, cutaneous, and mucosal infections</w:t>
            </w:r>
          </w:p>
        </w:tc>
        <w:tc>
          <w:tcPr>
            <w:tcW w:w="5788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680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686, 035, 110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111, 704.8, 728.0, 611.0, 771.5, 728.86, 380.0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380.1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Acne</w:t>
            </w:r>
          </w:p>
        </w:tc>
        <w:tc>
          <w:tcPr>
            <w:tcW w:w="5788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706.0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706.1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noWrap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Gastrointestinal infections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001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009, 787, 789</w:t>
            </w:r>
          </w:p>
        </w:tc>
      </w:tr>
      <w:tr w:rsidR="00783510" w:rsidRPr="008E2EF8" w:rsidTr="009007BF">
        <w:trPr>
          <w:trHeight w:val="20"/>
        </w:trPr>
        <w:tc>
          <w:tcPr>
            <w:tcW w:w="90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</w:rPr>
              <w:t>ANTIBIOTICS NOT GENERALLY INDICATED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vertAlign w:val="superscript"/>
              </w:rPr>
              <w:t>D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tcBorders>
              <w:top w:val="single" w:sz="4" w:space="0" w:color="auto"/>
            </w:tcBorders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Asthma, allergy</w:t>
            </w:r>
          </w:p>
        </w:tc>
        <w:tc>
          <w:tcPr>
            <w:tcW w:w="5788" w:type="dxa"/>
            <w:tcBorders>
              <w:top w:val="single" w:sz="4" w:space="0" w:color="auto"/>
            </w:tcBorders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493, 477, 995.3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Bronchitis, bronchiolitis</w:t>
            </w:r>
            <w:r w:rsidRPr="00576976">
              <w:rPr>
                <w:rFonts w:eastAsia="Times New Roman" w:cstheme="minorHAnsi"/>
                <w:color w:val="000000" w:themeColor="text1"/>
                <w:sz w:val="20"/>
                <w:vertAlign w:val="superscript"/>
              </w:rPr>
              <w:t>E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490, 466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Influenza</w:t>
            </w:r>
            <w:r w:rsidRPr="0031728F">
              <w:rPr>
                <w:rFonts w:eastAsia="Times New Roman" w:cstheme="minorHAnsi"/>
                <w:color w:val="000000" w:themeColor="text1"/>
                <w:sz w:val="20"/>
                <w:vertAlign w:val="superscript"/>
              </w:rPr>
              <w:t>F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487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488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Viral pneumonia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480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Viral upper respiratory infection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460, 464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465, 786.2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Miscellaneous other infections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042, 045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069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,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 xml:space="preserve"> 112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129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Non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-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suppurative otitis media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381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Other gastrointestinal conditions,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520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579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Other skin, cutaneous and mucosal conditions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690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698, 700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709, 870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897, 910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919, 940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949, 360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379, 380.2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380.9, 383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389, 782, 785.4, 785.6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Other genitourinary conditions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580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629 (excluding those listed above), 788.1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Other respiratory conditions</w:t>
            </w:r>
          </w:p>
        </w:tc>
        <w:tc>
          <w:tcPr>
            <w:tcW w:w="5788" w:type="dxa"/>
            <w:vAlign w:val="center"/>
            <w:hideMark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460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519 (excluding those listed above), 786.0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786.1, 786.3</w:t>
            </w:r>
            <w:r>
              <w:rPr>
                <w:rFonts w:eastAsia="Times New Roman" w:cstheme="minorHAnsi"/>
                <w:color w:val="000000" w:themeColor="text1"/>
                <w:sz w:val="20"/>
              </w:rPr>
              <w:t>–</w:t>
            </w:r>
            <w:r w:rsidRPr="008E2EF8">
              <w:rPr>
                <w:rFonts w:eastAsia="Times New Roman" w:cstheme="minorHAnsi"/>
                <w:color w:val="000000" w:themeColor="text1"/>
                <w:sz w:val="20"/>
              </w:rPr>
              <w:t>786.4</w:t>
            </w:r>
          </w:p>
        </w:tc>
      </w:tr>
      <w:tr w:rsidR="00783510" w:rsidRPr="008E2EF8" w:rsidTr="009007BF">
        <w:trPr>
          <w:trHeight w:val="20"/>
        </w:trPr>
        <w:tc>
          <w:tcPr>
            <w:tcW w:w="3291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</w:rPr>
              <w:t>All other codes</w:t>
            </w:r>
          </w:p>
        </w:tc>
        <w:tc>
          <w:tcPr>
            <w:tcW w:w="5788" w:type="dxa"/>
            <w:vAlign w:val="center"/>
          </w:tcPr>
          <w:p w:rsidR="00783510" w:rsidRPr="008E2EF8" w:rsidRDefault="00783510" w:rsidP="009007B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</w:rPr>
              <w:t>All remaining codes</w:t>
            </w:r>
          </w:p>
        </w:tc>
      </w:tr>
    </w:tbl>
    <w:p w:rsidR="00783510" w:rsidRPr="00AB65AA" w:rsidRDefault="00783510" w:rsidP="00CD00E1">
      <w:pPr>
        <w:spacing w:line="480" w:lineRule="auto"/>
        <w:contextualSpacing/>
        <w:rPr>
          <w:sz w:val="20"/>
        </w:rPr>
      </w:pPr>
      <w:r w:rsidRPr="00CD00E1">
        <w:rPr>
          <w:sz w:val="20"/>
          <w:vertAlign w:val="superscript"/>
        </w:rPr>
        <w:t>A</w:t>
      </w:r>
      <w:r w:rsidRPr="00AB65AA">
        <w:rPr>
          <w:sz w:val="20"/>
        </w:rPr>
        <w:t xml:space="preserve"> </w:t>
      </w:r>
      <w:r w:rsidR="00CD00E1">
        <w:rPr>
          <w:sz w:val="20"/>
        </w:rPr>
        <w:t xml:space="preserve">Adapted from: </w:t>
      </w:r>
      <w:r w:rsidR="00CD00E1" w:rsidRPr="00CD00E1">
        <w:rPr>
          <w:sz w:val="20"/>
        </w:rPr>
        <w:t xml:space="preserve">Fleming-Dutra KE, Hersh AL, Shapiro DJ, et al. Prevalence of Inappropriate Antibiotic Prescriptions Among US Ambulatory Care Visits, 2010-2011. </w:t>
      </w:r>
      <w:r w:rsidR="00CD00E1" w:rsidRPr="00813951">
        <w:rPr>
          <w:i/>
          <w:sz w:val="20"/>
        </w:rPr>
        <w:t>JAMA</w:t>
      </w:r>
      <w:r w:rsidR="00CD00E1" w:rsidRPr="00CD00E1">
        <w:rPr>
          <w:sz w:val="20"/>
        </w:rPr>
        <w:t xml:space="preserve"> 2016;315:1864-1873. </w:t>
      </w:r>
    </w:p>
    <w:p w:rsidR="00783510" w:rsidRPr="00AB65AA" w:rsidRDefault="00783510" w:rsidP="00783510">
      <w:pPr>
        <w:spacing w:after="0" w:line="480" w:lineRule="auto"/>
        <w:contextualSpacing/>
        <w:rPr>
          <w:sz w:val="20"/>
        </w:rPr>
      </w:pPr>
      <w:r w:rsidRPr="00AB65AA">
        <w:rPr>
          <w:sz w:val="20"/>
          <w:vertAlign w:val="superscript"/>
        </w:rPr>
        <w:t>B</w:t>
      </w:r>
      <w:r w:rsidRPr="00AB65AA">
        <w:rPr>
          <w:sz w:val="20"/>
        </w:rPr>
        <w:t xml:space="preserve"> Codes in this category were selected to be sensitive rather than specific. This category includes any code where use of ceftriaxone might be permissible</w:t>
      </w:r>
      <w:r>
        <w:rPr>
          <w:sz w:val="20"/>
        </w:rPr>
        <w:t>.</w:t>
      </w:r>
    </w:p>
    <w:p w:rsidR="00783510" w:rsidRPr="00AB65AA" w:rsidRDefault="00783510" w:rsidP="00783510">
      <w:pPr>
        <w:spacing w:after="0" w:line="480" w:lineRule="auto"/>
        <w:contextualSpacing/>
        <w:rPr>
          <w:sz w:val="20"/>
        </w:rPr>
      </w:pPr>
      <w:r w:rsidRPr="00AB65AA">
        <w:rPr>
          <w:sz w:val="20"/>
          <w:vertAlign w:val="superscript"/>
        </w:rPr>
        <w:t xml:space="preserve">C </w:t>
      </w:r>
      <w:r w:rsidRPr="00AB65AA">
        <w:rPr>
          <w:sz w:val="20"/>
        </w:rPr>
        <w:t>Ceftriaxone indicated for some inpatients with sinusitis, but not for outpatient management</w:t>
      </w:r>
      <w:r>
        <w:rPr>
          <w:sz w:val="20"/>
        </w:rPr>
        <w:t xml:space="preserve"> of adults with sinusitis</w:t>
      </w:r>
      <w:r w:rsidRPr="00AB65AA">
        <w:rPr>
          <w:sz w:val="20"/>
        </w:rPr>
        <w:t>.</w:t>
      </w:r>
    </w:p>
    <w:p w:rsidR="00783510" w:rsidRPr="00AB65AA" w:rsidRDefault="00783510" w:rsidP="00783510">
      <w:pPr>
        <w:spacing w:after="0" w:line="480" w:lineRule="auto"/>
        <w:rPr>
          <w:sz w:val="20"/>
        </w:rPr>
      </w:pPr>
      <w:r w:rsidRPr="00AB65AA">
        <w:rPr>
          <w:sz w:val="20"/>
          <w:vertAlign w:val="superscript"/>
        </w:rPr>
        <w:t>D</w:t>
      </w:r>
      <w:r w:rsidRPr="00AB65AA">
        <w:rPr>
          <w:sz w:val="20"/>
        </w:rPr>
        <w:t xml:space="preserve"> Antibiotics seldom indicated for these outpatient conditions. In rare circumstances, antibiotics may be indicated for patients with these conditions (e.g., erythromycin for gastrointestinal motility). </w:t>
      </w:r>
    </w:p>
    <w:p w:rsidR="00783510" w:rsidRDefault="00783510" w:rsidP="00783510">
      <w:pPr>
        <w:spacing w:after="0" w:line="480" w:lineRule="auto"/>
        <w:rPr>
          <w:rFonts w:eastAsia="Times New Roman" w:cstheme="minorHAnsi"/>
          <w:color w:val="000000" w:themeColor="text1"/>
          <w:sz w:val="20"/>
        </w:rPr>
      </w:pPr>
      <w:r w:rsidRPr="00576976">
        <w:rPr>
          <w:sz w:val="20"/>
          <w:vertAlign w:val="superscript"/>
        </w:rPr>
        <w:t>E</w:t>
      </w:r>
      <w:r>
        <w:rPr>
          <w:sz w:val="20"/>
          <w:vertAlign w:val="superscript"/>
        </w:rPr>
        <w:t xml:space="preserve"> </w:t>
      </w:r>
      <w:r w:rsidRPr="008E2EF8">
        <w:rPr>
          <w:rFonts w:eastAsia="Times New Roman" w:cstheme="minorHAnsi"/>
          <w:color w:val="000000" w:themeColor="text1"/>
          <w:sz w:val="20"/>
        </w:rPr>
        <w:t>Excludes visits with diagnoses for chronic bronchitis (491), emphysema (492), or COPD (496)</w:t>
      </w:r>
      <w:r>
        <w:rPr>
          <w:rFonts w:eastAsia="Times New Roman" w:cstheme="minorHAnsi"/>
          <w:color w:val="000000" w:themeColor="text1"/>
          <w:sz w:val="20"/>
        </w:rPr>
        <w:t xml:space="preserve"> in any code position.</w:t>
      </w:r>
    </w:p>
    <w:p w:rsidR="00D24D99" w:rsidRDefault="00783510" w:rsidP="008D414E">
      <w:pPr>
        <w:spacing w:after="0" w:line="480" w:lineRule="auto"/>
      </w:pPr>
      <w:r w:rsidRPr="0031728F">
        <w:rPr>
          <w:rFonts w:eastAsia="Times New Roman" w:cstheme="minorHAnsi"/>
          <w:color w:val="000000" w:themeColor="text1"/>
          <w:sz w:val="20"/>
          <w:vertAlign w:val="superscript"/>
        </w:rPr>
        <w:lastRenderedPageBreak/>
        <w:t>F</w:t>
      </w:r>
      <w:r>
        <w:rPr>
          <w:rFonts w:eastAsia="Times New Roman" w:cstheme="minorHAnsi"/>
          <w:color w:val="000000" w:themeColor="text1"/>
          <w:sz w:val="20"/>
        </w:rPr>
        <w:t xml:space="preserve"> Includes patients with diagnoses for influenza with pneumonia (487.0) with no other diagnosis code for   pneumonia. In our study, </w:t>
      </w:r>
      <w:r w:rsidR="00E961ED">
        <w:rPr>
          <w:rFonts w:eastAsia="Times New Roman" w:cstheme="minorHAnsi"/>
          <w:color w:val="000000" w:themeColor="text1"/>
          <w:sz w:val="20"/>
        </w:rPr>
        <w:t xml:space="preserve">1.0% </w:t>
      </w:r>
      <w:r>
        <w:rPr>
          <w:rFonts w:eastAsia="Times New Roman" w:cstheme="minorHAnsi"/>
          <w:color w:val="000000" w:themeColor="text1"/>
          <w:sz w:val="20"/>
        </w:rPr>
        <w:t>of patients with an influenza diagnos</w:t>
      </w:r>
      <w:r w:rsidR="00E961ED">
        <w:rPr>
          <w:rFonts w:eastAsia="Times New Roman" w:cstheme="minorHAnsi"/>
          <w:color w:val="000000" w:themeColor="text1"/>
          <w:sz w:val="20"/>
        </w:rPr>
        <w:t>is</w:t>
      </w:r>
      <w:r>
        <w:rPr>
          <w:rFonts w:eastAsia="Times New Roman" w:cstheme="minorHAnsi"/>
          <w:color w:val="000000" w:themeColor="text1"/>
          <w:sz w:val="20"/>
        </w:rPr>
        <w:t xml:space="preserve"> had influenza with pneumonia (487.0) as the first diagnostic code listed.</w:t>
      </w:r>
    </w:p>
    <w:sectPr w:rsidR="00D2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10"/>
    <w:rsid w:val="0003476C"/>
    <w:rsid w:val="00064A50"/>
    <w:rsid w:val="000A3FEC"/>
    <w:rsid w:val="0027573E"/>
    <w:rsid w:val="003901A3"/>
    <w:rsid w:val="003A2D06"/>
    <w:rsid w:val="0053233D"/>
    <w:rsid w:val="00597534"/>
    <w:rsid w:val="00783510"/>
    <w:rsid w:val="00813951"/>
    <w:rsid w:val="008D414E"/>
    <w:rsid w:val="009133FE"/>
    <w:rsid w:val="00A32C4C"/>
    <w:rsid w:val="00BA12F8"/>
    <w:rsid w:val="00CD00E1"/>
    <w:rsid w:val="00E83159"/>
    <w:rsid w:val="00E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3B10"/>
  <w15:chartTrackingRefBased/>
  <w15:docId w15:val="{AA44F27B-C9AA-4BCB-B2BF-7469ED8B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Laura (CDC/OID/NCEZID) (CTR)</dc:creator>
  <cp:keywords/>
  <dc:description/>
  <cp:lastModifiedBy>King, Laura (CDC/OID/NCEZID) (CTR)</cp:lastModifiedBy>
  <cp:revision>4</cp:revision>
  <cp:lastPrinted>2018-10-05T17:38:00Z</cp:lastPrinted>
  <dcterms:created xsi:type="dcterms:W3CDTF">2018-10-05T17:52:00Z</dcterms:created>
  <dcterms:modified xsi:type="dcterms:W3CDTF">2018-10-05T18:47:00Z</dcterms:modified>
</cp:coreProperties>
</file>