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42AD4" w14:textId="77777777" w:rsidR="00D0180F" w:rsidRPr="0024409C" w:rsidRDefault="00D0180F" w:rsidP="00D0180F">
      <w:pPr>
        <w:pBdr>
          <w:top w:val="single" w:sz="4" w:space="1" w:color="auto"/>
        </w:pBdr>
        <w:spacing w:line="276" w:lineRule="auto"/>
        <w:rPr>
          <w:rFonts w:ascii="Helvetica Neue" w:hAnsi="Helvetica Neue"/>
          <w:b/>
          <w:sz w:val="28"/>
          <w:szCs w:val="21"/>
        </w:rPr>
      </w:pPr>
      <w:bookmarkStart w:id="0" w:name="_GoBack"/>
      <w:bookmarkEnd w:id="0"/>
    </w:p>
    <w:p w14:paraId="10C38028" w14:textId="77777777" w:rsidR="00416493" w:rsidRPr="00625651" w:rsidRDefault="00416493" w:rsidP="00416493">
      <w:pPr>
        <w:spacing w:line="480" w:lineRule="auto"/>
        <w:contextualSpacing/>
        <w:jc w:val="center"/>
        <w:rPr>
          <w:rFonts w:ascii="Times New Roman" w:hAnsi="Times New Roman" w:cs="Times New Roman"/>
          <w:b/>
          <w:sz w:val="24"/>
          <w:szCs w:val="24"/>
        </w:rPr>
      </w:pPr>
      <w:r w:rsidRPr="00625651">
        <w:rPr>
          <w:rFonts w:ascii="Times New Roman" w:hAnsi="Times New Roman" w:cs="Times New Roman"/>
          <w:b/>
          <w:sz w:val="24"/>
          <w:szCs w:val="24"/>
        </w:rPr>
        <w:t>Proportion of Incident HIV Cases among M</w:t>
      </w:r>
      <w:r>
        <w:rPr>
          <w:rFonts w:ascii="Times New Roman" w:hAnsi="Times New Roman" w:cs="Times New Roman"/>
          <w:b/>
          <w:sz w:val="24"/>
          <w:szCs w:val="24"/>
        </w:rPr>
        <w:t>en W</w:t>
      </w:r>
      <w:r w:rsidRPr="00625651">
        <w:rPr>
          <w:rFonts w:ascii="Times New Roman" w:hAnsi="Times New Roman" w:cs="Times New Roman"/>
          <w:b/>
          <w:sz w:val="24"/>
          <w:szCs w:val="24"/>
        </w:rPr>
        <w:t>ho Have Sex with Men Attributable to Gonorrhea and Chlamydia</w:t>
      </w:r>
      <w:r>
        <w:rPr>
          <w:rFonts w:ascii="Times New Roman" w:hAnsi="Times New Roman" w:cs="Times New Roman"/>
          <w:b/>
          <w:sz w:val="24"/>
          <w:szCs w:val="24"/>
        </w:rPr>
        <w:t>: A Modeling Analysis</w:t>
      </w:r>
    </w:p>
    <w:p w14:paraId="67FD5ED7" w14:textId="77777777" w:rsidR="009B3BB0" w:rsidRPr="00FB4DEC" w:rsidRDefault="009B3BB0" w:rsidP="00D0180F">
      <w:pPr>
        <w:spacing w:line="276" w:lineRule="auto"/>
        <w:rPr>
          <w:rFonts w:ascii="Helvetica Neue" w:hAnsi="Helvetica Neue" w:cs="Helvetica"/>
          <w:b/>
          <w:sz w:val="28"/>
          <w:szCs w:val="21"/>
        </w:rPr>
      </w:pPr>
    </w:p>
    <w:p w14:paraId="67866A0C" w14:textId="7A38898B" w:rsidR="004A7155" w:rsidRPr="00FB4DEC" w:rsidRDefault="004A7155" w:rsidP="004A7155">
      <w:pPr>
        <w:pStyle w:val="BodyA"/>
        <w:spacing w:line="288" w:lineRule="auto"/>
        <w:rPr>
          <w:rFonts w:ascii="Helvetica Neue" w:hAnsi="Helvetica Neue" w:cs="Arial"/>
          <w:color w:val="auto"/>
          <w:sz w:val="20"/>
          <w:szCs w:val="20"/>
          <w:vertAlign w:val="superscript"/>
        </w:rPr>
      </w:pPr>
      <w:r w:rsidRPr="00FB4DEC">
        <w:rPr>
          <w:rFonts w:ascii="Helvetica Neue" w:hAnsi="Helvetica Neue" w:cs="Arial"/>
          <w:color w:val="auto"/>
          <w:sz w:val="20"/>
          <w:szCs w:val="20"/>
        </w:rPr>
        <w:t>Jeb S. Jones, PhD</w:t>
      </w:r>
      <w:r w:rsidR="00416493">
        <w:rPr>
          <w:rFonts w:ascii="Helvetica Neue" w:hAnsi="Helvetica Neue" w:cs="Arial"/>
          <w:color w:val="auto"/>
          <w:sz w:val="20"/>
          <w:szCs w:val="20"/>
        </w:rPr>
        <w:t>, MPH, MS</w:t>
      </w:r>
      <w:r w:rsidRPr="00FB4DEC">
        <w:rPr>
          <w:rFonts w:ascii="Helvetica Neue" w:hAnsi="Helvetica Neue" w:cs="Arial"/>
          <w:color w:val="auto"/>
          <w:sz w:val="20"/>
          <w:szCs w:val="20"/>
          <w:vertAlign w:val="superscript"/>
        </w:rPr>
        <w:t>1</w:t>
      </w:r>
    </w:p>
    <w:p w14:paraId="46A85F9D" w14:textId="77777777" w:rsidR="00416493" w:rsidRPr="00FB4DEC" w:rsidRDefault="00416493" w:rsidP="00416493">
      <w:pPr>
        <w:pStyle w:val="BodyA"/>
        <w:spacing w:line="288" w:lineRule="auto"/>
        <w:rPr>
          <w:rFonts w:ascii="Helvetica Neue" w:hAnsi="Helvetica Neue" w:cs="Arial"/>
          <w:color w:val="auto"/>
          <w:sz w:val="20"/>
          <w:szCs w:val="20"/>
          <w:vertAlign w:val="superscript"/>
        </w:rPr>
      </w:pPr>
      <w:r w:rsidRPr="00FB4DEC">
        <w:rPr>
          <w:rFonts w:ascii="Helvetica Neue" w:hAnsi="Helvetica Neue" w:cs="Arial"/>
          <w:color w:val="auto"/>
          <w:sz w:val="20"/>
          <w:szCs w:val="20"/>
        </w:rPr>
        <w:t>Kevin M. Weiss, MPH</w:t>
      </w:r>
      <w:r w:rsidRPr="00FB4DEC">
        <w:rPr>
          <w:rFonts w:ascii="Helvetica Neue" w:hAnsi="Helvetica Neue" w:cs="Arial"/>
          <w:color w:val="auto"/>
          <w:sz w:val="20"/>
          <w:szCs w:val="20"/>
          <w:vertAlign w:val="superscript"/>
        </w:rPr>
        <w:t>1</w:t>
      </w:r>
    </w:p>
    <w:p w14:paraId="2F0A0BE7" w14:textId="102D164C" w:rsidR="00416493" w:rsidRDefault="00416493" w:rsidP="004A7155">
      <w:pPr>
        <w:pStyle w:val="BodyA"/>
        <w:spacing w:line="288" w:lineRule="auto"/>
        <w:rPr>
          <w:rFonts w:ascii="Helvetica Neue" w:hAnsi="Helvetica Neue" w:cs="Arial"/>
          <w:color w:val="auto"/>
          <w:sz w:val="20"/>
          <w:szCs w:val="20"/>
        </w:rPr>
      </w:pPr>
      <w:r>
        <w:rPr>
          <w:rFonts w:ascii="Helvetica Neue" w:hAnsi="Helvetica Neue" w:cs="Arial"/>
          <w:color w:val="auto"/>
          <w:sz w:val="20"/>
          <w:szCs w:val="20"/>
        </w:rPr>
        <w:t>Jonathan Mermin, MD, MPH</w:t>
      </w:r>
      <w:r>
        <w:rPr>
          <w:rFonts w:ascii="Helvetica Neue" w:hAnsi="Helvetica Neue" w:cs="Arial"/>
          <w:color w:val="auto"/>
          <w:sz w:val="20"/>
          <w:szCs w:val="20"/>
          <w:vertAlign w:val="superscript"/>
        </w:rPr>
        <w:t>2</w:t>
      </w:r>
    </w:p>
    <w:p w14:paraId="03D403E4" w14:textId="1C5DCADA" w:rsidR="00416493" w:rsidRDefault="00416493" w:rsidP="004A7155">
      <w:pPr>
        <w:pStyle w:val="BodyA"/>
        <w:spacing w:line="288" w:lineRule="auto"/>
        <w:rPr>
          <w:rFonts w:ascii="Helvetica Neue" w:hAnsi="Helvetica Neue" w:cs="Arial"/>
          <w:color w:val="auto"/>
          <w:sz w:val="20"/>
          <w:szCs w:val="20"/>
        </w:rPr>
      </w:pPr>
      <w:r>
        <w:rPr>
          <w:rFonts w:ascii="Helvetica Neue" w:hAnsi="Helvetica Neue" w:cs="Arial"/>
          <w:color w:val="auto"/>
          <w:sz w:val="20"/>
          <w:szCs w:val="20"/>
        </w:rPr>
        <w:t>Patricia Dietz, DrPH</w:t>
      </w:r>
      <w:r>
        <w:rPr>
          <w:rFonts w:ascii="Helvetica Neue" w:hAnsi="Helvetica Neue" w:cs="Arial"/>
          <w:color w:val="auto"/>
          <w:sz w:val="20"/>
          <w:szCs w:val="20"/>
          <w:vertAlign w:val="superscript"/>
        </w:rPr>
        <w:t>2</w:t>
      </w:r>
    </w:p>
    <w:p w14:paraId="0D85C0F3" w14:textId="1008F0FB" w:rsidR="00416493" w:rsidRPr="00FB4DEC" w:rsidRDefault="00416493" w:rsidP="00416493">
      <w:pPr>
        <w:pStyle w:val="BodyA"/>
        <w:spacing w:line="288" w:lineRule="auto"/>
        <w:rPr>
          <w:rFonts w:ascii="Helvetica Neue" w:hAnsi="Helvetica Neue" w:cs="Arial"/>
          <w:color w:val="auto"/>
          <w:sz w:val="20"/>
          <w:szCs w:val="20"/>
          <w:vertAlign w:val="superscript"/>
        </w:rPr>
      </w:pPr>
      <w:r w:rsidRPr="00FB4DEC">
        <w:rPr>
          <w:rFonts w:ascii="Helvetica Neue" w:hAnsi="Helvetica Neue" w:cs="Arial"/>
          <w:color w:val="auto"/>
          <w:sz w:val="20"/>
          <w:szCs w:val="20"/>
        </w:rPr>
        <w:t>Eli S. Rosenberg, PhD</w:t>
      </w:r>
      <w:r>
        <w:rPr>
          <w:rFonts w:ascii="Helvetica Neue" w:hAnsi="Helvetica Neue" w:cs="Arial"/>
          <w:color w:val="auto"/>
          <w:sz w:val="20"/>
          <w:szCs w:val="20"/>
          <w:vertAlign w:val="superscript"/>
        </w:rPr>
        <w:t>3</w:t>
      </w:r>
    </w:p>
    <w:p w14:paraId="380F5B91" w14:textId="3A2952FC" w:rsidR="004A7155" w:rsidRPr="00FB4DEC" w:rsidRDefault="004A7155" w:rsidP="004A7155">
      <w:pPr>
        <w:pStyle w:val="BodyA"/>
        <w:spacing w:line="288" w:lineRule="auto"/>
        <w:rPr>
          <w:rFonts w:ascii="Helvetica Neue" w:hAnsi="Helvetica Neue" w:cs="Arial"/>
          <w:color w:val="auto"/>
          <w:sz w:val="20"/>
          <w:szCs w:val="20"/>
        </w:rPr>
      </w:pPr>
      <w:r w:rsidRPr="00FB4DEC">
        <w:rPr>
          <w:rFonts w:ascii="Helvetica Neue" w:hAnsi="Helvetica Neue" w:cs="Arial"/>
          <w:color w:val="auto"/>
          <w:sz w:val="20"/>
          <w:szCs w:val="20"/>
        </w:rPr>
        <w:t>Thomas Gift, PhD</w:t>
      </w:r>
      <w:r w:rsidR="00416493">
        <w:rPr>
          <w:rFonts w:ascii="Helvetica Neue" w:hAnsi="Helvetica Neue" w:cs="Arial"/>
          <w:color w:val="auto"/>
          <w:sz w:val="20"/>
          <w:szCs w:val="20"/>
          <w:vertAlign w:val="superscript"/>
        </w:rPr>
        <w:t>4</w:t>
      </w:r>
    </w:p>
    <w:p w14:paraId="4038A636" w14:textId="4F4927F0" w:rsidR="004A7155" w:rsidRPr="00FB4DEC" w:rsidRDefault="004A7155" w:rsidP="004A7155">
      <w:pPr>
        <w:pStyle w:val="BodyA"/>
        <w:spacing w:line="288" w:lineRule="auto"/>
        <w:rPr>
          <w:rFonts w:ascii="Helvetica Neue" w:hAnsi="Helvetica Neue" w:cs="Arial"/>
          <w:color w:val="auto"/>
          <w:sz w:val="20"/>
          <w:szCs w:val="20"/>
          <w:vertAlign w:val="superscript"/>
        </w:rPr>
      </w:pPr>
      <w:r w:rsidRPr="00FB4DEC">
        <w:rPr>
          <w:rFonts w:ascii="Helvetica Neue" w:hAnsi="Helvetica Neue" w:cs="Arial"/>
          <w:color w:val="auto"/>
          <w:sz w:val="20"/>
          <w:szCs w:val="20"/>
        </w:rPr>
        <w:t>Harrell Chesson, PhD</w:t>
      </w:r>
      <w:r w:rsidR="00416493">
        <w:rPr>
          <w:rFonts w:ascii="Helvetica Neue" w:hAnsi="Helvetica Neue" w:cs="Arial"/>
          <w:color w:val="auto"/>
          <w:sz w:val="20"/>
          <w:szCs w:val="20"/>
          <w:vertAlign w:val="superscript"/>
        </w:rPr>
        <w:t>4</w:t>
      </w:r>
    </w:p>
    <w:p w14:paraId="33507DB8" w14:textId="112F5D72" w:rsidR="00416493" w:rsidRPr="00FB4DEC" w:rsidRDefault="00416493" w:rsidP="00416493">
      <w:pPr>
        <w:pStyle w:val="BodyA"/>
        <w:spacing w:line="288" w:lineRule="auto"/>
        <w:rPr>
          <w:rFonts w:ascii="Helvetica Neue" w:hAnsi="Helvetica Neue" w:cs="Arial"/>
          <w:color w:val="auto"/>
          <w:sz w:val="20"/>
          <w:szCs w:val="20"/>
          <w:vertAlign w:val="superscript"/>
        </w:rPr>
      </w:pPr>
      <w:r w:rsidRPr="00FB4DEC">
        <w:rPr>
          <w:rFonts w:ascii="Helvetica Neue" w:hAnsi="Helvetica Neue" w:cs="Arial"/>
          <w:color w:val="auto"/>
          <w:sz w:val="20"/>
          <w:szCs w:val="20"/>
        </w:rPr>
        <w:t>Patrick S. Sullivan, DVM, PhD</w:t>
      </w:r>
      <w:r>
        <w:rPr>
          <w:rFonts w:ascii="Helvetica Neue" w:hAnsi="Helvetica Neue" w:cs="Arial"/>
          <w:color w:val="auto"/>
          <w:sz w:val="20"/>
          <w:szCs w:val="20"/>
          <w:vertAlign w:val="superscript"/>
        </w:rPr>
        <w:t>1,5</w:t>
      </w:r>
    </w:p>
    <w:p w14:paraId="77981421" w14:textId="39AC1CBD" w:rsidR="00416493" w:rsidRDefault="00416493" w:rsidP="004A7155">
      <w:pPr>
        <w:pStyle w:val="BodyA"/>
        <w:spacing w:line="288" w:lineRule="auto"/>
        <w:rPr>
          <w:rFonts w:ascii="Helvetica Neue" w:hAnsi="Helvetica Neue" w:cs="Arial"/>
          <w:color w:val="auto"/>
          <w:sz w:val="20"/>
          <w:szCs w:val="20"/>
        </w:rPr>
      </w:pPr>
      <w:r>
        <w:rPr>
          <w:rFonts w:ascii="Helvetica Neue" w:hAnsi="Helvetica Neue" w:cs="Arial"/>
          <w:color w:val="auto"/>
          <w:sz w:val="20"/>
          <w:szCs w:val="20"/>
        </w:rPr>
        <w:t>Cynthia Lyles, PhD</w:t>
      </w:r>
      <w:r>
        <w:rPr>
          <w:rFonts w:ascii="Helvetica Neue" w:hAnsi="Helvetica Neue" w:cs="Arial"/>
          <w:color w:val="auto"/>
          <w:sz w:val="20"/>
          <w:szCs w:val="20"/>
          <w:vertAlign w:val="superscript"/>
        </w:rPr>
        <w:t>6</w:t>
      </w:r>
    </w:p>
    <w:p w14:paraId="438ED47A" w14:textId="58B1F3A9" w:rsidR="004A7155" w:rsidRPr="00416493" w:rsidRDefault="004A7155" w:rsidP="004A7155">
      <w:pPr>
        <w:pStyle w:val="BodyA"/>
        <w:spacing w:line="288" w:lineRule="auto"/>
        <w:rPr>
          <w:rFonts w:ascii="Helvetica Neue" w:hAnsi="Helvetica Neue" w:cs="Arial"/>
          <w:color w:val="auto"/>
          <w:sz w:val="20"/>
          <w:szCs w:val="20"/>
        </w:rPr>
      </w:pPr>
      <w:r w:rsidRPr="00FB4DEC">
        <w:rPr>
          <w:rFonts w:ascii="Helvetica Neue" w:hAnsi="Helvetica Neue" w:cs="Arial"/>
          <w:color w:val="auto"/>
          <w:sz w:val="20"/>
          <w:szCs w:val="20"/>
        </w:rPr>
        <w:t>Kyle</w:t>
      </w:r>
      <w:r w:rsidR="00A6150D">
        <w:rPr>
          <w:rFonts w:ascii="Helvetica Neue" w:hAnsi="Helvetica Neue" w:cs="Arial"/>
          <w:color w:val="auto"/>
          <w:sz w:val="20"/>
          <w:szCs w:val="20"/>
        </w:rPr>
        <w:t xml:space="preserve"> T.</w:t>
      </w:r>
      <w:r w:rsidRPr="00FB4DEC">
        <w:rPr>
          <w:rFonts w:ascii="Helvetica Neue" w:hAnsi="Helvetica Neue" w:cs="Arial"/>
          <w:color w:val="auto"/>
          <w:sz w:val="20"/>
          <w:szCs w:val="20"/>
        </w:rPr>
        <w:t xml:space="preserve"> Bernstein, PhD</w:t>
      </w:r>
      <w:r w:rsidR="00416493">
        <w:rPr>
          <w:rFonts w:ascii="Helvetica Neue" w:hAnsi="Helvetica Neue" w:cs="Arial"/>
          <w:color w:val="auto"/>
          <w:sz w:val="20"/>
          <w:szCs w:val="20"/>
          <w:vertAlign w:val="superscript"/>
        </w:rPr>
        <w:t>4</w:t>
      </w:r>
    </w:p>
    <w:p w14:paraId="68B545B2" w14:textId="77777777" w:rsidR="004A7155" w:rsidRPr="00FB4DEC" w:rsidRDefault="004A7155" w:rsidP="004A7155">
      <w:pPr>
        <w:pStyle w:val="BodyA"/>
        <w:spacing w:line="288" w:lineRule="auto"/>
        <w:rPr>
          <w:rFonts w:ascii="Helvetica Neue" w:hAnsi="Helvetica Neue" w:cs="Arial"/>
          <w:color w:val="auto"/>
          <w:sz w:val="20"/>
          <w:szCs w:val="20"/>
        </w:rPr>
      </w:pPr>
      <w:r w:rsidRPr="00FB4DEC">
        <w:rPr>
          <w:rFonts w:ascii="Helvetica Neue" w:hAnsi="Helvetica Neue" w:cs="Arial"/>
          <w:color w:val="auto"/>
          <w:sz w:val="20"/>
          <w:szCs w:val="20"/>
        </w:rPr>
        <w:t>Samuel M. Jenness, PhD</w:t>
      </w:r>
      <w:r w:rsidRPr="00FB4DEC">
        <w:rPr>
          <w:rFonts w:ascii="Helvetica Neue" w:hAnsi="Helvetica Neue" w:cs="Arial"/>
          <w:color w:val="auto"/>
          <w:sz w:val="20"/>
          <w:szCs w:val="20"/>
          <w:vertAlign w:val="superscript"/>
        </w:rPr>
        <w:t>1</w:t>
      </w:r>
    </w:p>
    <w:p w14:paraId="0D3FA478" w14:textId="77777777" w:rsidR="004A7155" w:rsidRPr="00FB4DEC" w:rsidRDefault="004A7155" w:rsidP="004A7155">
      <w:pPr>
        <w:pStyle w:val="Body"/>
        <w:spacing w:before="160" w:line="288" w:lineRule="auto"/>
        <w:rPr>
          <w:rFonts w:ascii="Helvetica Neue" w:eastAsia="Arial" w:hAnsi="Helvetica Neue" w:cs="Arial"/>
          <w:color w:val="auto"/>
          <w:sz w:val="20"/>
          <w:szCs w:val="20"/>
        </w:rPr>
      </w:pPr>
      <w:r w:rsidRPr="00FB4DEC">
        <w:rPr>
          <w:rFonts w:ascii="Helvetica Neue" w:hAnsi="Helvetica Neue" w:cs="Arial"/>
          <w:color w:val="auto"/>
          <w:sz w:val="20"/>
          <w:szCs w:val="20"/>
          <w:vertAlign w:val="superscript"/>
        </w:rPr>
        <w:t xml:space="preserve">1 </w:t>
      </w:r>
      <w:r w:rsidRPr="00FB4DEC">
        <w:rPr>
          <w:rFonts w:ascii="Helvetica Neue" w:hAnsi="Helvetica Neue" w:cs="Arial"/>
          <w:color w:val="auto"/>
          <w:sz w:val="20"/>
          <w:szCs w:val="20"/>
        </w:rPr>
        <w:t>Department of Epidemiology, Emory University, Atlanta, GA</w:t>
      </w:r>
    </w:p>
    <w:p w14:paraId="5D954B29" w14:textId="64CEE0B0" w:rsidR="004A7155" w:rsidRPr="00FB4DEC" w:rsidRDefault="004A7155" w:rsidP="004A7155">
      <w:pPr>
        <w:pStyle w:val="Body"/>
        <w:spacing w:line="288" w:lineRule="auto"/>
        <w:rPr>
          <w:rFonts w:ascii="Helvetica Neue" w:hAnsi="Helvetica Neue" w:cs="Arial"/>
          <w:color w:val="auto"/>
          <w:sz w:val="20"/>
          <w:szCs w:val="20"/>
        </w:rPr>
      </w:pPr>
      <w:r w:rsidRPr="00FB4DEC">
        <w:rPr>
          <w:rFonts w:ascii="Helvetica Neue" w:hAnsi="Helvetica Neue" w:cs="Arial"/>
          <w:color w:val="auto"/>
          <w:sz w:val="20"/>
          <w:szCs w:val="20"/>
          <w:vertAlign w:val="superscript"/>
        </w:rPr>
        <w:t xml:space="preserve">2 </w:t>
      </w:r>
      <w:r w:rsidR="00416493" w:rsidRPr="00416493">
        <w:rPr>
          <w:rFonts w:ascii="Helvetica Neue" w:hAnsi="Helvetica Neue" w:cs="Arial"/>
          <w:color w:val="auto"/>
          <w:sz w:val="20"/>
          <w:szCs w:val="20"/>
        </w:rPr>
        <w:t>National Center for HIV/AIDS, Viral Hepatitis, STD, and TB Prevention</w:t>
      </w:r>
      <w:r w:rsidRPr="00FB4DEC">
        <w:rPr>
          <w:rFonts w:ascii="Helvetica Neue" w:hAnsi="Helvetica Neue" w:cs="Arial"/>
          <w:color w:val="auto"/>
          <w:sz w:val="20"/>
          <w:szCs w:val="20"/>
        </w:rPr>
        <w:t xml:space="preserve">, Centers for Disease Control and Prevention, Atlanta, GA </w:t>
      </w:r>
    </w:p>
    <w:p w14:paraId="7DB43C79" w14:textId="6D6B372E" w:rsidR="00416493" w:rsidRDefault="00416493" w:rsidP="00416493">
      <w:pPr>
        <w:pStyle w:val="Body"/>
        <w:spacing w:line="288" w:lineRule="auto"/>
        <w:rPr>
          <w:rFonts w:ascii="Helvetica Neue" w:hAnsi="Helvetica Neue" w:cs="Arial"/>
          <w:color w:val="auto"/>
          <w:sz w:val="20"/>
          <w:szCs w:val="20"/>
        </w:rPr>
      </w:pPr>
      <w:r>
        <w:rPr>
          <w:rFonts w:ascii="Helvetica Neue" w:hAnsi="Helvetica Neue" w:cs="Arial"/>
          <w:color w:val="auto"/>
          <w:sz w:val="20"/>
          <w:szCs w:val="20"/>
          <w:vertAlign w:val="superscript"/>
        </w:rPr>
        <w:t>3</w:t>
      </w:r>
      <w:r w:rsidRPr="00FB4DEC">
        <w:rPr>
          <w:rFonts w:ascii="Helvetica Neue" w:hAnsi="Helvetica Neue" w:cs="Arial"/>
          <w:color w:val="auto"/>
          <w:sz w:val="20"/>
          <w:szCs w:val="20"/>
          <w:vertAlign w:val="superscript"/>
        </w:rPr>
        <w:t xml:space="preserve"> </w:t>
      </w:r>
      <w:r w:rsidRPr="00FB4DEC">
        <w:rPr>
          <w:rFonts w:ascii="Helvetica Neue" w:hAnsi="Helvetica Neue" w:cs="Arial"/>
          <w:color w:val="auto"/>
          <w:sz w:val="20"/>
          <w:szCs w:val="20"/>
        </w:rPr>
        <w:t>Department of Epidemiology and Biostatistics, University of Albany, Albany, NY</w:t>
      </w:r>
    </w:p>
    <w:p w14:paraId="4530DCD7" w14:textId="1C41E7C9" w:rsidR="00416493" w:rsidRPr="00FB4DEC" w:rsidRDefault="00416493" w:rsidP="00416493">
      <w:pPr>
        <w:pStyle w:val="Body"/>
        <w:spacing w:line="288" w:lineRule="auto"/>
        <w:rPr>
          <w:rFonts w:ascii="Helvetica Neue" w:hAnsi="Helvetica Neue" w:cs="Arial"/>
          <w:color w:val="auto"/>
          <w:sz w:val="20"/>
          <w:szCs w:val="20"/>
        </w:rPr>
      </w:pPr>
      <w:r>
        <w:rPr>
          <w:rFonts w:ascii="Helvetica Neue" w:hAnsi="Helvetica Neue" w:cs="Arial"/>
          <w:color w:val="auto"/>
          <w:sz w:val="20"/>
          <w:szCs w:val="20"/>
          <w:vertAlign w:val="superscript"/>
        </w:rPr>
        <w:t>4</w:t>
      </w:r>
      <w:r w:rsidRPr="00FB4DEC">
        <w:rPr>
          <w:rFonts w:ascii="Helvetica Neue" w:hAnsi="Helvetica Neue" w:cs="Arial"/>
          <w:color w:val="auto"/>
          <w:sz w:val="20"/>
          <w:szCs w:val="20"/>
          <w:vertAlign w:val="superscript"/>
        </w:rPr>
        <w:t xml:space="preserve"> </w:t>
      </w:r>
      <w:r w:rsidRPr="00FB4DEC">
        <w:rPr>
          <w:rFonts w:ascii="Helvetica Neue" w:hAnsi="Helvetica Neue" w:cs="Arial"/>
          <w:color w:val="auto"/>
          <w:sz w:val="20"/>
          <w:szCs w:val="20"/>
        </w:rPr>
        <w:t xml:space="preserve">Division of STD Prevention, Centers for Disease Control and Prevention, Atlanta, GA </w:t>
      </w:r>
    </w:p>
    <w:p w14:paraId="7C472A3E" w14:textId="0710976B" w:rsidR="004A7155" w:rsidRDefault="00416493" w:rsidP="004A7155">
      <w:pPr>
        <w:pStyle w:val="Body"/>
        <w:spacing w:line="288" w:lineRule="auto"/>
        <w:rPr>
          <w:rFonts w:ascii="Helvetica Neue" w:hAnsi="Helvetica Neue" w:cs="Arial"/>
          <w:color w:val="auto"/>
          <w:sz w:val="20"/>
          <w:szCs w:val="20"/>
        </w:rPr>
      </w:pPr>
      <w:r>
        <w:rPr>
          <w:rFonts w:ascii="Helvetica Neue" w:hAnsi="Helvetica Neue" w:cs="Arial"/>
          <w:color w:val="auto"/>
          <w:sz w:val="20"/>
          <w:szCs w:val="20"/>
          <w:vertAlign w:val="superscript"/>
        </w:rPr>
        <w:t>5</w:t>
      </w:r>
      <w:r w:rsidR="004A7155" w:rsidRPr="00FB4DEC">
        <w:rPr>
          <w:rFonts w:ascii="Helvetica Neue" w:hAnsi="Helvetica Neue" w:cs="Arial"/>
          <w:color w:val="auto"/>
          <w:sz w:val="20"/>
          <w:szCs w:val="20"/>
          <w:vertAlign w:val="superscript"/>
        </w:rPr>
        <w:t xml:space="preserve"> </w:t>
      </w:r>
      <w:r w:rsidR="004A7155" w:rsidRPr="00FB4DEC">
        <w:rPr>
          <w:rFonts w:ascii="Helvetica Neue" w:hAnsi="Helvetica Neue" w:cs="Arial"/>
          <w:color w:val="auto"/>
          <w:sz w:val="20"/>
          <w:szCs w:val="20"/>
        </w:rPr>
        <w:t>Department of Global Health, Emory University, Atlanta, GA</w:t>
      </w:r>
    </w:p>
    <w:p w14:paraId="74E441F5" w14:textId="77CBD4D2" w:rsidR="00416493" w:rsidRPr="00FB4DEC" w:rsidRDefault="00416493" w:rsidP="00416493">
      <w:pPr>
        <w:pStyle w:val="Body"/>
        <w:spacing w:line="288" w:lineRule="auto"/>
        <w:rPr>
          <w:rFonts w:ascii="Helvetica Neue" w:hAnsi="Helvetica Neue" w:cs="Arial"/>
          <w:color w:val="auto"/>
          <w:sz w:val="20"/>
          <w:szCs w:val="20"/>
        </w:rPr>
      </w:pPr>
      <w:r>
        <w:rPr>
          <w:rFonts w:ascii="Helvetica Neue" w:hAnsi="Helvetica Neue" w:cs="Arial"/>
          <w:color w:val="auto"/>
          <w:sz w:val="20"/>
          <w:szCs w:val="20"/>
          <w:vertAlign w:val="superscript"/>
        </w:rPr>
        <w:t>6</w:t>
      </w:r>
      <w:r w:rsidRPr="00FB4DEC">
        <w:rPr>
          <w:rFonts w:ascii="Helvetica Neue" w:hAnsi="Helvetica Neue" w:cs="Arial"/>
          <w:color w:val="auto"/>
          <w:sz w:val="20"/>
          <w:szCs w:val="20"/>
          <w:vertAlign w:val="superscript"/>
        </w:rPr>
        <w:t xml:space="preserve"> </w:t>
      </w:r>
      <w:r w:rsidRPr="00FB4DEC">
        <w:rPr>
          <w:rFonts w:ascii="Helvetica Neue" w:hAnsi="Helvetica Neue" w:cs="Arial"/>
          <w:color w:val="auto"/>
          <w:sz w:val="20"/>
          <w:szCs w:val="20"/>
        </w:rPr>
        <w:t xml:space="preserve">Division of </w:t>
      </w:r>
      <w:r>
        <w:rPr>
          <w:rFonts w:ascii="Helvetica Neue" w:hAnsi="Helvetica Neue" w:cs="Arial"/>
          <w:color w:val="auto"/>
          <w:sz w:val="20"/>
          <w:szCs w:val="20"/>
        </w:rPr>
        <w:t>HIV/AIDS</w:t>
      </w:r>
      <w:r w:rsidRPr="00FB4DEC">
        <w:rPr>
          <w:rFonts w:ascii="Helvetica Neue" w:hAnsi="Helvetica Neue" w:cs="Arial"/>
          <w:color w:val="auto"/>
          <w:sz w:val="20"/>
          <w:szCs w:val="20"/>
        </w:rPr>
        <w:t xml:space="preserve"> Prevention, Centers for Disease Control and Prevention, Atlanta, GA </w:t>
      </w:r>
    </w:p>
    <w:p w14:paraId="228D9B3F" w14:textId="77777777" w:rsidR="00416493" w:rsidRPr="00FB4DEC" w:rsidRDefault="00416493" w:rsidP="004A7155">
      <w:pPr>
        <w:pStyle w:val="Body"/>
        <w:spacing w:line="288" w:lineRule="auto"/>
        <w:rPr>
          <w:rFonts w:ascii="Helvetica Neue" w:hAnsi="Helvetica Neue" w:cs="Arial"/>
          <w:color w:val="auto"/>
          <w:sz w:val="20"/>
          <w:szCs w:val="20"/>
        </w:rPr>
      </w:pPr>
    </w:p>
    <w:p w14:paraId="7555BB66" w14:textId="77777777" w:rsidR="00D0180F" w:rsidRPr="0024409C" w:rsidRDefault="00D0180F" w:rsidP="00D0180F">
      <w:pPr>
        <w:pStyle w:val="Body"/>
        <w:spacing w:line="276" w:lineRule="auto"/>
        <w:rPr>
          <w:rFonts w:ascii="Helvetica Neue" w:eastAsia="Arial" w:hAnsi="Helvetica Neue" w:cs="Arial"/>
          <w:i/>
          <w:iCs/>
          <w:sz w:val="16"/>
          <w:szCs w:val="18"/>
        </w:rPr>
      </w:pPr>
    </w:p>
    <w:p w14:paraId="7E2C3E29" w14:textId="77777777" w:rsidR="009B3BB0" w:rsidRPr="0024409C" w:rsidRDefault="009B3BB0" w:rsidP="00D0180F">
      <w:pPr>
        <w:spacing w:before="120" w:line="360" w:lineRule="auto"/>
        <w:rPr>
          <w:rFonts w:ascii="Helvetica Neue" w:hAnsi="Helvetica Neue"/>
          <w:i/>
          <w:iCs/>
          <w:sz w:val="32"/>
          <w:szCs w:val="21"/>
        </w:rPr>
      </w:pPr>
      <w:r w:rsidRPr="0024409C">
        <w:rPr>
          <w:rFonts w:ascii="Helvetica Neue" w:hAnsi="Helvetica Neue"/>
          <w:i/>
          <w:iCs/>
          <w:sz w:val="32"/>
          <w:szCs w:val="21"/>
        </w:rPr>
        <w:t>Supplementary Technical Appendix</w:t>
      </w:r>
    </w:p>
    <w:p w14:paraId="0259A5DB" w14:textId="77777777" w:rsidR="009B3BB0" w:rsidRPr="0024409C" w:rsidRDefault="009B3BB0" w:rsidP="00D0180F">
      <w:pPr>
        <w:pBdr>
          <w:bottom w:val="single" w:sz="4" w:space="1" w:color="auto"/>
        </w:pBdr>
        <w:spacing w:line="360" w:lineRule="auto"/>
        <w:rPr>
          <w:rFonts w:ascii="Helvetica Neue" w:hAnsi="Helvetica Neue"/>
        </w:rPr>
      </w:pPr>
    </w:p>
    <w:p w14:paraId="750339FA" w14:textId="77777777" w:rsidR="00D0180F" w:rsidRPr="0024409C" w:rsidRDefault="00D0180F" w:rsidP="009B3BB0">
      <w:pPr>
        <w:spacing w:line="360" w:lineRule="auto"/>
        <w:rPr>
          <w:rFonts w:ascii="Helvetica Neue" w:hAnsi="Helvetica Neue"/>
        </w:rPr>
      </w:pPr>
    </w:p>
    <w:p w14:paraId="443C78E2" w14:textId="1A6E6704" w:rsidR="009B3BB0" w:rsidRDefault="009B3BB0" w:rsidP="009B3BB0">
      <w:pPr>
        <w:spacing w:line="360" w:lineRule="auto"/>
        <w:rPr>
          <w:rFonts w:ascii="Helvetica Neue" w:hAnsi="Helvetica Neue"/>
        </w:rPr>
      </w:pPr>
    </w:p>
    <w:p w14:paraId="1872C5B8" w14:textId="6665A318" w:rsidR="0049670D" w:rsidRDefault="0049670D" w:rsidP="009B3BB0">
      <w:pPr>
        <w:spacing w:line="360" w:lineRule="auto"/>
        <w:rPr>
          <w:rFonts w:ascii="Helvetica Neue" w:hAnsi="Helvetica Neue"/>
        </w:rPr>
      </w:pPr>
    </w:p>
    <w:p w14:paraId="642EBDA3" w14:textId="203AD614" w:rsidR="0049670D" w:rsidRDefault="0049670D" w:rsidP="009B3BB0">
      <w:pPr>
        <w:spacing w:line="360" w:lineRule="auto"/>
        <w:rPr>
          <w:rFonts w:ascii="Helvetica Neue" w:hAnsi="Helvetica Neue"/>
        </w:rPr>
      </w:pPr>
    </w:p>
    <w:p w14:paraId="0C33717E" w14:textId="0ADF1049" w:rsidR="0049670D" w:rsidRDefault="0049670D" w:rsidP="009B3BB0">
      <w:pPr>
        <w:spacing w:line="360" w:lineRule="auto"/>
        <w:rPr>
          <w:rFonts w:ascii="Helvetica Neue" w:hAnsi="Helvetica Neue"/>
        </w:rPr>
      </w:pPr>
    </w:p>
    <w:p w14:paraId="2A806C94" w14:textId="0385F08F" w:rsidR="0049670D" w:rsidRDefault="0049670D" w:rsidP="009B3BB0">
      <w:pPr>
        <w:spacing w:line="360" w:lineRule="auto"/>
        <w:rPr>
          <w:rFonts w:ascii="Helvetica Neue" w:hAnsi="Helvetica Neue"/>
        </w:rPr>
      </w:pPr>
    </w:p>
    <w:p w14:paraId="446A4031" w14:textId="78702E4B" w:rsidR="0049670D" w:rsidRDefault="0049670D" w:rsidP="009B3BB0">
      <w:pPr>
        <w:spacing w:line="360" w:lineRule="auto"/>
        <w:rPr>
          <w:rFonts w:ascii="Helvetica Neue" w:hAnsi="Helvetica Neue"/>
        </w:rPr>
      </w:pPr>
    </w:p>
    <w:p w14:paraId="02ACDFE5" w14:textId="00DE0484" w:rsidR="0049670D" w:rsidRDefault="0049670D" w:rsidP="009B3BB0">
      <w:pPr>
        <w:spacing w:line="360" w:lineRule="auto"/>
        <w:rPr>
          <w:rFonts w:ascii="Helvetica Neue" w:hAnsi="Helvetica Neue"/>
        </w:rPr>
      </w:pPr>
    </w:p>
    <w:p w14:paraId="605FED2E" w14:textId="5BE3104E" w:rsidR="0049670D" w:rsidRDefault="0049670D" w:rsidP="009B3BB0">
      <w:pPr>
        <w:spacing w:line="360" w:lineRule="auto"/>
        <w:rPr>
          <w:rFonts w:ascii="Helvetica Neue" w:hAnsi="Helvetica Neue"/>
        </w:rPr>
      </w:pPr>
    </w:p>
    <w:p w14:paraId="30F560B2" w14:textId="63635173" w:rsidR="0049670D" w:rsidRDefault="0049670D" w:rsidP="009B3BB0">
      <w:pPr>
        <w:spacing w:line="360" w:lineRule="auto"/>
        <w:rPr>
          <w:rFonts w:ascii="Helvetica Neue" w:hAnsi="Helvetica Neue"/>
        </w:rPr>
      </w:pPr>
    </w:p>
    <w:p w14:paraId="74389918" w14:textId="0E6CD696" w:rsidR="00C9047D" w:rsidRDefault="00C9047D" w:rsidP="009B3BB0">
      <w:pPr>
        <w:spacing w:line="360" w:lineRule="auto"/>
        <w:rPr>
          <w:rFonts w:ascii="Helvetica Neue" w:hAnsi="Helvetica Neue"/>
        </w:rPr>
      </w:pPr>
    </w:p>
    <w:p w14:paraId="0070E441" w14:textId="77777777" w:rsidR="00C9047D" w:rsidRPr="0024409C" w:rsidRDefault="00C9047D" w:rsidP="009B3BB0">
      <w:pPr>
        <w:spacing w:line="360" w:lineRule="auto"/>
        <w:rPr>
          <w:rFonts w:ascii="Helvetica Neue" w:hAnsi="Helvetica Neue"/>
        </w:rPr>
      </w:pPr>
    </w:p>
    <w:p w14:paraId="5EF64407" w14:textId="77777777" w:rsidR="009B3BB0" w:rsidRPr="0024409C" w:rsidRDefault="009B3BB0" w:rsidP="009B3BB0">
      <w:pPr>
        <w:spacing w:line="360" w:lineRule="auto"/>
        <w:jc w:val="center"/>
        <w:rPr>
          <w:rFonts w:ascii="Helvetica Neue" w:hAnsi="Helvetica Neue"/>
          <w:b/>
          <w:sz w:val="28"/>
        </w:rPr>
      </w:pPr>
      <w:r w:rsidRPr="0024409C">
        <w:rPr>
          <w:rFonts w:ascii="Helvetica Neue" w:hAnsi="Helvetica Neue"/>
          <w:b/>
          <w:sz w:val="28"/>
        </w:rPr>
        <w:t>TABLE OF CONTENTS</w:t>
      </w:r>
    </w:p>
    <w:p w14:paraId="7B0BD271" w14:textId="3938CA2B" w:rsidR="00685F38" w:rsidRDefault="009B3BB0">
      <w:pPr>
        <w:pStyle w:val="TOC1"/>
        <w:rPr>
          <w:rFonts w:asciiTheme="minorHAnsi" w:eastAsiaTheme="minorEastAsia" w:hAnsiTheme="minorHAnsi" w:cstheme="minorBidi"/>
          <w:b w:val="0"/>
          <w:noProof/>
        </w:rPr>
      </w:pPr>
      <w:r w:rsidRPr="0024409C">
        <w:rPr>
          <w:rFonts w:ascii="Helvetica Neue" w:hAnsi="Helvetica Neue"/>
        </w:rPr>
        <w:fldChar w:fldCharType="begin"/>
      </w:r>
      <w:r w:rsidRPr="0024409C">
        <w:rPr>
          <w:rFonts w:ascii="Helvetica Neue" w:hAnsi="Helvetica Neue"/>
        </w:rPr>
        <w:instrText xml:space="preserve"> TOC \o "1-3" </w:instrText>
      </w:r>
      <w:r w:rsidRPr="0024409C">
        <w:rPr>
          <w:rFonts w:ascii="Helvetica Neue" w:hAnsi="Helvetica Neue"/>
        </w:rPr>
        <w:fldChar w:fldCharType="separate"/>
      </w:r>
      <w:r w:rsidR="00685F38" w:rsidRPr="001249FF">
        <w:rPr>
          <w:rFonts w:ascii="Helvetica Neue" w:hAnsi="Helvetica Neue"/>
          <w:noProof/>
        </w:rPr>
        <w:t>1</w:t>
      </w:r>
      <w:r w:rsidR="00685F38">
        <w:rPr>
          <w:rFonts w:asciiTheme="minorHAnsi" w:eastAsiaTheme="minorEastAsia" w:hAnsiTheme="minorHAnsi" w:cstheme="minorBidi"/>
          <w:b w:val="0"/>
          <w:noProof/>
        </w:rPr>
        <w:tab/>
      </w:r>
      <w:r w:rsidR="00685F38" w:rsidRPr="001249FF">
        <w:rPr>
          <w:rFonts w:ascii="Helvetica Neue" w:hAnsi="Helvetica Neue"/>
          <w:noProof/>
        </w:rPr>
        <w:t>INTRODUCTION</w:t>
      </w:r>
      <w:r w:rsidR="00685F38">
        <w:rPr>
          <w:noProof/>
        </w:rPr>
        <w:tab/>
      </w:r>
      <w:r w:rsidR="00685F38">
        <w:rPr>
          <w:noProof/>
        </w:rPr>
        <w:fldChar w:fldCharType="begin"/>
      </w:r>
      <w:r w:rsidR="00685F38">
        <w:rPr>
          <w:noProof/>
        </w:rPr>
        <w:instrText xml:space="preserve"> PAGEREF _Toc522270394 \h </w:instrText>
      </w:r>
      <w:r w:rsidR="00685F38">
        <w:rPr>
          <w:noProof/>
        </w:rPr>
      </w:r>
      <w:r w:rsidR="00685F38">
        <w:rPr>
          <w:noProof/>
        </w:rPr>
        <w:fldChar w:fldCharType="separate"/>
      </w:r>
      <w:r w:rsidR="00685F38">
        <w:rPr>
          <w:noProof/>
        </w:rPr>
        <w:t>4</w:t>
      </w:r>
      <w:r w:rsidR="00685F38">
        <w:rPr>
          <w:noProof/>
        </w:rPr>
        <w:fldChar w:fldCharType="end"/>
      </w:r>
    </w:p>
    <w:p w14:paraId="0F952493" w14:textId="563E9B64"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1.1 </w:t>
      </w:r>
      <w:r>
        <w:rPr>
          <w:rFonts w:asciiTheme="minorHAnsi" w:eastAsiaTheme="minorEastAsia" w:hAnsiTheme="minorHAnsi" w:cstheme="minorBidi"/>
          <w:i w:val="0"/>
          <w:noProof/>
          <w:sz w:val="22"/>
        </w:rPr>
        <w:tab/>
      </w:r>
      <w:r w:rsidRPr="001249FF">
        <w:rPr>
          <w:rFonts w:ascii="Helvetica Neue" w:hAnsi="Helvetica Neue"/>
          <w:noProof/>
        </w:rPr>
        <w:t>Model Framework</w:t>
      </w:r>
      <w:r>
        <w:rPr>
          <w:noProof/>
        </w:rPr>
        <w:tab/>
      </w:r>
      <w:r>
        <w:rPr>
          <w:noProof/>
        </w:rPr>
        <w:fldChar w:fldCharType="begin"/>
      </w:r>
      <w:r>
        <w:rPr>
          <w:noProof/>
        </w:rPr>
        <w:instrText xml:space="preserve"> PAGEREF _Toc522270395 \h </w:instrText>
      </w:r>
      <w:r>
        <w:rPr>
          <w:noProof/>
        </w:rPr>
      </w:r>
      <w:r>
        <w:rPr>
          <w:noProof/>
        </w:rPr>
        <w:fldChar w:fldCharType="separate"/>
      </w:r>
      <w:r>
        <w:rPr>
          <w:noProof/>
        </w:rPr>
        <w:t>4</w:t>
      </w:r>
      <w:r>
        <w:rPr>
          <w:noProof/>
        </w:rPr>
        <w:fldChar w:fldCharType="end"/>
      </w:r>
    </w:p>
    <w:p w14:paraId="67A8E80D" w14:textId="102FA7F9"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1.2</w:t>
      </w:r>
      <w:r>
        <w:rPr>
          <w:rFonts w:asciiTheme="minorHAnsi" w:eastAsiaTheme="minorEastAsia" w:hAnsiTheme="minorHAnsi" w:cstheme="minorBidi"/>
          <w:i w:val="0"/>
          <w:noProof/>
          <w:sz w:val="22"/>
        </w:rPr>
        <w:tab/>
      </w:r>
      <w:r w:rsidRPr="001249FF">
        <w:rPr>
          <w:rFonts w:ascii="Helvetica Neue" w:hAnsi="Helvetica Neue"/>
          <w:noProof/>
        </w:rPr>
        <w:t>Model Software</w:t>
      </w:r>
      <w:r>
        <w:rPr>
          <w:noProof/>
        </w:rPr>
        <w:tab/>
      </w:r>
      <w:r>
        <w:rPr>
          <w:noProof/>
        </w:rPr>
        <w:fldChar w:fldCharType="begin"/>
      </w:r>
      <w:r>
        <w:rPr>
          <w:noProof/>
        </w:rPr>
        <w:instrText xml:space="preserve"> PAGEREF _Toc522270396 \h </w:instrText>
      </w:r>
      <w:r>
        <w:rPr>
          <w:noProof/>
        </w:rPr>
      </w:r>
      <w:r>
        <w:rPr>
          <w:noProof/>
        </w:rPr>
        <w:fldChar w:fldCharType="separate"/>
      </w:r>
      <w:r>
        <w:rPr>
          <w:noProof/>
        </w:rPr>
        <w:t>4</w:t>
      </w:r>
      <w:r>
        <w:rPr>
          <w:noProof/>
        </w:rPr>
        <w:fldChar w:fldCharType="end"/>
      </w:r>
    </w:p>
    <w:p w14:paraId="55DB33F5" w14:textId="282F5722"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2</w:t>
      </w:r>
      <w:r>
        <w:rPr>
          <w:rFonts w:asciiTheme="minorHAnsi" w:eastAsiaTheme="minorEastAsia" w:hAnsiTheme="minorHAnsi" w:cstheme="minorBidi"/>
          <w:b w:val="0"/>
          <w:noProof/>
        </w:rPr>
        <w:tab/>
      </w:r>
      <w:r w:rsidRPr="001249FF">
        <w:rPr>
          <w:rFonts w:ascii="Helvetica Neue" w:hAnsi="Helvetica Neue"/>
          <w:noProof/>
        </w:rPr>
        <w:t>DYNAMIC NETWORKS OF SEXUAL PARTNERSHIPS</w:t>
      </w:r>
      <w:r>
        <w:rPr>
          <w:noProof/>
        </w:rPr>
        <w:tab/>
      </w:r>
      <w:r>
        <w:rPr>
          <w:noProof/>
        </w:rPr>
        <w:fldChar w:fldCharType="begin"/>
      </w:r>
      <w:r>
        <w:rPr>
          <w:noProof/>
        </w:rPr>
        <w:instrText xml:space="preserve"> PAGEREF _Toc522270397 \h </w:instrText>
      </w:r>
      <w:r>
        <w:rPr>
          <w:noProof/>
        </w:rPr>
      </w:r>
      <w:r>
        <w:rPr>
          <w:noProof/>
        </w:rPr>
        <w:fldChar w:fldCharType="separate"/>
      </w:r>
      <w:r>
        <w:rPr>
          <w:noProof/>
        </w:rPr>
        <w:t>5</w:t>
      </w:r>
      <w:r>
        <w:rPr>
          <w:noProof/>
        </w:rPr>
        <w:fldChar w:fldCharType="end"/>
      </w:r>
    </w:p>
    <w:p w14:paraId="556513CC" w14:textId="4F631442"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2.1 </w:t>
      </w:r>
      <w:r>
        <w:rPr>
          <w:rFonts w:asciiTheme="minorHAnsi" w:eastAsiaTheme="minorEastAsia" w:hAnsiTheme="minorHAnsi" w:cstheme="minorBidi"/>
          <w:i w:val="0"/>
          <w:noProof/>
          <w:sz w:val="22"/>
        </w:rPr>
        <w:tab/>
      </w:r>
      <w:r w:rsidRPr="001249FF">
        <w:rPr>
          <w:rFonts w:ascii="Helvetica Neue" w:hAnsi="Helvetica Neue"/>
          <w:noProof/>
        </w:rPr>
        <w:t>Conceptual Representation of Sexual Networks</w:t>
      </w:r>
      <w:r>
        <w:rPr>
          <w:noProof/>
        </w:rPr>
        <w:tab/>
      </w:r>
      <w:r>
        <w:rPr>
          <w:noProof/>
        </w:rPr>
        <w:fldChar w:fldCharType="begin"/>
      </w:r>
      <w:r>
        <w:rPr>
          <w:noProof/>
        </w:rPr>
        <w:instrText xml:space="preserve"> PAGEREF _Toc522270398 \h </w:instrText>
      </w:r>
      <w:r>
        <w:rPr>
          <w:noProof/>
        </w:rPr>
      </w:r>
      <w:r>
        <w:rPr>
          <w:noProof/>
        </w:rPr>
        <w:fldChar w:fldCharType="separate"/>
      </w:r>
      <w:r>
        <w:rPr>
          <w:noProof/>
        </w:rPr>
        <w:t>5</w:t>
      </w:r>
      <w:r>
        <w:rPr>
          <w:noProof/>
        </w:rPr>
        <w:fldChar w:fldCharType="end"/>
      </w:r>
    </w:p>
    <w:p w14:paraId="21B55220" w14:textId="20EDC8BF"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2.2 </w:t>
      </w:r>
      <w:r>
        <w:rPr>
          <w:rFonts w:asciiTheme="minorHAnsi" w:eastAsiaTheme="minorEastAsia" w:hAnsiTheme="minorHAnsi" w:cstheme="minorBidi"/>
          <w:i w:val="0"/>
          <w:noProof/>
          <w:sz w:val="22"/>
        </w:rPr>
        <w:tab/>
      </w:r>
      <w:r w:rsidRPr="001249FF">
        <w:rPr>
          <w:rFonts w:ascii="Helvetica Neue" w:hAnsi="Helvetica Neue"/>
          <w:noProof/>
        </w:rPr>
        <w:t>Statistical Representation of Sexual Networks</w:t>
      </w:r>
      <w:r>
        <w:rPr>
          <w:noProof/>
        </w:rPr>
        <w:tab/>
      </w:r>
      <w:r>
        <w:rPr>
          <w:noProof/>
        </w:rPr>
        <w:fldChar w:fldCharType="begin"/>
      </w:r>
      <w:r>
        <w:rPr>
          <w:noProof/>
        </w:rPr>
        <w:instrText xml:space="preserve"> PAGEREF _Toc522270399 \h </w:instrText>
      </w:r>
      <w:r>
        <w:rPr>
          <w:noProof/>
        </w:rPr>
      </w:r>
      <w:r>
        <w:rPr>
          <w:noProof/>
        </w:rPr>
        <w:fldChar w:fldCharType="separate"/>
      </w:r>
      <w:r>
        <w:rPr>
          <w:noProof/>
        </w:rPr>
        <w:t>9</w:t>
      </w:r>
      <w:r>
        <w:rPr>
          <w:noProof/>
        </w:rPr>
        <w:fldChar w:fldCharType="end"/>
      </w:r>
    </w:p>
    <w:p w14:paraId="441C675F" w14:textId="43626E8D"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3</w:t>
      </w:r>
      <w:r>
        <w:rPr>
          <w:rFonts w:asciiTheme="minorHAnsi" w:eastAsiaTheme="minorEastAsia" w:hAnsiTheme="minorHAnsi" w:cstheme="minorBidi"/>
          <w:b w:val="0"/>
          <w:noProof/>
        </w:rPr>
        <w:tab/>
      </w:r>
      <w:r w:rsidRPr="001249FF">
        <w:rPr>
          <w:rFonts w:ascii="Helvetica Neue" w:hAnsi="Helvetica Neue"/>
          <w:noProof/>
        </w:rPr>
        <w:t>BEHAVIOR WITHIN SEXUAL PARTNERSHIPS</w:t>
      </w:r>
      <w:r>
        <w:rPr>
          <w:noProof/>
        </w:rPr>
        <w:tab/>
      </w:r>
      <w:r>
        <w:rPr>
          <w:noProof/>
        </w:rPr>
        <w:fldChar w:fldCharType="begin"/>
      </w:r>
      <w:r>
        <w:rPr>
          <w:noProof/>
        </w:rPr>
        <w:instrText xml:space="preserve"> PAGEREF _Toc522270400 \h </w:instrText>
      </w:r>
      <w:r>
        <w:rPr>
          <w:noProof/>
        </w:rPr>
      </w:r>
      <w:r>
        <w:rPr>
          <w:noProof/>
        </w:rPr>
        <w:fldChar w:fldCharType="separate"/>
      </w:r>
      <w:r>
        <w:rPr>
          <w:noProof/>
        </w:rPr>
        <w:t>12</w:t>
      </w:r>
      <w:r>
        <w:rPr>
          <w:noProof/>
        </w:rPr>
        <w:fldChar w:fldCharType="end"/>
      </w:r>
    </w:p>
    <w:p w14:paraId="10B687DF" w14:textId="76C94B2B"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3.1 </w:t>
      </w:r>
      <w:r>
        <w:rPr>
          <w:rFonts w:asciiTheme="minorHAnsi" w:eastAsiaTheme="minorEastAsia" w:hAnsiTheme="minorHAnsi" w:cstheme="minorBidi"/>
          <w:i w:val="0"/>
          <w:noProof/>
          <w:sz w:val="22"/>
        </w:rPr>
        <w:tab/>
      </w:r>
      <w:r w:rsidRPr="001249FF">
        <w:rPr>
          <w:rFonts w:ascii="Helvetica Neue" w:hAnsi="Helvetica Neue"/>
          <w:noProof/>
        </w:rPr>
        <w:t>Disclosure</w:t>
      </w:r>
      <w:r>
        <w:rPr>
          <w:noProof/>
        </w:rPr>
        <w:tab/>
      </w:r>
      <w:r>
        <w:rPr>
          <w:noProof/>
        </w:rPr>
        <w:fldChar w:fldCharType="begin"/>
      </w:r>
      <w:r>
        <w:rPr>
          <w:noProof/>
        </w:rPr>
        <w:instrText xml:space="preserve"> PAGEREF _Toc522270401 \h </w:instrText>
      </w:r>
      <w:r>
        <w:rPr>
          <w:noProof/>
        </w:rPr>
      </w:r>
      <w:r>
        <w:rPr>
          <w:noProof/>
        </w:rPr>
        <w:fldChar w:fldCharType="separate"/>
      </w:r>
      <w:r>
        <w:rPr>
          <w:noProof/>
        </w:rPr>
        <w:t>12</w:t>
      </w:r>
      <w:r>
        <w:rPr>
          <w:noProof/>
        </w:rPr>
        <w:fldChar w:fldCharType="end"/>
      </w:r>
    </w:p>
    <w:p w14:paraId="4587401E" w14:textId="47143807"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3.2 </w:t>
      </w:r>
      <w:r>
        <w:rPr>
          <w:rFonts w:asciiTheme="minorHAnsi" w:eastAsiaTheme="minorEastAsia" w:hAnsiTheme="minorHAnsi" w:cstheme="minorBidi"/>
          <w:i w:val="0"/>
          <w:noProof/>
          <w:sz w:val="22"/>
        </w:rPr>
        <w:tab/>
      </w:r>
      <w:r w:rsidRPr="001249FF">
        <w:rPr>
          <w:rFonts w:ascii="Helvetica Neue" w:hAnsi="Helvetica Neue"/>
          <w:noProof/>
        </w:rPr>
        <w:t>Number of AI Acts</w:t>
      </w:r>
      <w:r>
        <w:rPr>
          <w:noProof/>
        </w:rPr>
        <w:tab/>
      </w:r>
      <w:r>
        <w:rPr>
          <w:noProof/>
        </w:rPr>
        <w:fldChar w:fldCharType="begin"/>
      </w:r>
      <w:r>
        <w:rPr>
          <w:noProof/>
        </w:rPr>
        <w:instrText xml:space="preserve"> PAGEREF _Toc522270402 \h </w:instrText>
      </w:r>
      <w:r>
        <w:rPr>
          <w:noProof/>
        </w:rPr>
      </w:r>
      <w:r>
        <w:rPr>
          <w:noProof/>
        </w:rPr>
        <w:fldChar w:fldCharType="separate"/>
      </w:r>
      <w:r>
        <w:rPr>
          <w:noProof/>
        </w:rPr>
        <w:t>13</w:t>
      </w:r>
      <w:r>
        <w:rPr>
          <w:noProof/>
        </w:rPr>
        <w:fldChar w:fldCharType="end"/>
      </w:r>
    </w:p>
    <w:p w14:paraId="70B38B06" w14:textId="1ABD45EA"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3.3 </w:t>
      </w:r>
      <w:r>
        <w:rPr>
          <w:rFonts w:asciiTheme="minorHAnsi" w:eastAsiaTheme="minorEastAsia" w:hAnsiTheme="minorHAnsi" w:cstheme="minorBidi"/>
          <w:i w:val="0"/>
          <w:noProof/>
          <w:sz w:val="22"/>
        </w:rPr>
        <w:tab/>
      </w:r>
      <w:r w:rsidRPr="001249FF">
        <w:rPr>
          <w:rFonts w:ascii="Helvetica Neue" w:hAnsi="Helvetica Neue"/>
          <w:noProof/>
        </w:rPr>
        <w:t>Condom Use</w:t>
      </w:r>
      <w:r>
        <w:rPr>
          <w:noProof/>
        </w:rPr>
        <w:tab/>
      </w:r>
      <w:r>
        <w:rPr>
          <w:noProof/>
        </w:rPr>
        <w:fldChar w:fldCharType="begin"/>
      </w:r>
      <w:r>
        <w:rPr>
          <w:noProof/>
        </w:rPr>
        <w:instrText xml:space="preserve"> PAGEREF _Toc522270403 \h </w:instrText>
      </w:r>
      <w:r>
        <w:rPr>
          <w:noProof/>
        </w:rPr>
      </w:r>
      <w:r>
        <w:rPr>
          <w:noProof/>
        </w:rPr>
        <w:fldChar w:fldCharType="separate"/>
      </w:r>
      <w:r>
        <w:rPr>
          <w:noProof/>
        </w:rPr>
        <w:t>13</w:t>
      </w:r>
      <w:r>
        <w:rPr>
          <w:noProof/>
        </w:rPr>
        <w:fldChar w:fldCharType="end"/>
      </w:r>
    </w:p>
    <w:p w14:paraId="32E95400" w14:textId="2362CEF4"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3.4 </w:t>
      </w:r>
      <w:r>
        <w:rPr>
          <w:rFonts w:asciiTheme="minorHAnsi" w:eastAsiaTheme="minorEastAsia" w:hAnsiTheme="minorHAnsi" w:cstheme="minorBidi"/>
          <w:i w:val="0"/>
          <w:noProof/>
          <w:sz w:val="22"/>
        </w:rPr>
        <w:tab/>
      </w:r>
      <w:r w:rsidRPr="001249FF">
        <w:rPr>
          <w:rFonts w:ascii="Helvetica Neue" w:hAnsi="Helvetica Neue"/>
          <w:noProof/>
        </w:rPr>
        <w:t>Sexual Role</w:t>
      </w:r>
      <w:r>
        <w:rPr>
          <w:noProof/>
        </w:rPr>
        <w:tab/>
      </w:r>
      <w:r>
        <w:rPr>
          <w:noProof/>
        </w:rPr>
        <w:fldChar w:fldCharType="begin"/>
      </w:r>
      <w:r>
        <w:rPr>
          <w:noProof/>
        </w:rPr>
        <w:instrText xml:space="preserve"> PAGEREF _Toc522270404 \h </w:instrText>
      </w:r>
      <w:r>
        <w:rPr>
          <w:noProof/>
        </w:rPr>
      </w:r>
      <w:r>
        <w:rPr>
          <w:noProof/>
        </w:rPr>
        <w:fldChar w:fldCharType="separate"/>
      </w:r>
      <w:r>
        <w:rPr>
          <w:noProof/>
        </w:rPr>
        <w:t>14</w:t>
      </w:r>
      <w:r>
        <w:rPr>
          <w:noProof/>
        </w:rPr>
        <w:fldChar w:fldCharType="end"/>
      </w:r>
    </w:p>
    <w:p w14:paraId="3C48505A" w14:textId="2864894D"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4</w:t>
      </w:r>
      <w:r>
        <w:rPr>
          <w:rFonts w:asciiTheme="minorHAnsi" w:eastAsiaTheme="minorEastAsia" w:hAnsiTheme="minorHAnsi" w:cstheme="minorBidi"/>
          <w:b w:val="0"/>
          <w:noProof/>
        </w:rPr>
        <w:tab/>
      </w:r>
      <w:r w:rsidRPr="001249FF">
        <w:rPr>
          <w:rFonts w:ascii="Helvetica Neue" w:hAnsi="Helvetica Neue"/>
          <w:noProof/>
        </w:rPr>
        <w:t>DEMOGRAPHY</w:t>
      </w:r>
      <w:r>
        <w:rPr>
          <w:noProof/>
        </w:rPr>
        <w:tab/>
      </w:r>
      <w:r>
        <w:rPr>
          <w:noProof/>
        </w:rPr>
        <w:fldChar w:fldCharType="begin"/>
      </w:r>
      <w:r>
        <w:rPr>
          <w:noProof/>
        </w:rPr>
        <w:instrText xml:space="preserve"> PAGEREF _Toc522270405 \h </w:instrText>
      </w:r>
      <w:r>
        <w:rPr>
          <w:noProof/>
        </w:rPr>
      </w:r>
      <w:r>
        <w:rPr>
          <w:noProof/>
        </w:rPr>
        <w:fldChar w:fldCharType="separate"/>
      </w:r>
      <w:r>
        <w:rPr>
          <w:noProof/>
        </w:rPr>
        <w:t>15</w:t>
      </w:r>
      <w:r>
        <w:rPr>
          <w:noProof/>
        </w:rPr>
        <w:fldChar w:fldCharType="end"/>
      </w:r>
    </w:p>
    <w:p w14:paraId="3D3F6A0E" w14:textId="15715B6F"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4.1</w:t>
      </w:r>
      <w:r>
        <w:rPr>
          <w:rFonts w:asciiTheme="minorHAnsi" w:eastAsiaTheme="minorEastAsia" w:hAnsiTheme="minorHAnsi" w:cstheme="minorBidi"/>
          <w:i w:val="0"/>
          <w:noProof/>
          <w:sz w:val="22"/>
        </w:rPr>
        <w:tab/>
      </w:r>
      <w:r w:rsidRPr="001249FF">
        <w:rPr>
          <w:rFonts w:ascii="Helvetica Neue" w:hAnsi="Helvetica Neue"/>
          <w:noProof/>
        </w:rPr>
        <w:t>Entry at Sexual Onset</w:t>
      </w:r>
      <w:r>
        <w:rPr>
          <w:noProof/>
        </w:rPr>
        <w:tab/>
      </w:r>
      <w:r>
        <w:rPr>
          <w:noProof/>
        </w:rPr>
        <w:fldChar w:fldCharType="begin"/>
      </w:r>
      <w:r>
        <w:rPr>
          <w:noProof/>
        </w:rPr>
        <w:instrText xml:space="preserve"> PAGEREF _Toc522270406 \h </w:instrText>
      </w:r>
      <w:r>
        <w:rPr>
          <w:noProof/>
        </w:rPr>
      </w:r>
      <w:r>
        <w:rPr>
          <w:noProof/>
        </w:rPr>
        <w:fldChar w:fldCharType="separate"/>
      </w:r>
      <w:r>
        <w:rPr>
          <w:noProof/>
        </w:rPr>
        <w:t>15</w:t>
      </w:r>
      <w:r>
        <w:rPr>
          <w:noProof/>
        </w:rPr>
        <w:fldChar w:fldCharType="end"/>
      </w:r>
    </w:p>
    <w:p w14:paraId="44D4815D" w14:textId="0B707E09"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4.2 </w:t>
      </w:r>
      <w:r>
        <w:rPr>
          <w:rFonts w:asciiTheme="minorHAnsi" w:eastAsiaTheme="minorEastAsia" w:hAnsiTheme="minorHAnsi" w:cstheme="minorBidi"/>
          <w:i w:val="0"/>
          <w:noProof/>
          <w:sz w:val="22"/>
        </w:rPr>
        <w:tab/>
      </w:r>
      <w:r w:rsidRPr="001249FF">
        <w:rPr>
          <w:rFonts w:ascii="Helvetica Neue" w:hAnsi="Helvetica Neue"/>
          <w:noProof/>
        </w:rPr>
        <w:t>Initialization of Attributes</w:t>
      </w:r>
      <w:r>
        <w:rPr>
          <w:noProof/>
        </w:rPr>
        <w:tab/>
      </w:r>
      <w:r>
        <w:rPr>
          <w:noProof/>
        </w:rPr>
        <w:fldChar w:fldCharType="begin"/>
      </w:r>
      <w:r>
        <w:rPr>
          <w:noProof/>
        </w:rPr>
        <w:instrText xml:space="preserve"> PAGEREF _Toc522270407 \h </w:instrText>
      </w:r>
      <w:r>
        <w:rPr>
          <w:noProof/>
        </w:rPr>
      </w:r>
      <w:r>
        <w:rPr>
          <w:noProof/>
        </w:rPr>
        <w:fldChar w:fldCharType="separate"/>
      </w:r>
      <w:r>
        <w:rPr>
          <w:noProof/>
        </w:rPr>
        <w:t>15</w:t>
      </w:r>
      <w:r>
        <w:rPr>
          <w:noProof/>
        </w:rPr>
        <w:fldChar w:fldCharType="end"/>
      </w:r>
    </w:p>
    <w:p w14:paraId="2773A44E" w14:textId="3D79F2D2"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4.3</w:t>
      </w:r>
      <w:r>
        <w:rPr>
          <w:rFonts w:asciiTheme="minorHAnsi" w:eastAsiaTheme="minorEastAsia" w:hAnsiTheme="minorHAnsi" w:cstheme="minorBidi"/>
          <w:i w:val="0"/>
          <w:noProof/>
          <w:sz w:val="22"/>
        </w:rPr>
        <w:tab/>
      </w:r>
      <w:r w:rsidRPr="001249FF">
        <w:rPr>
          <w:rFonts w:ascii="Helvetica Neue" w:hAnsi="Helvetica Neue"/>
          <w:noProof/>
        </w:rPr>
        <w:t>Exits from the Network</w:t>
      </w:r>
      <w:r>
        <w:rPr>
          <w:noProof/>
        </w:rPr>
        <w:tab/>
      </w:r>
      <w:r>
        <w:rPr>
          <w:noProof/>
        </w:rPr>
        <w:fldChar w:fldCharType="begin"/>
      </w:r>
      <w:r>
        <w:rPr>
          <w:noProof/>
        </w:rPr>
        <w:instrText xml:space="preserve"> PAGEREF _Toc522270408 \h </w:instrText>
      </w:r>
      <w:r>
        <w:rPr>
          <w:noProof/>
        </w:rPr>
      </w:r>
      <w:r>
        <w:rPr>
          <w:noProof/>
        </w:rPr>
        <w:fldChar w:fldCharType="separate"/>
      </w:r>
      <w:r>
        <w:rPr>
          <w:noProof/>
        </w:rPr>
        <w:t>16</w:t>
      </w:r>
      <w:r>
        <w:rPr>
          <w:noProof/>
        </w:rPr>
        <w:fldChar w:fldCharType="end"/>
      </w:r>
    </w:p>
    <w:p w14:paraId="1A72FDCF" w14:textId="468B4193"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4.4</w:t>
      </w:r>
      <w:r>
        <w:rPr>
          <w:rFonts w:asciiTheme="minorHAnsi" w:eastAsiaTheme="minorEastAsia" w:hAnsiTheme="minorHAnsi" w:cstheme="minorBidi"/>
          <w:i w:val="0"/>
          <w:noProof/>
          <w:sz w:val="22"/>
        </w:rPr>
        <w:tab/>
      </w:r>
      <w:r w:rsidRPr="001249FF">
        <w:rPr>
          <w:rFonts w:ascii="Helvetica Neue" w:hAnsi="Helvetica Neue"/>
          <w:noProof/>
        </w:rPr>
        <w:t>Aging</w:t>
      </w:r>
      <w:r>
        <w:rPr>
          <w:noProof/>
        </w:rPr>
        <w:tab/>
      </w:r>
      <w:r>
        <w:rPr>
          <w:noProof/>
        </w:rPr>
        <w:fldChar w:fldCharType="begin"/>
      </w:r>
      <w:r>
        <w:rPr>
          <w:noProof/>
        </w:rPr>
        <w:instrText xml:space="preserve"> PAGEREF _Toc522270409 \h </w:instrText>
      </w:r>
      <w:r>
        <w:rPr>
          <w:noProof/>
        </w:rPr>
      </w:r>
      <w:r>
        <w:rPr>
          <w:noProof/>
        </w:rPr>
        <w:fldChar w:fldCharType="separate"/>
      </w:r>
      <w:r>
        <w:rPr>
          <w:noProof/>
        </w:rPr>
        <w:t>17</w:t>
      </w:r>
      <w:r>
        <w:rPr>
          <w:noProof/>
        </w:rPr>
        <w:fldChar w:fldCharType="end"/>
      </w:r>
    </w:p>
    <w:p w14:paraId="487FADE3" w14:textId="645D8D7D"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5</w:t>
      </w:r>
      <w:r>
        <w:rPr>
          <w:rFonts w:asciiTheme="minorHAnsi" w:eastAsiaTheme="minorEastAsia" w:hAnsiTheme="minorHAnsi" w:cstheme="minorBidi"/>
          <w:b w:val="0"/>
          <w:noProof/>
        </w:rPr>
        <w:tab/>
      </w:r>
      <w:r w:rsidRPr="001249FF">
        <w:rPr>
          <w:rFonts w:ascii="Helvetica Neue" w:hAnsi="Helvetica Neue"/>
          <w:noProof/>
        </w:rPr>
        <w:t>HIV INTRAHOST EPIDEMIOLOGY</w:t>
      </w:r>
      <w:r>
        <w:rPr>
          <w:noProof/>
        </w:rPr>
        <w:tab/>
      </w:r>
      <w:r>
        <w:rPr>
          <w:noProof/>
        </w:rPr>
        <w:fldChar w:fldCharType="begin"/>
      </w:r>
      <w:r>
        <w:rPr>
          <w:noProof/>
        </w:rPr>
        <w:instrText xml:space="preserve"> PAGEREF _Toc522270410 \h </w:instrText>
      </w:r>
      <w:r>
        <w:rPr>
          <w:noProof/>
        </w:rPr>
      </w:r>
      <w:r>
        <w:rPr>
          <w:noProof/>
        </w:rPr>
        <w:fldChar w:fldCharType="separate"/>
      </w:r>
      <w:r>
        <w:rPr>
          <w:noProof/>
        </w:rPr>
        <w:t>17</w:t>
      </w:r>
      <w:r>
        <w:rPr>
          <w:noProof/>
        </w:rPr>
        <w:fldChar w:fldCharType="end"/>
      </w:r>
    </w:p>
    <w:p w14:paraId="653EC670" w14:textId="0F3BF3D9"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6</w:t>
      </w:r>
      <w:r>
        <w:rPr>
          <w:rFonts w:asciiTheme="minorHAnsi" w:eastAsiaTheme="minorEastAsia" w:hAnsiTheme="minorHAnsi" w:cstheme="minorBidi"/>
          <w:b w:val="0"/>
          <w:noProof/>
        </w:rPr>
        <w:tab/>
      </w:r>
      <w:r w:rsidRPr="001249FF">
        <w:rPr>
          <w:rFonts w:ascii="Helvetica Neue" w:hAnsi="Helvetica Neue"/>
          <w:noProof/>
        </w:rPr>
        <w:t>HIV CLINICAL EPIDEMIOLOGY</w:t>
      </w:r>
      <w:r>
        <w:rPr>
          <w:noProof/>
        </w:rPr>
        <w:tab/>
      </w:r>
      <w:r>
        <w:rPr>
          <w:noProof/>
        </w:rPr>
        <w:fldChar w:fldCharType="begin"/>
      </w:r>
      <w:r>
        <w:rPr>
          <w:noProof/>
        </w:rPr>
        <w:instrText xml:space="preserve"> PAGEREF _Toc522270411 \h </w:instrText>
      </w:r>
      <w:r>
        <w:rPr>
          <w:noProof/>
        </w:rPr>
      </w:r>
      <w:r>
        <w:rPr>
          <w:noProof/>
        </w:rPr>
        <w:fldChar w:fldCharType="separate"/>
      </w:r>
      <w:r>
        <w:rPr>
          <w:noProof/>
        </w:rPr>
        <w:t>18</w:t>
      </w:r>
      <w:r>
        <w:rPr>
          <w:noProof/>
        </w:rPr>
        <w:fldChar w:fldCharType="end"/>
      </w:r>
    </w:p>
    <w:p w14:paraId="344FA2E3" w14:textId="7F6778E5"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6.1</w:t>
      </w:r>
      <w:r>
        <w:rPr>
          <w:rFonts w:asciiTheme="minorHAnsi" w:eastAsiaTheme="minorEastAsia" w:hAnsiTheme="minorHAnsi" w:cstheme="minorBidi"/>
          <w:i w:val="0"/>
          <w:noProof/>
          <w:sz w:val="22"/>
        </w:rPr>
        <w:tab/>
      </w:r>
      <w:r w:rsidRPr="001249FF">
        <w:rPr>
          <w:rFonts w:ascii="Helvetica Neue" w:hAnsi="Helvetica Neue"/>
          <w:noProof/>
        </w:rPr>
        <w:t xml:space="preserve"> HIV Diagnostic Testing</w:t>
      </w:r>
      <w:r>
        <w:rPr>
          <w:noProof/>
        </w:rPr>
        <w:tab/>
      </w:r>
      <w:r>
        <w:rPr>
          <w:noProof/>
        </w:rPr>
        <w:fldChar w:fldCharType="begin"/>
      </w:r>
      <w:r>
        <w:rPr>
          <w:noProof/>
        </w:rPr>
        <w:instrText xml:space="preserve"> PAGEREF _Toc522270412 \h </w:instrText>
      </w:r>
      <w:r>
        <w:rPr>
          <w:noProof/>
        </w:rPr>
      </w:r>
      <w:r>
        <w:rPr>
          <w:noProof/>
        </w:rPr>
        <w:fldChar w:fldCharType="separate"/>
      </w:r>
      <w:r>
        <w:rPr>
          <w:noProof/>
        </w:rPr>
        <w:t>18</w:t>
      </w:r>
      <w:r>
        <w:rPr>
          <w:noProof/>
        </w:rPr>
        <w:fldChar w:fldCharType="end"/>
      </w:r>
    </w:p>
    <w:p w14:paraId="6E289D07" w14:textId="75CDFCEA"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6.2</w:t>
      </w:r>
      <w:r>
        <w:rPr>
          <w:rFonts w:asciiTheme="minorHAnsi" w:eastAsiaTheme="minorEastAsia" w:hAnsiTheme="minorHAnsi" w:cstheme="minorBidi"/>
          <w:i w:val="0"/>
          <w:noProof/>
          <w:sz w:val="22"/>
        </w:rPr>
        <w:tab/>
      </w:r>
      <w:r w:rsidRPr="001249FF">
        <w:rPr>
          <w:rFonts w:ascii="Helvetica Neue" w:hAnsi="Helvetica Neue"/>
          <w:noProof/>
        </w:rPr>
        <w:t xml:space="preserve"> Antiretroviral Therapy (ART) Initiation</w:t>
      </w:r>
      <w:r>
        <w:rPr>
          <w:noProof/>
        </w:rPr>
        <w:tab/>
      </w:r>
      <w:r>
        <w:rPr>
          <w:noProof/>
        </w:rPr>
        <w:fldChar w:fldCharType="begin"/>
      </w:r>
      <w:r>
        <w:rPr>
          <w:noProof/>
        </w:rPr>
        <w:instrText xml:space="preserve"> PAGEREF _Toc522270413 \h </w:instrText>
      </w:r>
      <w:r>
        <w:rPr>
          <w:noProof/>
        </w:rPr>
      </w:r>
      <w:r>
        <w:rPr>
          <w:noProof/>
        </w:rPr>
        <w:fldChar w:fldCharType="separate"/>
      </w:r>
      <w:r>
        <w:rPr>
          <w:noProof/>
        </w:rPr>
        <w:t>19</w:t>
      </w:r>
      <w:r>
        <w:rPr>
          <w:noProof/>
        </w:rPr>
        <w:fldChar w:fldCharType="end"/>
      </w:r>
    </w:p>
    <w:p w14:paraId="271D0916" w14:textId="070E3355"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6.3</w:t>
      </w:r>
      <w:r>
        <w:rPr>
          <w:rFonts w:asciiTheme="minorHAnsi" w:eastAsiaTheme="minorEastAsia" w:hAnsiTheme="minorHAnsi" w:cstheme="minorBidi"/>
          <w:i w:val="0"/>
          <w:noProof/>
          <w:sz w:val="22"/>
        </w:rPr>
        <w:tab/>
      </w:r>
      <w:r w:rsidRPr="001249FF">
        <w:rPr>
          <w:rFonts w:ascii="Helvetica Neue" w:hAnsi="Helvetica Neue"/>
          <w:noProof/>
        </w:rPr>
        <w:t xml:space="preserve"> ART Adherence and Viral Suppression</w:t>
      </w:r>
      <w:r>
        <w:rPr>
          <w:noProof/>
        </w:rPr>
        <w:tab/>
      </w:r>
      <w:r>
        <w:rPr>
          <w:noProof/>
        </w:rPr>
        <w:fldChar w:fldCharType="begin"/>
      </w:r>
      <w:r>
        <w:rPr>
          <w:noProof/>
        </w:rPr>
        <w:instrText xml:space="preserve"> PAGEREF _Toc522270414 \h </w:instrText>
      </w:r>
      <w:r>
        <w:rPr>
          <w:noProof/>
        </w:rPr>
      </w:r>
      <w:r>
        <w:rPr>
          <w:noProof/>
        </w:rPr>
        <w:fldChar w:fldCharType="separate"/>
      </w:r>
      <w:r>
        <w:rPr>
          <w:noProof/>
        </w:rPr>
        <w:t>20</w:t>
      </w:r>
      <w:r>
        <w:rPr>
          <w:noProof/>
        </w:rPr>
        <w:fldChar w:fldCharType="end"/>
      </w:r>
    </w:p>
    <w:p w14:paraId="1FF24811" w14:textId="3BCC0ABF"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6.4</w:t>
      </w:r>
      <w:r>
        <w:rPr>
          <w:rFonts w:asciiTheme="minorHAnsi" w:eastAsiaTheme="minorEastAsia" w:hAnsiTheme="minorHAnsi" w:cstheme="minorBidi"/>
          <w:i w:val="0"/>
          <w:noProof/>
          <w:sz w:val="22"/>
        </w:rPr>
        <w:tab/>
      </w:r>
      <w:r w:rsidRPr="001249FF">
        <w:rPr>
          <w:rFonts w:ascii="Helvetica Neue" w:hAnsi="Helvetica Neue"/>
          <w:noProof/>
        </w:rPr>
        <w:t xml:space="preserve"> Disease Progression and Mortality after ART Initiation</w:t>
      </w:r>
      <w:r>
        <w:rPr>
          <w:noProof/>
        </w:rPr>
        <w:tab/>
      </w:r>
      <w:r>
        <w:rPr>
          <w:noProof/>
        </w:rPr>
        <w:fldChar w:fldCharType="begin"/>
      </w:r>
      <w:r>
        <w:rPr>
          <w:noProof/>
        </w:rPr>
        <w:instrText xml:space="preserve"> PAGEREF _Toc522270415 \h </w:instrText>
      </w:r>
      <w:r>
        <w:rPr>
          <w:noProof/>
        </w:rPr>
      </w:r>
      <w:r>
        <w:rPr>
          <w:noProof/>
        </w:rPr>
        <w:fldChar w:fldCharType="separate"/>
      </w:r>
      <w:r>
        <w:rPr>
          <w:noProof/>
        </w:rPr>
        <w:t>21</w:t>
      </w:r>
      <w:r>
        <w:rPr>
          <w:noProof/>
        </w:rPr>
        <w:fldChar w:fldCharType="end"/>
      </w:r>
    </w:p>
    <w:p w14:paraId="2CC37B0F" w14:textId="40781C7B"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7</w:t>
      </w:r>
      <w:r>
        <w:rPr>
          <w:rFonts w:asciiTheme="minorHAnsi" w:eastAsiaTheme="minorEastAsia" w:hAnsiTheme="minorHAnsi" w:cstheme="minorBidi"/>
          <w:b w:val="0"/>
          <w:noProof/>
        </w:rPr>
        <w:tab/>
      </w:r>
      <w:r w:rsidRPr="001249FF">
        <w:rPr>
          <w:rFonts w:ascii="Helvetica Neue" w:hAnsi="Helvetica Neue"/>
          <w:noProof/>
        </w:rPr>
        <w:t>HIV INTERHOST EPIDEMIOLOGY</w:t>
      </w:r>
      <w:r>
        <w:rPr>
          <w:noProof/>
        </w:rPr>
        <w:tab/>
      </w:r>
      <w:r>
        <w:rPr>
          <w:noProof/>
        </w:rPr>
        <w:fldChar w:fldCharType="begin"/>
      </w:r>
      <w:r>
        <w:rPr>
          <w:noProof/>
        </w:rPr>
        <w:instrText xml:space="preserve"> PAGEREF _Toc522270416 \h </w:instrText>
      </w:r>
      <w:r>
        <w:rPr>
          <w:noProof/>
        </w:rPr>
      </w:r>
      <w:r>
        <w:rPr>
          <w:noProof/>
        </w:rPr>
        <w:fldChar w:fldCharType="separate"/>
      </w:r>
      <w:r>
        <w:rPr>
          <w:noProof/>
        </w:rPr>
        <w:t>21</w:t>
      </w:r>
      <w:r>
        <w:rPr>
          <w:noProof/>
        </w:rPr>
        <w:fldChar w:fldCharType="end"/>
      </w:r>
    </w:p>
    <w:p w14:paraId="6254C1D8" w14:textId="3032E458"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7.1</w:t>
      </w:r>
      <w:r>
        <w:rPr>
          <w:rFonts w:asciiTheme="minorHAnsi" w:eastAsiaTheme="minorEastAsia" w:hAnsiTheme="minorHAnsi" w:cstheme="minorBidi"/>
          <w:i w:val="0"/>
          <w:noProof/>
          <w:sz w:val="22"/>
        </w:rPr>
        <w:tab/>
      </w:r>
      <w:r w:rsidRPr="001249FF">
        <w:rPr>
          <w:rFonts w:ascii="Helvetica Neue" w:hAnsi="Helvetica Neue"/>
          <w:noProof/>
        </w:rPr>
        <w:t xml:space="preserve"> Disease-Discordant Dyads</w:t>
      </w:r>
      <w:r>
        <w:rPr>
          <w:noProof/>
        </w:rPr>
        <w:tab/>
      </w:r>
      <w:r>
        <w:rPr>
          <w:noProof/>
        </w:rPr>
        <w:fldChar w:fldCharType="begin"/>
      </w:r>
      <w:r>
        <w:rPr>
          <w:noProof/>
        </w:rPr>
        <w:instrText xml:space="preserve"> PAGEREF _Toc522270417 \h </w:instrText>
      </w:r>
      <w:r>
        <w:rPr>
          <w:noProof/>
        </w:rPr>
      </w:r>
      <w:r>
        <w:rPr>
          <w:noProof/>
        </w:rPr>
        <w:fldChar w:fldCharType="separate"/>
      </w:r>
      <w:r>
        <w:rPr>
          <w:noProof/>
        </w:rPr>
        <w:t>22</w:t>
      </w:r>
      <w:r>
        <w:rPr>
          <w:noProof/>
        </w:rPr>
        <w:fldChar w:fldCharType="end"/>
      </w:r>
    </w:p>
    <w:p w14:paraId="689D5BAD" w14:textId="776D97AE"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7.2</w:t>
      </w:r>
      <w:r>
        <w:rPr>
          <w:rFonts w:asciiTheme="minorHAnsi" w:eastAsiaTheme="minorEastAsia" w:hAnsiTheme="minorHAnsi" w:cstheme="minorBidi"/>
          <w:i w:val="0"/>
          <w:noProof/>
          <w:sz w:val="22"/>
        </w:rPr>
        <w:tab/>
      </w:r>
      <w:r w:rsidRPr="001249FF">
        <w:rPr>
          <w:rFonts w:ascii="Helvetica Neue" w:hAnsi="Helvetica Neue"/>
          <w:noProof/>
        </w:rPr>
        <w:t xml:space="preserve"> Per-Act HIV Transmission Probability</w:t>
      </w:r>
      <w:r>
        <w:rPr>
          <w:noProof/>
        </w:rPr>
        <w:tab/>
      </w:r>
      <w:r>
        <w:rPr>
          <w:noProof/>
        </w:rPr>
        <w:fldChar w:fldCharType="begin"/>
      </w:r>
      <w:r>
        <w:rPr>
          <w:noProof/>
        </w:rPr>
        <w:instrText xml:space="preserve"> PAGEREF _Toc522270418 \h </w:instrText>
      </w:r>
      <w:r>
        <w:rPr>
          <w:noProof/>
        </w:rPr>
      </w:r>
      <w:r>
        <w:rPr>
          <w:noProof/>
        </w:rPr>
        <w:fldChar w:fldCharType="separate"/>
      </w:r>
      <w:r>
        <w:rPr>
          <w:noProof/>
        </w:rPr>
        <w:t>22</w:t>
      </w:r>
      <w:r>
        <w:rPr>
          <w:noProof/>
        </w:rPr>
        <w:fldChar w:fldCharType="end"/>
      </w:r>
    </w:p>
    <w:p w14:paraId="77D2DE60" w14:textId="6D2FF433"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 xml:space="preserve">8 </w:t>
      </w:r>
      <w:r>
        <w:rPr>
          <w:rFonts w:asciiTheme="minorHAnsi" w:eastAsiaTheme="minorEastAsia" w:hAnsiTheme="minorHAnsi" w:cstheme="minorBidi"/>
          <w:b w:val="0"/>
          <w:noProof/>
        </w:rPr>
        <w:tab/>
      </w:r>
      <w:r w:rsidRPr="001249FF">
        <w:rPr>
          <w:rFonts w:ascii="Helvetica Neue" w:hAnsi="Helvetica Neue"/>
          <w:noProof/>
        </w:rPr>
        <w:t>STI TRANSMISSION</w:t>
      </w:r>
      <w:r>
        <w:rPr>
          <w:noProof/>
        </w:rPr>
        <w:tab/>
      </w:r>
      <w:r>
        <w:rPr>
          <w:noProof/>
        </w:rPr>
        <w:fldChar w:fldCharType="begin"/>
      </w:r>
      <w:r>
        <w:rPr>
          <w:noProof/>
        </w:rPr>
        <w:instrText xml:space="preserve"> PAGEREF _Toc522270419 \h </w:instrText>
      </w:r>
      <w:r>
        <w:rPr>
          <w:noProof/>
        </w:rPr>
      </w:r>
      <w:r>
        <w:rPr>
          <w:noProof/>
        </w:rPr>
        <w:fldChar w:fldCharType="separate"/>
      </w:r>
      <w:r>
        <w:rPr>
          <w:noProof/>
        </w:rPr>
        <w:t>23</w:t>
      </w:r>
      <w:r>
        <w:rPr>
          <w:noProof/>
        </w:rPr>
        <w:fldChar w:fldCharType="end"/>
      </w:r>
    </w:p>
    <w:p w14:paraId="6FAA039B" w14:textId="417CFF58" w:rsidR="00685F38" w:rsidRDefault="00685F38">
      <w:pPr>
        <w:pStyle w:val="TOC2"/>
        <w:rPr>
          <w:rFonts w:asciiTheme="minorHAnsi" w:eastAsiaTheme="minorEastAsia" w:hAnsiTheme="minorHAnsi" w:cstheme="minorBidi"/>
          <w:i w:val="0"/>
          <w:noProof/>
          <w:sz w:val="22"/>
        </w:rPr>
      </w:pPr>
      <w:r w:rsidRPr="001249FF">
        <w:rPr>
          <w:rFonts w:ascii="Helvetica Neue" w:eastAsia="Arial" w:hAnsi="Helvetica Neue"/>
          <w:noProof/>
        </w:rPr>
        <w:t xml:space="preserve">8.1 </w:t>
      </w:r>
      <w:r>
        <w:rPr>
          <w:rFonts w:asciiTheme="minorHAnsi" w:eastAsiaTheme="minorEastAsia" w:hAnsiTheme="minorHAnsi" w:cstheme="minorBidi"/>
          <w:i w:val="0"/>
          <w:noProof/>
          <w:sz w:val="22"/>
        </w:rPr>
        <w:tab/>
      </w:r>
      <w:r w:rsidRPr="001249FF">
        <w:rPr>
          <w:rFonts w:ascii="Helvetica Neue" w:eastAsia="Arial" w:hAnsi="Helvetica Neue"/>
          <w:noProof/>
        </w:rPr>
        <w:t>Overview of Model Structure</w:t>
      </w:r>
      <w:r>
        <w:rPr>
          <w:noProof/>
        </w:rPr>
        <w:tab/>
      </w:r>
      <w:r>
        <w:rPr>
          <w:noProof/>
        </w:rPr>
        <w:fldChar w:fldCharType="begin"/>
      </w:r>
      <w:r>
        <w:rPr>
          <w:noProof/>
        </w:rPr>
        <w:instrText xml:space="preserve"> PAGEREF _Toc522270420 \h </w:instrText>
      </w:r>
      <w:r>
        <w:rPr>
          <w:noProof/>
        </w:rPr>
      </w:r>
      <w:r>
        <w:rPr>
          <w:noProof/>
        </w:rPr>
        <w:fldChar w:fldCharType="separate"/>
      </w:r>
      <w:r>
        <w:rPr>
          <w:noProof/>
        </w:rPr>
        <w:t>23</w:t>
      </w:r>
      <w:r>
        <w:rPr>
          <w:noProof/>
        </w:rPr>
        <w:fldChar w:fldCharType="end"/>
      </w:r>
    </w:p>
    <w:p w14:paraId="68593F87" w14:textId="3935CD6C" w:rsidR="00685F38" w:rsidRDefault="00685F38">
      <w:pPr>
        <w:pStyle w:val="TOC2"/>
        <w:rPr>
          <w:rFonts w:asciiTheme="minorHAnsi" w:eastAsiaTheme="minorEastAsia" w:hAnsiTheme="minorHAnsi" w:cstheme="minorBidi"/>
          <w:i w:val="0"/>
          <w:noProof/>
          <w:sz w:val="22"/>
        </w:rPr>
      </w:pPr>
      <w:r w:rsidRPr="001249FF">
        <w:rPr>
          <w:rFonts w:ascii="Helvetica Neue" w:eastAsia="Arial" w:hAnsi="Helvetica Neue"/>
          <w:noProof/>
        </w:rPr>
        <w:t xml:space="preserve">8.2 </w:t>
      </w:r>
      <w:r>
        <w:rPr>
          <w:rFonts w:asciiTheme="minorHAnsi" w:eastAsiaTheme="minorEastAsia" w:hAnsiTheme="minorHAnsi" w:cstheme="minorBidi"/>
          <w:i w:val="0"/>
          <w:noProof/>
          <w:sz w:val="22"/>
        </w:rPr>
        <w:tab/>
      </w:r>
      <w:r w:rsidRPr="001249FF">
        <w:rPr>
          <w:rFonts w:ascii="Helvetica Neue" w:eastAsia="Arial" w:hAnsi="Helvetica Neue"/>
          <w:noProof/>
        </w:rPr>
        <w:t>Effect of NG/CT on HIV Acquisition Probability</w:t>
      </w:r>
      <w:r>
        <w:rPr>
          <w:noProof/>
        </w:rPr>
        <w:tab/>
      </w:r>
      <w:r>
        <w:rPr>
          <w:noProof/>
        </w:rPr>
        <w:fldChar w:fldCharType="begin"/>
      </w:r>
      <w:r>
        <w:rPr>
          <w:noProof/>
        </w:rPr>
        <w:instrText xml:space="preserve"> PAGEREF _Toc522270421 \h </w:instrText>
      </w:r>
      <w:r>
        <w:rPr>
          <w:noProof/>
        </w:rPr>
      </w:r>
      <w:r>
        <w:rPr>
          <w:noProof/>
        </w:rPr>
        <w:fldChar w:fldCharType="separate"/>
      </w:r>
      <w:r>
        <w:rPr>
          <w:noProof/>
        </w:rPr>
        <w:t>24</w:t>
      </w:r>
      <w:r>
        <w:rPr>
          <w:noProof/>
        </w:rPr>
        <w:fldChar w:fldCharType="end"/>
      </w:r>
    </w:p>
    <w:p w14:paraId="42E6FF60" w14:textId="4D0709C5" w:rsidR="00685F38" w:rsidRDefault="00685F38">
      <w:pPr>
        <w:pStyle w:val="TOC2"/>
        <w:rPr>
          <w:rFonts w:asciiTheme="minorHAnsi" w:eastAsiaTheme="minorEastAsia" w:hAnsiTheme="minorHAnsi" w:cstheme="minorBidi"/>
          <w:i w:val="0"/>
          <w:noProof/>
          <w:sz w:val="22"/>
        </w:rPr>
      </w:pPr>
      <w:r>
        <w:rPr>
          <w:noProof/>
        </w:rPr>
        <w:t>8.3. Effect of NG/CT on HIV Transmission Probability</w:t>
      </w:r>
      <w:r>
        <w:rPr>
          <w:noProof/>
        </w:rPr>
        <w:tab/>
      </w:r>
      <w:r>
        <w:rPr>
          <w:noProof/>
        </w:rPr>
        <w:fldChar w:fldCharType="begin"/>
      </w:r>
      <w:r>
        <w:rPr>
          <w:noProof/>
        </w:rPr>
        <w:instrText xml:space="preserve"> PAGEREF _Toc522270422 \h </w:instrText>
      </w:r>
      <w:r>
        <w:rPr>
          <w:noProof/>
        </w:rPr>
      </w:r>
      <w:r>
        <w:rPr>
          <w:noProof/>
        </w:rPr>
        <w:fldChar w:fldCharType="separate"/>
      </w:r>
      <w:r>
        <w:rPr>
          <w:noProof/>
        </w:rPr>
        <w:t>25</w:t>
      </w:r>
      <w:r>
        <w:rPr>
          <w:noProof/>
        </w:rPr>
        <w:fldChar w:fldCharType="end"/>
      </w:r>
    </w:p>
    <w:p w14:paraId="32DFDDD8" w14:textId="56E88669" w:rsidR="00685F38" w:rsidRDefault="00685F38">
      <w:pPr>
        <w:pStyle w:val="TOC2"/>
        <w:rPr>
          <w:rFonts w:asciiTheme="minorHAnsi" w:eastAsiaTheme="minorEastAsia" w:hAnsiTheme="minorHAnsi" w:cstheme="minorBidi"/>
          <w:i w:val="0"/>
          <w:noProof/>
          <w:sz w:val="22"/>
        </w:rPr>
      </w:pPr>
      <w:r>
        <w:rPr>
          <w:noProof/>
        </w:rPr>
        <w:t>8.4  Chlamydia Transmission Probability</w:t>
      </w:r>
      <w:r>
        <w:rPr>
          <w:noProof/>
        </w:rPr>
        <w:tab/>
      </w:r>
      <w:r>
        <w:rPr>
          <w:noProof/>
        </w:rPr>
        <w:fldChar w:fldCharType="begin"/>
      </w:r>
      <w:r>
        <w:rPr>
          <w:noProof/>
        </w:rPr>
        <w:instrText xml:space="preserve"> PAGEREF _Toc522270423 \h </w:instrText>
      </w:r>
      <w:r>
        <w:rPr>
          <w:noProof/>
        </w:rPr>
      </w:r>
      <w:r>
        <w:rPr>
          <w:noProof/>
        </w:rPr>
        <w:fldChar w:fldCharType="separate"/>
      </w:r>
      <w:r>
        <w:rPr>
          <w:noProof/>
        </w:rPr>
        <w:t>25</w:t>
      </w:r>
      <w:r>
        <w:rPr>
          <w:noProof/>
        </w:rPr>
        <w:fldChar w:fldCharType="end"/>
      </w:r>
    </w:p>
    <w:p w14:paraId="514E6462" w14:textId="55D6A012"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8.5</w:t>
      </w:r>
      <w:r>
        <w:rPr>
          <w:rFonts w:asciiTheme="minorHAnsi" w:eastAsiaTheme="minorEastAsia" w:hAnsiTheme="minorHAnsi" w:cstheme="minorBidi"/>
          <w:i w:val="0"/>
          <w:noProof/>
          <w:sz w:val="22"/>
        </w:rPr>
        <w:tab/>
      </w:r>
      <w:r w:rsidRPr="001249FF">
        <w:rPr>
          <w:rFonts w:ascii="Helvetica Neue" w:hAnsi="Helvetica Neue"/>
          <w:noProof/>
        </w:rPr>
        <w:t>Gonorrhea Transmission Probability</w:t>
      </w:r>
      <w:r>
        <w:rPr>
          <w:noProof/>
        </w:rPr>
        <w:tab/>
      </w:r>
      <w:r>
        <w:rPr>
          <w:noProof/>
        </w:rPr>
        <w:fldChar w:fldCharType="begin"/>
      </w:r>
      <w:r>
        <w:rPr>
          <w:noProof/>
        </w:rPr>
        <w:instrText xml:space="preserve"> PAGEREF _Toc522270424 \h </w:instrText>
      </w:r>
      <w:r>
        <w:rPr>
          <w:noProof/>
        </w:rPr>
      </w:r>
      <w:r>
        <w:rPr>
          <w:noProof/>
        </w:rPr>
        <w:fldChar w:fldCharType="separate"/>
      </w:r>
      <w:r>
        <w:rPr>
          <w:noProof/>
        </w:rPr>
        <w:t>26</w:t>
      </w:r>
      <w:r>
        <w:rPr>
          <w:noProof/>
        </w:rPr>
        <w:fldChar w:fldCharType="end"/>
      </w:r>
    </w:p>
    <w:p w14:paraId="476DF74A" w14:textId="76E514A1"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 xml:space="preserve">9 </w:t>
      </w:r>
      <w:r>
        <w:rPr>
          <w:rFonts w:asciiTheme="minorHAnsi" w:eastAsiaTheme="minorEastAsia" w:hAnsiTheme="minorHAnsi" w:cstheme="minorBidi"/>
          <w:b w:val="0"/>
          <w:noProof/>
        </w:rPr>
        <w:tab/>
      </w:r>
      <w:r w:rsidRPr="001249FF">
        <w:rPr>
          <w:rFonts w:ascii="Helvetica Neue" w:hAnsi="Helvetica Neue"/>
          <w:noProof/>
        </w:rPr>
        <w:t>STI SYMPTOMS AND TREATMENT</w:t>
      </w:r>
      <w:r>
        <w:rPr>
          <w:noProof/>
        </w:rPr>
        <w:tab/>
      </w:r>
      <w:r>
        <w:rPr>
          <w:noProof/>
        </w:rPr>
        <w:fldChar w:fldCharType="begin"/>
      </w:r>
      <w:r>
        <w:rPr>
          <w:noProof/>
        </w:rPr>
        <w:instrText xml:space="preserve"> PAGEREF _Toc522270425 \h </w:instrText>
      </w:r>
      <w:r>
        <w:rPr>
          <w:noProof/>
        </w:rPr>
      </w:r>
      <w:r>
        <w:rPr>
          <w:noProof/>
        </w:rPr>
        <w:fldChar w:fldCharType="separate"/>
      </w:r>
      <w:r>
        <w:rPr>
          <w:noProof/>
        </w:rPr>
        <w:t>27</w:t>
      </w:r>
      <w:r>
        <w:rPr>
          <w:noProof/>
        </w:rPr>
        <w:fldChar w:fldCharType="end"/>
      </w:r>
    </w:p>
    <w:p w14:paraId="60B4BD1B" w14:textId="055F8A86"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9.1 </w:t>
      </w:r>
      <w:r>
        <w:rPr>
          <w:rFonts w:asciiTheme="minorHAnsi" w:eastAsiaTheme="minorEastAsia" w:hAnsiTheme="minorHAnsi" w:cstheme="minorBidi"/>
          <w:i w:val="0"/>
          <w:noProof/>
          <w:sz w:val="22"/>
        </w:rPr>
        <w:tab/>
      </w:r>
      <w:r w:rsidRPr="001249FF">
        <w:rPr>
          <w:rFonts w:ascii="Helvetica Neue" w:hAnsi="Helvetica Neue"/>
          <w:noProof/>
        </w:rPr>
        <w:t>Treatment</w:t>
      </w:r>
      <w:r>
        <w:rPr>
          <w:noProof/>
        </w:rPr>
        <w:tab/>
      </w:r>
      <w:r>
        <w:rPr>
          <w:noProof/>
        </w:rPr>
        <w:fldChar w:fldCharType="begin"/>
      </w:r>
      <w:r>
        <w:rPr>
          <w:noProof/>
        </w:rPr>
        <w:instrText xml:space="preserve"> PAGEREF _Toc522270426 \h </w:instrText>
      </w:r>
      <w:r>
        <w:rPr>
          <w:noProof/>
        </w:rPr>
      </w:r>
      <w:r>
        <w:rPr>
          <w:noProof/>
        </w:rPr>
        <w:fldChar w:fldCharType="separate"/>
      </w:r>
      <w:r>
        <w:rPr>
          <w:noProof/>
        </w:rPr>
        <w:t>27</w:t>
      </w:r>
      <w:r>
        <w:rPr>
          <w:noProof/>
        </w:rPr>
        <w:fldChar w:fldCharType="end"/>
      </w:r>
    </w:p>
    <w:p w14:paraId="10C78BE1" w14:textId="55055251"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9.2 </w:t>
      </w:r>
      <w:r>
        <w:rPr>
          <w:rFonts w:asciiTheme="minorHAnsi" w:eastAsiaTheme="minorEastAsia" w:hAnsiTheme="minorHAnsi" w:cstheme="minorBidi"/>
          <w:i w:val="0"/>
          <w:noProof/>
          <w:sz w:val="22"/>
        </w:rPr>
        <w:tab/>
      </w:r>
      <w:r w:rsidRPr="001249FF">
        <w:rPr>
          <w:rFonts w:ascii="Helvetica Neue" w:hAnsi="Helvetica Neue"/>
          <w:noProof/>
        </w:rPr>
        <w:t>Chlamydia Symptoms</w:t>
      </w:r>
      <w:r>
        <w:rPr>
          <w:noProof/>
        </w:rPr>
        <w:tab/>
      </w:r>
      <w:r>
        <w:rPr>
          <w:noProof/>
        </w:rPr>
        <w:fldChar w:fldCharType="begin"/>
      </w:r>
      <w:r>
        <w:rPr>
          <w:noProof/>
        </w:rPr>
        <w:instrText xml:space="preserve"> PAGEREF _Toc522270427 \h </w:instrText>
      </w:r>
      <w:r>
        <w:rPr>
          <w:noProof/>
        </w:rPr>
      </w:r>
      <w:r>
        <w:rPr>
          <w:noProof/>
        </w:rPr>
        <w:fldChar w:fldCharType="separate"/>
      </w:r>
      <w:r>
        <w:rPr>
          <w:noProof/>
        </w:rPr>
        <w:t>29</w:t>
      </w:r>
      <w:r>
        <w:rPr>
          <w:noProof/>
        </w:rPr>
        <w:fldChar w:fldCharType="end"/>
      </w:r>
    </w:p>
    <w:p w14:paraId="524DECC3" w14:textId="63A94460"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 xml:space="preserve">9.3 </w:t>
      </w:r>
      <w:r>
        <w:rPr>
          <w:rFonts w:asciiTheme="minorHAnsi" w:eastAsiaTheme="minorEastAsia" w:hAnsiTheme="minorHAnsi" w:cstheme="minorBidi"/>
          <w:i w:val="0"/>
          <w:noProof/>
          <w:sz w:val="22"/>
        </w:rPr>
        <w:tab/>
      </w:r>
      <w:r w:rsidRPr="001249FF">
        <w:rPr>
          <w:rFonts w:ascii="Helvetica Neue" w:hAnsi="Helvetica Neue"/>
          <w:noProof/>
        </w:rPr>
        <w:t>Gonorrhea Symptoms</w:t>
      </w:r>
      <w:r>
        <w:rPr>
          <w:noProof/>
        </w:rPr>
        <w:tab/>
      </w:r>
      <w:r>
        <w:rPr>
          <w:noProof/>
        </w:rPr>
        <w:fldChar w:fldCharType="begin"/>
      </w:r>
      <w:r>
        <w:rPr>
          <w:noProof/>
        </w:rPr>
        <w:instrText xml:space="preserve"> PAGEREF _Toc522270428 \h </w:instrText>
      </w:r>
      <w:r>
        <w:rPr>
          <w:noProof/>
        </w:rPr>
      </w:r>
      <w:r>
        <w:rPr>
          <w:noProof/>
        </w:rPr>
        <w:fldChar w:fldCharType="separate"/>
      </w:r>
      <w:r>
        <w:rPr>
          <w:noProof/>
        </w:rPr>
        <w:t>30</w:t>
      </w:r>
      <w:r>
        <w:rPr>
          <w:noProof/>
        </w:rPr>
        <w:fldChar w:fldCharType="end"/>
      </w:r>
    </w:p>
    <w:p w14:paraId="1280CD42" w14:textId="4103D637"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lastRenderedPageBreak/>
        <w:t xml:space="preserve">10 </w:t>
      </w:r>
      <w:r>
        <w:rPr>
          <w:rFonts w:asciiTheme="minorHAnsi" w:eastAsiaTheme="minorEastAsia" w:hAnsiTheme="minorHAnsi" w:cstheme="minorBidi"/>
          <w:b w:val="0"/>
          <w:noProof/>
        </w:rPr>
        <w:tab/>
      </w:r>
      <w:r w:rsidRPr="001249FF">
        <w:rPr>
          <w:rFonts w:ascii="Helvetica Neue" w:hAnsi="Helvetica Neue"/>
          <w:noProof/>
        </w:rPr>
        <w:t>STI DURATION AND RECOVERY</w:t>
      </w:r>
      <w:r>
        <w:rPr>
          <w:noProof/>
        </w:rPr>
        <w:tab/>
      </w:r>
      <w:r>
        <w:rPr>
          <w:noProof/>
        </w:rPr>
        <w:fldChar w:fldCharType="begin"/>
      </w:r>
      <w:r>
        <w:rPr>
          <w:noProof/>
        </w:rPr>
        <w:instrText xml:space="preserve"> PAGEREF _Toc522270429 \h </w:instrText>
      </w:r>
      <w:r>
        <w:rPr>
          <w:noProof/>
        </w:rPr>
      </w:r>
      <w:r>
        <w:rPr>
          <w:noProof/>
        </w:rPr>
        <w:fldChar w:fldCharType="separate"/>
      </w:r>
      <w:r>
        <w:rPr>
          <w:noProof/>
        </w:rPr>
        <w:t>31</w:t>
      </w:r>
      <w:r>
        <w:rPr>
          <w:noProof/>
        </w:rPr>
        <w:fldChar w:fldCharType="end"/>
      </w:r>
    </w:p>
    <w:p w14:paraId="724F1D56" w14:textId="7D1C0DBF"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10.1</w:t>
      </w:r>
      <w:r>
        <w:rPr>
          <w:rFonts w:asciiTheme="minorHAnsi" w:eastAsiaTheme="minorEastAsia" w:hAnsiTheme="minorHAnsi" w:cstheme="minorBidi"/>
          <w:i w:val="0"/>
          <w:noProof/>
          <w:sz w:val="22"/>
        </w:rPr>
        <w:tab/>
      </w:r>
      <w:r w:rsidRPr="001249FF">
        <w:rPr>
          <w:rFonts w:ascii="Helvetica Neue" w:hAnsi="Helvetica Neue"/>
          <w:noProof/>
        </w:rPr>
        <w:t xml:space="preserve"> Duration of Chlamydia Infection</w:t>
      </w:r>
      <w:r>
        <w:rPr>
          <w:noProof/>
        </w:rPr>
        <w:tab/>
      </w:r>
      <w:r>
        <w:rPr>
          <w:noProof/>
        </w:rPr>
        <w:fldChar w:fldCharType="begin"/>
      </w:r>
      <w:r>
        <w:rPr>
          <w:noProof/>
        </w:rPr>
        <w:instrText xml:space="preserve"> PAGEREF _Toc522270430 \h </w:instrText>
      </w:r>
      <w:r>
        <w:rPr>
          <w:noProof/>
        </w:rPr>
      </w:r>
      <w:r>
        <w:rPr>
          <w:noProof/>
        </w:rPr>
        <w:fldChar w:fldCharType="separate"/>
      </w:r>
      <w:r>
        <w:rPr>
          <w:noProof/>
        </w:rPr>
        <w:t>31</w:t>
      </w:r>
      <w:r>
        <w:rPr>
          <w:noProof/>
        </w:rPr>
        <w:fldChar w:fldCharType="end"/>
      </w:r>
    </w:p>
    <w:p w14:paraId="60256D91" w14:textId="48AAF262"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10.2</w:t>
      </w:r>
      <w:r>
        <w:rPr>
          <w:rFonts w:asciiTheme="minorHAnsi" w:eastAsiaTheme="minorEastAsia" w:hAnsiTheme="minorHAnsi" w:cstheme="minorBidi"/>
          <w:i w:val="0"/>
          <w:noProof/>
          <w:sz w:val="22"/>
        </w:rPr>
        <w:tab/>
      </w:r>
      <w:r w:rsidRPr="001249FF">
        <w:rPr>
          <w:rFonts w:ascii="Helvetica Neue" w:hAnsi="Helvetica Neue"/>
          <w:noProof/>
        </w:rPr>
        <w:t xml:space="preserve"> Duration of Gonorrhea Infection</w:t>
      </w:r>
      <w:r>
        <w:rPr>
          <w:noProof/>
        </w:rPr>
        <w:tab/>
      </w:r>
      <w:r>
        <w:rPr>
          <w:noProof/>
        </w:rPr>
        <w:fldChar w:fldCharType="begin"/>
      </w:r>
      <w:r>
        <w:rPr>
          <w:noProof/>
        </w:rPr>
        <w:instrText xml:space="preserve"> PAGEREF _Toc522270431 \h </w:instrText>
      </w:r>
      <w:r>
        <w:rPr>
          <w:noProof/>
        </w:rPr>
      </w:r>
      <w:r>
        <w:rPr>
          <w:noProof/>
        </w:rPr>
        <w:fldChar w:fldCharType="separate"/>
      </w:r>
      <w:r>
        <w:rPr>
          <w:noProof/>
        </w:rPr>
        <w:t>32</w:t>
      </w:r>
      <w:r>
        <w:rPr>
          <w:noProof/>
        </w:rPr>
        <w:fldChar w:fldCharType="end"/>
      </w:r>
    </w:p>
    <w:p w14:paraId="16E9414C" w14:textId="6AAD144F"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 xml:space="preserve">11 </w:t>
      </w:r>
      <w:r>
        <w:rPr>
          <w:rFonts w:asciiTheme="minorHAnsi" w:eastAsiaTheme="minorEastAsia" w:hAnsiTheme="minorHAnsi" w:cstheme="minorBidi"/>
          <w:b w:val="0"/>
          <w:noProof/>
        </w:rPr>
        <w:tab/>
      </w:r>
      <w:r w:rsidRPr="001249FF">
        <w:rPr>
          <w:rFonts w:ascii="Helvetica Neue" w:hAnsi="Helvetica Neue"/>
          <w:noProof/>
        </w:rPr>
        <w:t>STI SCREENING</w:t>
      </w:r>
      <w:r>
        <w:rPr>
          <w:noProof/>
        </w:rPr>
        <w:tab/>
      </w:r>
      <w:r>
        <w:rPr>
          <w:noProof/>
        </w:rPr>
        <w:fldChar w:fldCharType="begin"/>
      </w:r>
      <w:r>
        <w:rPr>
          <w:noProof/>
        </w:rPr>
        <w:instrText xml:space="preserve"> PAGEREF _Toc522270432 \h </w:instrText>
      </w:r>
      <w:r>
        <w:rPr>
          <w:noProof/>
        </w:rPr>
      </w:r>
      <w:r>
        <w:rPr>
          <w:noProof/>
        </w:rPr>
        <w:fldChar w:fldCharType="separate"/>
      </w:r>
      <w:r>
        <w:rPr>
          <w:noProof/>
        </w:rPr>
        <w:t>32</w:t>
      </w:r>
      <w:r>
        <w:rPr>
          <w:noProof/>
        </w:rPr>
        <w:fldChar w:fldCharType="end"/>
      </w:r>
    </w:p>
    <w:p w14:paraId="0D7AD07D" w14:textId="4AC333C9"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11.1</w:t>
      </w:r>
      <w:r>
        <w:rPr>
          <w:rFonts w:asciiTheme="minorHAnsi" w:eastAsiaTheme="minorEastAsia" w:hAnsiTheme="minorHAnsi" w:cstheme="minorBidi"/>
          <w:i w:val="0"/>
          <w:noProof/>
          <w:sz w:val="22"/>
        </w:rPr>
        <w:tab/>
      </w:r>
      <w:r w:rsidRPr="001249FF">
        <w:rPr>
          <w:rFonts w:ascii="Helvetica Neue" w:hAnsi="Helvetica Neue"/>
          <w:noProof/>
        </w:rPr>
        <w:t xml:space="preserve"> STI Screening Indications and Screening Eligibility</w:t>
      </w:r>
      <w:r>
        <w:rPr>
          <w:noProof/>
        </w:rPr>
        <w:tab/>
      </w:r>
      <w:r>
        <w:rPr>
          <w:noProof/>
        </w:rPr>
        <w:fldChar w:fldCharType="begin"/>
      </w:r>
      <w:r>
        <w:rPr>
          <w:noProof/>
        </w:rPr>
        <w:instrText xml:space="preserve"> PAGEREF _Toc522270433 \h </w:instrText>
      </w:r>
      <w:r>
        <w:rPr>
          <w:noProof/>
        </w:rPr>
      </w:r>
      <w:r>
        <w:rPr>
          <w:noProof/>
        </w:rPr>
        <w:fldChar w:fldCharType="separate"/>
      </w:r>
      <w:r>
        <w:rPr>
          <w:noProof/>
        </w:rPr>
        <w:t>32</w:t>
      </w:r>
      <w:r>
        <w:rPr>
          <w:noProof/>
        </w:rPr>
        <w:fldChar w:fldCharType="end"/>
      </w:r>
    </w:p>
    <w:p w14:paraId="3B9CF0A6" w14:textId="3B34BE4E"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11.2</w:t>
      </w:r>
      <w:r>
        <w:rPr>
          <w:rFonts w:asciiTheme="minorHAnsi" w:eastAsiaTheme="minorEastAsia" w:hAnsiTheme="minorHAnsi" w:cstheme="minorBidi"/>
          <w:i w:val="0"/>
          <w:noProof/>
          <w:sz w:val="22"/>
        </w:rPr>
        <w:tab/>
      </w:r>
      <w:r w:rsidRPr="001249FF">
        <w:rPr>
          <w:rFonts w:ascii="Helvetica Neue" w:hAnsi="Helvetica Neue"/>
          <w:noProof/>
        </w:rPr>
        <w:t xml:space="preserve"> STI Screening Process</w:t>
      </w:r>
      <w:r>
        <w:rPr>
          <w:noProof/>
        </w:rPr>
        <w:tab/>
      </w:r>
      <w:r>
        <w:rPr>
          <w:noProof/>
        </w:rPr>
        <w:fldChar w:fldCharType="begin"/>
      </w:r>
      <w:r>
        <w:rPr>
          <w:noProof/>
        </w:rPr>
        <w:instrText xml:space="preserve"> PAGEREF _Toc522270434 \h </w:instrText>
      </w:r>
      <w:r>
        <w:rPr>
          <w:noProof/>
        </w:rPr>
      </w:r>
      <w:r>
        <w:rPr>
          <w:noProof/>
        </w:rPr>
        <w:fldChar w:fldCharType="separate"/>
      </w:r>
      <w:r>
        <w:rPr>
          <w:noProof/>
        </w:rPr>
        <w:t>33</w:t>
      </w:r>
      <w:r>
        <w:rPr>
          <w:noProof/>
        </w:rPr>
        <w:fldChar w:fldCharType="end"/>
      </w:r>
    </w:p>
    <w:p w14:paraId="0EC8F4B6" w14:textId="2B6B34AB"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11.3</w:t>
      </w:r>
      <w:r>
        <w:rPr>
          <w:rFonts w:asciiTheme="minorHAnsi" w:eastAsiaTheme="minorEastAsia" w:hAnsiTheme="minorHAnsi" w:cstheme="minorBidi"/>
          <w:i w:val="0"/>
          <w:noProof/>
          <w:sz w:val="22"/>
        </w:rPr>
        <w:tab/>
      </w:r>
      <w:r w:rsidRPr="001249FF">
        <w:rPr>
          <w:rFonts w:ascii="Helvetica Neue" w:hAnsi="Helvetica Neue"/>
          <w:noProof/>
        </w:rPr>
        <w:t xml:space="preserve"> Testing Adherence and Progression to STI Treatment</w:t>
      </w:r>
      <w:r>
        <w:rPr>
          <w:noProof/>
        </w:rPr>
        <w:tab/>
      </w:r>
      <w:r>
        <w:rPr>
          <w:noProof/>
        </w:rPr>
        <w:fldChar w:fldCharType="begin"/>
      </w:r>
      <w:r>
        <w:rPr>
          <w:noProof/>
        </w:rPr>
        <w:instrText xml:space="preserve"> PAGEREF _Toc522270435 \h </w:instrText>
      </w:r>
      <w:r>
        <w:rPr>
          <w:noProof/>
        </w:rPr>
      </w:r>
      <w:r>
        <w:rPr>
          <w:noProof/>
        </w:rPr>
        <w:fldChar w:fldCharType="separate"/>
      </w:r>
      <w:r>
        <w:rPr>
          <w:noProof/>
        </w:rPr>
        <w:t>33</w:t>
      </w:r>
      <w:r>
        <w:rPr>
          <w:noProof/>
        </w:rPr>
        <w:fldChar w:fldCharType="end"/>
      </w:r>
    </w:p>
    <w:p w14:paraId="4E60ACE1" w14:textId="34723CBF"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12</w:t>
      </w:r>
      <w:r>
        <w:rPr>
          <w:rFonts w:asciiTheme="minorHAnsi" w:eastAsiaTheme="minorEastAsia" w:hAnsiTheme="minorHAnsi" w:cstheme="minorBidi"/>
          <w:b w:val="0"/>
          <w:noProof/>
        </w:rPr>
        <w:tab/>
      </w:r>
      <w:r w:rsidRPr="001249FF">
        <w:rPr>
          <w:rFonts w:ascii="Helvetica Neue" w:hAnsi="Helvetica Neue"/>
          <w:noProof/>
        </w:rPr>
        <w:t>MODEL CALIBRATION AND PARAMETER ESTIMATION</w:t>
      </w:r>
      <w:r>
        <w:rPr>
          <w:noProof/>
        </w:rPr>
        <w:tab/>
      </w:r>
      <w:r>
        <w:rPr>
          <w:noProof/>
        </w:rPr>
        <w:fldChar w:fldCharType="begin"/>
      </w:r>
      <w:r>
        <w:rPr>
          <w:noProof/>
        </w:rPr>
        <w:instrText xml:space="preserve"> PAGEREF _Toc522270436 \h </w:instrText>
      </w:r>
      <w:r>
        <w:rPr>
          <w:noProof/>
        </w:rPr>
      </w:r>
      <w:r>
        <w:rPr>
          <w:noProof/>
        </w:rPr>
        <w:fldChar w:fldCharType="separate"/>
      </w:r>
      <w:r>
        <w:rPr>
          <w:noProof/>
        </w:rPr>
        <w:t>34</w:t>
      </w:r>
      <w:r>
        <w:rPr>
          <w:noProof/>
        </w:rPr>
        <w:fldChar w:fldCharType="end"/>
      </w:r>
    </w:p>
    <w:p w14:paraId="6DD50781" w14:textId="66A76F06"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12.1</w:t>
      </w:r>
      <w:r>
        <w:rPr>
          <w:rFonts w:asciiTheme="minorHAnsi" w:eastAsiaTheme="minorEastAsia" w:hAnsiTheme="minorHAnsi" w:cstheme="minorBidi"/>
          <w:i w:val="0"/>
          <w:noProof/>
          <w:sz w:val="22"/>
        </w:rPr>
        <w:tab/>
      </w:r>
      <w:r w:rsidRPr="001249FF">
        <w:rPr>
          <w:rFonts w:ascii="Helvetica Neue" w:hAnsi="Helvetica Neue"/>
          <w:noProof/>
        </w:rPr>
        <w:t xml:space="preserve"> Model Calibration</w:t>
      </w:r>
      <w:r>
        <w:rPr>
          <w:noProof/>
        </w:rPr>
        <w:tab/>
      </w:r>
      <w:r>
        <w:rPr>
          <w:noProof/>
        </w:rPr>
        <w:fldChar w:fldCharType="begin"/>
      </w:r>
      <w:r>
        <w:rPr>
          <w:noProof/>
        </w:rPr>
        <w:instrText xml:space="preserve"> PAGEREF _Toc522270437 \h </w:instrText>
      </w:r>
      <w:r>
        <w:rPr>
          <w:noProof/>
        </w:rPr>
      </w:r>
      <w:r>
        <w:rPr>
          <w:noProof/>
        </w:rPr>
        <w:fldChar w:fldCharType="separate"/>
      </w:r>
      <w:r>
        <w:rPr>
          <w:noProof/>
        </w:rPr>
        <w:t>34</w:t>
      </w:r>
      <w:r>
        <w:rPr>
          <w:noProof/>
        </w:rPr>
        <w:fldChar w:fldCharType="end"/>
      </w:r>
    </w:p>
    <w:p w14:paraId="208DE2EA" w14:textId="69B1BBE2" w:rsidR="00685F38" w:rsidRDefault="00685F38">
      <w:pPr>
        <w:pStyle w:val="TOC2"/>
        <w:rPr>
          <w:rFonts w:asciiTheme="minorHAnsi" w:eastAsiaTheme="minorEastAsia" w:hAnsiTheme="minorHAnsi" w:cstheme="minorBidi"/>
          <w:i w:val="0"/>
          <w:noProof/>
          <w:sz w:val="22"/>
        </w:rPr>
      </w:pPr>
      <w:r w:rsidRPr="001249FF">
        <w:rPr>
          <w:rFonts w:ascii="Helvetica Neue" w:hAnsi="Helvetica Neue"/>
          <w:noProof/>
        </w:rPr>
        <w:t>12.2</w:t>
      </w:r>
      <w:r>
        <w:rPr>
          <w:rFonts w:asciiTheme="minorHAnsi" w:eastAsiaTheme="minorEastAsia" w:hAnsiTheme="minorHAnsi" w:cstheme="minorBidi"/>
          <w:i w:val="0"/>
          <w:noProof/>
          <w:sz w:val="22"/>
        </w:rPr>
        <w:tab/>
      </w:r>
      <w:r w:rsidRPr="001249FF">
        <w:rPr>
          <w:rFonts w:ascii="Helvetica Neue" w:hAnsi="Helvetica Neue"/>
          <w:noProof/>
        </w:rPr>
        <w:t xml:space="preserve"> Model Simulations</w:t>
      </w:r>
      <w:r>
        <w:rPr>
          <w:noProof/>
        </w:rPr>
        <w:tab/>
      </w:r>
      <w:r>
        <w:rPr>
          <w:noProof/>
        </w:rPr>
        <w:fldChar w:fldCharType="begin"/>
      </w:r>
      <w:r>
        <w:rPr>
          <w:noProof/>
        </w:rPr>
        <w:instrText xml:space="preserve"> PAGEREF _Toc522270438 \h </w:instrText>
      </w:r>
      <w:r>
        <w:rPr>
          <w:noProof/>
        </w:rPr>
      </w:r>
      <w:r>
        <w:rPr>
          <w:noProof/>
        </w:rPr>
        <w:fldChar w:fldCharType="separate"/>
      </w:r>
      <w:r>
        <w:rPr>
          <w:noProof/>
        </w:rPr>
        <w:t>37</w:t>
      </w:r>
      <w:r>
        <w:rPr>
          <w:noProof/>
        </w:rPr>
        <w:fldChar w:fldCharType="end"/>
      </w:r>
    </w:p>
    <w:p w14:paraId="7E46F901" w14:textId="7697EBBE"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13</w:t>
      </w:r>
      <w:r>
        <w:rPr>
          <w:rFonts w:asciiTheme="minorHAnsi" w:eastAsiaTheme="minorEastAsia" w:hAnsiTheme="minorHAnsi" w:cstheme="minorBidi"/>
          <w:b w:val="0"/>
          <w:noProof/>
        </w:rPr>
        <w:tab/>
      </w:r>
      <w:r w:rsidRPr="001249FF">
        <w:rPr>
          <w:rFonts w:ascii="Helvetica Neue" w:hAnsi="Helvetica Neue"/>
          <w:noProof/>
        </w:rPr>
        <w:t>SUPPLEMENTAL RESULTS</w:t>
      </w:r>
      <w:r>
        <w:rPr>
          <w:noProof/>
        </w:rPr>
        <w:tab/>
      </w:r>
      <w:r>
        <w:rPr>
          <w:noProof/>
        </w:rPr>
        <w:fldChar w:fldCharType="begin"/>
      </w:r>
      <w:r>
        <w:rPr>
          <w:noProof/>
        </w:rPr>
        <w:instrText xml:space="preserve"> PAGEREF _Toc522270439 \h </w:instrText>
      </w:r>
      <w:r>
        <w:rPr>
          <w:noProof/>
        </w:rPr>
      </w:r>
      <w:r>
        <w:rPr>
          <w:noProof/>
        </w:rPr>
        <w:fldChar w:fldCharType="separate"/>
      </w:r>
      <w:r>
        <w:rPr>
          <w:noProof/>
        </w:rPr>
        <w:t>38</w:t>
      </w:r>
      <w:r>
        <w:rPr>
          <w:noProof/>
        </w:rPr>
        <w:fldChar w:fldCharType="end"/>
      </w:r>
    </w:p>
    <w:p w14:paraId="03CB9EF1" w14:textId="60C763BE" w:rsidR="00685F38" w:rsidRDefault="00685F38">
      <w:pPr>
        <w:pStyle w:val="TOC1"/>
        <w:rPr>
          <w:rFonts w:asciiTheme="minorHAnsi" w:eastAsiaTheme="minorEastAsia" w:hAnsiTheme="minorHAnsi" w:cstheme="minorBidi"/>
          <w:b w:val="0"/>
          <w:noProof/>
        </w:rPr>
      </w:pPr>
      <w:r w:rsidRPr="001249FF">
        <w:rPr>
          <w:rFonts w:ascii="Helvetica Neue" w:hAnsi="Helvetica Neue"/>
          <w:noProof/>
        </w:rPr>
        <w:t>14</w:t>
      </w:r>
      <w:r>
        <w:rPr>
          <w:rFonts w:asciiTheme="minorHAnsi" w:eastAsiaTheme="minorEastAsia" w:hAnsiTheme="minorHAnsi" w:cstheme="minorBidi"/>
          <w:b w:val="0"/>
          <w:noProof/>
        </w:rPr>
        <w:tab/>
      </w:r>
      <w:r w:rsidRPr="001249FF">
        <w:rPr>
          <w:rFonts w:ascii="Helvetica Neue" w:hAnsi="Helvetica Neue"/>
          <w:noProof/>
        </w:rPr>
        <w:t>REFERENCES</w:t>
      </w:r>
      <w:r>
        <w:rPr>
          <w:noProof/>
        </w:rPr>
        <w:tab/>
      </w:r>
      <w:r>
        <w:rPr>
          <w:noProof/>
        </w:rPr>
        <w:fldChar w:fldCharType="begin"/>
      </w:r>
      <w:r>
        <w:rPr>
          <w:noProof/>
        </w:rPr>
        <w:instrText xml:space="preserve"> PAGEREF _Toc522270440 \h </w:instrText>
      </w:r>
      <w:r>
        <w:rPr>
          <w:noProof/>
        </w:rPr>
      </w:r>
      <w:r>
        <w:rPr>
          <w:noProof/>
        </w:rPr>
        <w:fldChar w:fldCharType="separate"/>
      </w:r>
      <w:r>
        <w:rPr>
          <w:noProof/>
        </w:rPr>
        <w:t>42</w:t>
      </w:r>
      <w:r>
        <w:rPr>
          <w:noProof/>
        </w:rPr>
        <w:fldChar w:fldCharType="end"/>
      </w:r>
    </w:p>
    <w:p w14:paraId="2368FC12" w14:textId="14C792A5" w:rsidR="009B3BB0" w:rsidRPr="0024409C" w:rsidRDefault="009B3BB0" w:rsidP="00660F9A">
      <w:pPr>
        <w:contextualSpacing/>
        <w:rPr>
          <w:rFonts w:ascii="Helvetica Neue" w:hAnsi="Helvetica Neue"/>
        </w:rPr>
      </w:pPr>
      <w:r w:rsidRPr="0024409C">
        <w:rPr>
          <w:rFonts w:ascii="Helvetica Neue" w:hAnsi="Helvetica Neue"/>
        </w:rPr>
        <w:fldChar w:fldCharType="end"/>
      </w:r>
    </w:p>
    <w:p w14:paraId="0D9AF9D0" w14:textId="675A5354" w:rsidR="00160308" w:rsidRPr="0024409C" w:rsidRDefault="00160308">
      <w:pPr>
        <w:spacing w:after="160" w:line="259" w:lineRule="auto"/>
        <w:rPr>
          <w:rFonts w:ascii="Helvetica Neue" w:hAnsi="Helvetica Neue"/>
          <w:b/>
        </w:rPr>
      </w:pPr>
      <w:r w:rsidRPr="0024409C">
        <w:rPr>
          <w:rFonts w:ascii="Helvetica Neue" w:hAnsi="Helvetica Neue"/>
          <w:b/>
        </w:rPr>
        <w:br w:type="page"/>
      </w:r>
    </w:p>
    <w:p w14:paraId="0D6E47AE" w14:textId="77777777" w:rsidR="009B3BB0" w:rsidRPr="0024409C" w:rsidRDefault="009B3BB0" w:rsidP="009B3BB0">
      <w:pPr>
        <w:pStyle w:val="Heading1"/>
        <w:rPr>
          <w:rFonts w:ascii="Helvetica Neue" w:hAnsi="Helvetica Neue"/>
          <w:sz w:val="24"/>
          <w:szCs w:val="24"/>
        </w:rPr>
      </w:pPr>
      <w:bookmarkStart w:id="1" w:name="_Toc522270394"/>
      <w:r w:rsidRPr="0024409C">
        <w:rPr>
          <w:rFonts w:ascii="Helvetica Neue" w:hAnsi="Helvetica Neue"/>
          <w:sz w:val="24"/>
          <w:szCs w:val="24"/>
        </w:rPr>
        <w:lastRenderedPageBreak/>
        <w:t>1</w:t>
      </w:r>
      <w:r w:rsidRPr="0024409C">
        <w:rPr>
          <w:rFonts w:ascii="Helvetica Neue" w:hAnsi="Helvetica Neue"/>
          <w:sz w:val="24"/>
          <w:szCs w:val="24"/>
        </w:rPr>
        <w:tab/>
        <w:t>INTRODUCTION</w:t>
      </w:r>
      <w:bookmarkEnd w:id="1"/>
    </w:p>
    <w:p w14:paraId="5AC08AA4" w14:textId="77777777" w:rsidR="009B3BB0" w:rsidRPr="0024409C" w:rsidRDefault="009B3BB0" w:rsidP="009B3BB0">
      <w:pPr>
        <w:spacing w:line="360" w:lineRule="auto"/>
        <w:rPr>
          <w:rFonts w:ascii="Helvetica Neue" w:hAnsi="Helvetica Neue"/>
        </w:rPr>
      </w:pPr>
      <w:r w:rsidRPr="0024409C">
        <w:rPr>
          <w:rFonts w:ascii="Helvetica Neue" w:hAnsi="Helvetica Neue"/>
        </w:rPr>
        <w:t>This supplementary technical appendix describes the mathematical model structure, parameterization, and statistical analysis of the accompanying paper in further detail.</w:t>
      </w:r>
    </w:p>
    <w:p w14:paraId="2793AAC5" w14:textId="77777777" w:rsidR="009B3BB0" w:rsidRPr="0024409C" w:rsidRDefault="009B3BB0" w:rsidP="009B3BB0">
      <w:pPr>
        <w:pStyle w:val="Heading2"/>
        <w:rPr>
          <w:rFonts w:ascii="Helvetica Neue" w:hAnsi="Helvetica Neue"/>
          <w:szCs w:val="22"/>
        </w:rPr>
      </w:pPr>
      <w:bookmarkStart w:id="2" w:name="_Toc522270395"/>
      <w:r w:rsidRPr="0024409C">
        <w:rPr>
          <w:rFonts w:ascii="Helvetica Neue" w:hAnsi="Helvetica Neue"/>
          <w:szCs w:val="22"/>
        </w:rPr>
        <w:t xml:space="preserve">1.1 </w:t>
      </w:r>
      <w:r w:rsidRPr="0024409C">
        <w:rPr>
          <w:rFonts w:ascii="Helvetica Neue" w:hAnsi="Helvetica Neue"/>
          <w:szCs w:val="22"/>
        </w:rPr>
        <w:tab/>
        <w:t>Model Framework</w:t>
      </w:r>
      <w:bookmarkEnd w:id="2"/>
    </w:p>
    <w:p w14:paraId="670AFE56" w14:textId="5BCB4A85" w:rsidR="009B3BB0" w:rsidRPr="0024409C" w:rsidRDefault="009B3BB0" w:rsidP="009B3BB0">
      <w:pPr>
        <w:spacing w:line="360" w:lineRule="auto"/>
        <w:rPr>
          <w:rFonts w:ascii="Helvetica Neue" w:hAnsi="Helvetica Neue"/>
        </w:rPr>
      </w:pPr>
      <w:r w:rsidRPr="0024409C">
        <w:rPr>
          <w:rFonts w:ascii="Helvetica Neue" w:hAnsi="Helvetica Neue"/>
        </w:rPr>
        <w:t>The mathematical models for HIV transmission dynamics presented in this study are agent-based microsimulation models in which uniquely identifiable sexual partnership dyads were simulated and tracked over time. This partnership structure is represented through the use of separable temporal exponential-family random graph models (</w:t>
      </w:r>
      <w:r w:rsidR="000C4F8D" w:rsidRPr="0024409C">
        <w:rPr>
          <w:rFonts w:ascii="Helvetica Neue" w:hAnsi="Helvetica Neue"/>
        </w:rPr>
        <w:t xml:space="preserve">STERGMs), described in Section </w:t>
      </w:r>
      <w:r w:rsidR="004A2B0D" w:rsidRPr="0024409C">
        <w:rPr>
          <w:rFonts w:ascii="Helvetica Neue" w:hAnsi="Helvetica Neue"/>
        </w:rPr>
        <w:t>2.</w:t>
      </w:r>
      <w:r w:rsidRPr="0024409C">
        <w:rPr>
          <w:rFonts w:ascii="Helvetica Neue" w:hAnsi="Helvetica Neue"/>
        </w:rPr>
        <w:t xml:space="preserve"> On top of this dynamic network simulation, the larger epidemic model represents demography (entries, exits, and aging), interhost epidemiology (disease transmission), </w:t>
      </w:r>
      <w:proofErr w:type="spellStart"/>
      <w:r w:rsidRPr="0024409C">
        <w:rPr>
          <w:rFonts w:ascii="Helvetica Neue" w:hAnsi="Helvetica Neue"/>
        </w:rPr>
        <w:t>intrahost</w:t>
      </w:r>
      <w:proofErr w:type="spellEnd"/>
      <w:r w:rsidRPr="0024409C">
        <w:rPr>
          <w:rFonts w:ascii="Helvetica Neue" w:hAnsi="Helvetica Neue"/>
        </w:rPr>
        <w:t xml:space="preserve"> epidemiology (disease progression), and clinical epidemiology (disease diagnosis and treatment). Individual attributes related to these processes are stored and updated in discrete time over the course of each epidemic simulation.</w:t>
      </w:r>
    </w:p>
    <w:p w14:paraId="2BCC20FB" w14:textId="0333E0E9" w:rsidR="00D661FD"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 xml:space="preserve">The modeling methods presented here depend upon and extend the </w:t>
      </w:r>
      <w:proofErr w:type="spellStart"/>
      <w:r w:rsidRPr="0024409C">
        <w:rPr>
          <w:rFonts w:ascii="Helvetica Neue" w:hAnsi="Helvetica Neue"/>
          <w:i/>
        </w:rPr>
        <w:t>EpiModel</w:t>
      </w:r>
      <w:proofErr w:type="spellEnd"/>
      <w:r w:rsidRPr="0024409C">
        <w:rPr>
          <w:rFonts w:ascii="Helvetica Neue" w:hAnsi="Helvetica Neue"/>
        </w:rPr>
        <w:t xml:space="preserve"> software to incorporate HIV-specific epidemiology. The HIV extensions for men who have sex with men (MSM) were originally developed by Goodreau et al. for use in prior modeling studies of MSM in the United States and South America,</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"ITEM-1", "issue" : "11", "issued" : { "date-parts" : [ [ "2012" ] ] }, "page" : "e50522", "title" : "What drives the US and Peruvian HIV epidemics in men who have sex with men (MSM)?", "type" : "article-journal", "volume" : "7" }, "uris" : [ "http://www.mendeley.com/documents/?uuid=95236385-1da9-4014-87d9-9bf044dc09fb" ] }, { "id" : "ITEM-2", "itemData" : { "ISSN" : "1932-6203", "PMID" : "25076493", "abstract" : "BACKGROUND Three trials have demonstrated the prophylactic effect of male circumcision (MC) for HIV acquisition among heterosexuals, and MC interventions are underway throughout sub-Saharan Africa. Similar efforts for men who have sex with men (MSM) are stymied by the potential for circumcised MSM to acquire HIV easily through receptive sex and transmit easily through insertive sex. Existing work suggests that MC for MSM should reach its maximum potential in settings where sexual role segregation is historically high and relatively stable across the lifecourse; HIV incidence among MSM is high; reported willingness for prophylactic circumcision is high; and pre-existing circumcision rates are low. We aim to identify the likely public health impact that MC interventions among MSM would have in one setting that fulfills these conditions-Peru-as a theoretical upper bound for their effectiveness among MSM generally. METHODS AND FINDINGS We use a dynamic, stochastic sexual network model based in exponential-family random graph modeling and parameterized from multiple behavioral surveys of Peruvian MSM. We consider three enrollment criteria (insertive during 100%, &gt;80% or &gt;60% of UAI) and two levels of uptake (25% and 50% of eligible men); we explore sexual role proportions from two studies and different frequencies of switching among role categories. Each scenario is simulated 10 times. We estimate that efficiency could reach one case averted per 6 circumcisions. However, the population-level impact of an optimistic MSM-MC intervention in this setting would likely be at most \u223c5-10% incidence and prevalence reductions over 25 years. CONCLUSIONS Roll-out of MC for MSM in Peru would not result in a substantial reduction in new HIV infections, despite characteristics in this population that could maximize such effects. Additional studies are needed to confirm these results for other MSM populations, and providers may consider the individual health benefits of offering MC to their MSM patients.",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"Fuchs", "given" : "Jonathan D", "non-dropping-particle" : "", "parse-names" : false, "suffix" : "" }, { "dropping-particle" : "", "family" : "Sanchez", "given" : "Jorge", "non-dropping-particle" : "", "parse-names" : false, "suffix" : "" }, { "dropping-particle" : "", "family" : "Buchbinder", "given" : "Susan P", "non-dropping-particle" : "", "parse-names" : false, "suffix" : "" } ], "container-title" : "PloS One", "id" : "ITEM-2", "issue" : "7", "issued" : { "date-parts" : [ [ "2014" ] ] }, "page" : "e102960", "title" : "Can male circumcision have an impact on the HIV epidemic in men who have sex with men?", "type" : "article-journal", "volume" : "9" }, "uris" : [ "http://www.mendeley.com/documents/?uuid=4655d172-cbf9-44a1-bca9-5231aaa7a93e" ] }, { "id" : "ITEM-3", "itemData" : { "ISSN" : "1944-7884", "PMID" : "25942463", "abstract" : "BACKGROUND We aim to identify optimal strategies for deploying pre-exposure prophylaxis among men who have sex with men (MSM) in the United States and Peru to maximize population-level effectiveness in an efficient manner. We use epidemic models to simulate the impact of targeting strategies. Most studies have focused on targeting either the general population or high-risk MSM. Alternative strategies, including serodiscordant couples, may better balance effectiveness and efficiency. METHODS We use dynamic stochastic sexual network models based on exponential-family random graph modeling, parameterized from behavioral surveys of MSM in the United States and Peru. These models represent main partnerships and casual contacts separately, permitting modeling of interventions targeting men whose risk derives from combinations of relational types. We also model varying rates of uptake and adherence to pre-exposure prophylaxis (PrEP). We assess sensitivity of results to risk compensation through increases in condomless casual contacts and condomless sex in main partnerships. RESULTS Targeting all men who are not exclusively insertive has the largest impact on HIV incidence, but targeting only those with high levels of casual activity yields comparable results using fewer person-years on PrEP. The effect is robust to risk compensation in the United States, but less so in Peru. Targeting serodiscordant main partnerships does not significantly impact incidence, but requires fewer person-years on PrEP per infection averted than other strategies. CONCLUSIONS PrEP could be effective in reducing new infections at the population level in both settings. Serodiscordant partnerships are an attractive component of a targeting program, but targeting should include other high-risk men.", "author" : [ { "dropping-particle" : "", "family" : "Carnegie", "given" : "Nicole B", "non-dropping-particle" : "", "parse-names" : false, "suffix" : "" }, { "dropping-particle" : "", "family" : "Goodreau", "given" : "Steven M", "non-dropping-particle" : "", "parse-names" : false, "suffix" : "" }, { "dropping-particle" : "", "family" : "Liu", "given" : "Albert", "non-dropping-particle" : "", "parse-names" : false, "suffix" : "" }, { "dropping-particle" : "", "family" : "Vittinghoff", "given" : "Eric", "non-dropping-particle" : "", "parse-names" : false, "suffix" : "" }, { "dropping-particle" : "", "family" : "Sanchez", "given" : "Jorge", "non-dropping-particle" : "", "parse-names" : false, "suffix" : "" }, { "dropping-particle" : "", "family" : "Lama", "given" : "Javier R", "non-dropping-particle" : "", "parse-names" : false, "suffix" : "" }, { "dropping-particle" : "", "family" : "Buchbinder", "given" : "Susan", "non-dropping-particle" : "", "parse-names" : false, "suffix" : "" } ], "container-title" : "J Acquir Immune Defic Syndr", "id" : "ITEM-3", "issue" : "1", "issued" : { "date-parts" : [ [ "2015", "5", "1" ] ] }, "page" : "119-25", "title" : "Targeting pre-exposure prophylaxis among men who have sex with men in the United States and Peru: partnership types, contact rates, and sexual role.", "type" : "article-journal", "volume" : "69" }, "uris" : [ "http://www.mendeley.com/documents/?uuid=c71dbe28-878b-4310-8bb6-966a22ba81d5" ] } ], "mendeley" : { "formattedCitation" : "&lt;sup&gt;1\u20133&lt;/sup&gt;", "plainTextFormattedCitation" : "1\u20133", "previouslyFormattedCitation" : "&lt;sup&gt;1\u20133&lt;/sup&gt;"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4017C2" w:rsidRPr="0024409C">
        <w:rPr>
          <w:rFonts w:ascii="Helvetica Neue" w:hAnsi="Helvetica Neue"/>
          <w:noProof/>
          <w:vertAlign w:val="superscript"/>
        </w:rPr>
        <w:t>1–3</w:t>
      </w:r>
      <w:r w:rsidRPr="0024409C">
        <w:rPr>
          <w:rFonts w:ascii="Helvetica Neue" w:hAnsi="Helvetica Neue"/>
          <w:noProof/>
          <w:vertAlign w:val="superscript"/>
        </w:rPr>
        <w:fldChar w:fldCharType="end"/>
      </w:r>
      <w:r w:rsidRPr="0024409C">
        <w:rPr>
          <w:rFonts w:ascii="Helvetica Neue" w:hAnsi="Helvetica Neue"/>
        </w:rPr>
        <w:t xml:space="preserve"> </w:t>
      </w:r>
      <w:r w:rsidR="00D661FD" w:rsidRPr="0024409C">
        <w:rPr>
          <w:rFonts w:ascii="Helvetica Neue" w:hAnsi="Helvetica Neue"/>
        </w:rPr>
        <w:t>and subsequently used for model</w:t>
      </w:r>
      <w:r w:rsidR="00077B0C" w:rsidRPr="0024409C">
        <w:rPr>
          <w:rFonts w:ascii="Helvetica Neue" w:hAnsi="Helvetica Neue"/>
        </w:rPr>
        <w:t>s</w:t>
      </w:r>
      <w:r w:rsidR="00D661FD" w:rsidRPr="0024409C">
        <w:rPr>
          <w:rFonts w:ascii="Helvetica Neue" w:hAnsi="Helvetica Neue"/>
        </w:rPr>
        <w:t xml:space="preserve"> </w:t>
      </w:r>
      <w:r w:rsidR="00077B0C" w:rsidRPr="0024409C">
        <w:rPr>
          <w:rFonts w:ascii="Helvetica Neue" w:hAnsi="Helvetica Neue"/>
        </w:rPr>
        <w:t>of</w:t>
      </w:r>
      <w:r w:rsidR="00D661FD" w:rsidRPr="0024409C">
        <w:rPr>
          <w:rFonts w:ascii="Helvetica Neue" w:hAnsi="Helvetica Neue"/>
        </w:rPr>
        <w:t xml:space="preserve"> HIV </w:t>
      </w:r>
      <w:proofErr w:type="spellStart"/>
      <w:r w:rsidR="00D661FD" w:rsidRPr="0024409C">
        <w:rPr>
          <w:rFonts w:ascii="Helvetica Neue" w:hAnsi="Helvetica Neue"/>
        </w:rPr>
        <w:t>preexposure</w:t>
      </w:r>
      <w:proofErr w:type="spellEnd"/>
      <w:r w:rsidR="00D661FD" w:rsidRPr="0024409C">
        <w:rPr>
          <w:rFonts w:ascii="Helvetica Neue" w:hAnsi="Helvetica Neue"/>
        </w:rPr>
        <w:t xml:space="preserve"> prophylaxis (PrEP) among US MSM.</w:t>
      </w:r>
      <w:r w:rsidR="00D661FD" w:rsidRPr="0024409C">
        <w:rPr>
          <w:rFonts w:ascii="Helvetica Neue" w:hAnsi="Helvetica Neue"/>
        </w:rPr>
        <w:fldChar w:fldCharType="begin" w:fldLock="1"/>
      </w:r>
      <w:r w:rsidR="002E5A1F">
        <w:rPr>
          <w:rFonts w:ascii="Helvetica Neue" w:hAnsi="Helvetica Neue"/>
        </w:rPr>
        <w:instrText>ADDIN CSL_CITATION { "citationItems" : [ { "id" : "ITEM-1", "itemData" : { "ISSN" : "1537-6613", "PMID" : "27418048", "abstract" : "BACKGROUND Preexposure prophylaxis (PrEP) is effective for preventing human immunodeficiency virus (HIV) infection among men who have sex with men (MSM) within trial settings. Population impact will depend on clinical indications for PrEP initiation, coverage levels, and drug adherence. No modeling studies have estimated the impact of clinical practice guidelines for PrEP issued by the Centers for Disease Control and Prevention (CDC). METHODS Mathematical models of HIV transmission among MSM were used to estimate the percentage of infections averted (PIA) and the number needed to treat (NNT) under behavioral indications of the CDC's PrEP guidelines. We modeled the contribution of these indications while varying treatment coverage and adherence. RESULTS At 40% coverage of indicated MSM over the next decade, application of CDC guidelines would avert 1162 infections per 100 000 person-years, 33.0% of expected infections. The predicted NNT for the guidelines would be 25. Increasing coverage and adherence jointly raise the PIA, but reductions to the NNT were associated with better adherence only. CONCLUSIONS Implementation of CDC PrEP guidelines would result in strong and sustained reductions in HIV incidence among MSM in the United States. The guidelines strike a good balance between epidemiological impact (PIA) and efficiency (NNT) at plausible scale-up levels. Adherence counseling could maximize public health investment in PrEP by decreasing the NNT.", "author" : [ { "dropping-particle" : "", "family" : "Jenness", "given" : "Samuel M", "non-dropping-particle" : "", "parse-names" : false, "suffix" : "" }, { "dropping-particle" : "", "family" : "Goodreau", "given" : "Steven M", "non-dropping-particle" : "", "parse-names" : false, "suffix" : "" }, { "dropping-particle" : "", "family" : "Rosenberg", "given" : "Eli", "non-dropping-particle" : "", "parse-names" : false, "suffix" : "" }, { "dropping-particle" : "", "family" : "Beylerian", "given" : "Emily N", "non-dropping-particle" : "", "parse-names" : false, "suffix" : "" }, { "dropping-particle" : "", "family" : "Hoover", "given" : "Karen W", "non-dropping-particle" : "", "parse-names" : false, "suffix" : "" }, { "dropping-particle" : "", "family" : "Smith", "given" : "Dawn K", "non-dropping-particle" : "", "parse-names" : false, "suffix" : "" }, { "dropping-particle" : "", "family" : "Sullivan", "given" : "Patrick", "non-dropping-particle" : "", "parse-names" : false, "suffix" : "" } ], "container-title" : "J Inf Dis", "id" : "ITEM-1", "issue" : "12", "issued" : { "date-parts" : [ [ "2016" ] ] }, "page" : "1800-1807", "title" : "Impact of the Centers for Disease Control's HIV preexposure prophylaxis guidelines for men who have sex with men in the United States.", "type" : "article-journal", "volume" : "214" }, "uris" : [ "http://www.mendeley.com/documents/?uuid=519a92ba-c0b5-4c1e-8183-234b9b845078" ] }, { "id" : "ITEM-2",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"ITEM-2",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"&lt;sup&gt;4,5&lt;/sup&gt;", "plainTextFormattedCitation" : "4,5", "previouslyFormattedCitation" : "&lt;sup&gt;4,5&lt;/sup&gt;" }, "properties" : { "noteIndex" : 0 }, "schema" : "https://github.com/citation-style-language/schema/raw/master/csl-citation.json" }</w:instrText>
      </w:r>
      <w:r w:rsidR="00D661FD" w:rsidRPr="0024409C">
        <w:rPr>
          <w:rFonts w:ascii="Helvetica Neue" w:hAnsi="Helvetica Neue"/>
        </w:rPr>
        <w:fldChar w:fldCharType="separate"/>
      </w:r>
      <w:r w:rsidR="00E52119" w:rsidRPr="0024409C">
        <w:rPr>
          <w:rFonts w:ascii="Helvetica Neue" w:hAnsi="Helvetica Neue"/>
          <w:noProof/>
          <w:vertAlign w:val="superscript"/>
        </w:rPr>
        <w:t>4,5</w:t>
      </w:r>
      <w:r w:rsidR="00D661FD" w:rsidRPr="0024409C">
        <w:rPr>
          <w:rFonts w:ascii="Helvetica Neue" w:hAnsi="Helvetica Neue"/>
        </w:rPr>
        <w:fldChar w:fldCharType="end"/>
      </w:r>
    </w:p>
    <w:p w14:paraId="5119FAB3" w14:textId="6BB1FA11"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 xml:space="preserve">The model algorithms and methods presented here generalize these prior MSM HIV transmission models to investigate </w:t>
      </w:r>
      <w:r w:rsidR="00BB71E3">
        <w:rPr>
          <w:rFonts w:ascii="Helvetica Neue" w:hAnsi="Helvetica Neue"/>
        </w:rPr>
        <w:t>the interaction between HIV and STIs and the implications of these interactions for HIV prevention</w:t>
      </w:r>
      <w:r w:rsidRPr="0024409C">
        <w:rPr>
          <w:rFonts w:ascii="Helvetica Neue" w:hAnsi="Helvetica Neue"/>
        </w:rPr>
        <w:t xml:space="preserve"> as part of a collaborative modeling effort (the Coalition for Applied Modeling for Prevention) between Emory University, the University of Washington, the Centers for Disease Control and Prevention, and local health public departments </w:t>
      </w:r>
      <w:r w:rsidRPr="0024409C">
        <w:rPr>
          <w:rFonts w:ascii="Helvetica Neue" w:hAnsi="Helvetica Neue"/>
          <w:color w:val="2E74B5" w:themeColor="accent1" w:themeShade="BF"/>
        </w:rPr>
        <w:t>[http://emorycamp.org/]</w:t>
      </w:r>
      <w:r w:rsidRPr="0024409C">
        <w:rPr>
          <w:rFonts w:ascii="Helvetica Neue" w:hAnsi="Helvetica Neue"/>
        </w:rPr>
        <w:t>.</w:t>
      </w:r>
    </w:p>
    <w:p w14:paraId="6CB383BC" w14:textId="77777777" w:rsidR="009B3BB0" w:rsidRPr="0024409C" w:rsidRDefault="009B3BB0" w:rsidP="009B3BB0">
      <w:pPr>
        <w:pStyle w:val="Heading2"/>
        <w:rPr>
          <w:rFonts w:ascii="Helvetica Neue" w:hAnsi="Helvetica Neue"/>
          <w:szCs w:val="22"/>
        </w:rPr>
      </w:pPr>
      <w:bookmarkStart w:id="3" w:name="_Toc522270396"/>
      <w:r w:rsidRPr="0024409C">
        <w:rPr>
          <w:rFonts w:ascii="Helvetica Neue" w:hAnsi="Helvetica Neue"/>
          <w:szCs w:val="22"/>
        </w:rPr>
        <w:t>1.2</w:t>
      </w:r>
      <w:r w:rsidRPr="0024409C">
        <w:rPr>
          <w:rFonts w:ascii="Helvetica Neue" w:hAnsi="Helvetica Neue"/>
          <w:szCs w:val="22"/>
        </w:rPr>
        <w:tab/>
        <w:t>Model Software</w:t>
      </w:r>
      <w:bookmarkEnd w:id="3"/>
    </w:p>
    <w:p w14:paraId="3DD1B3EA" w14:textId="512B8D0A" w:rsidR="00D661FD" w:rsidRPr="0024409C" w:rsidRDefault="00D661FD" w:rsidP="00D661FD">
      <w:pPr>
        <w:tabs>
          <w:tab w:val="left" w:pos="360"/>
        </w:tabs>
        <w:spacing w:line="360" w:lineRule="auto"/>
        <w:rPr>
          <w:rFonts w:ascii="Helvetica Neue" w:hAnsi="Helvetica Neue"/>
        </w:rPr>
      </w:pPr>
      <w:r w:rsidRPr="0024409C">
        <w:rPr>
          <w:rFonts w:ascii="Helvetica Neue" w:hAnsi="Helvetica Neue"/>
        </w:rPr>
        <w:t xml:space="preserve">The models in this study were programmed in the R and C++ software languages using the </w:t>
      </w:r>
      <w:proofErr w:type="spellStart"/>
      <w:r w:rsidRPr="0024409C">
        <w:rPr>
          <w:rFonts w:ascii="Helvetica Neue" w:hAnsi="Helvetica Neue"/>
          <w:i/>
        </w:rPr>
        <w:t>EpiModel</w:t>
      </w:r>
      <w:proofErr w:type="spellEnd"/>
      <w:r w:rsidRPr="0024409C">
        <w:rPr>
          <w:rFonts w:ascii="Helvetica Neue" w:hAnsi="Helvetica Neue"/>
          <w:i/>
        </w:rPr>
        <w:t xml:space="preserve"> </w:t>
      </w:r>
      <w:r w:rsidRPr="0024409C">
        <w:rPr>
          <w:rFonts w:ascii="Helvetica Neue" w:hAnsi="Helvetica Neue"/>
          <w:color w:val="0070C0"/>
        </w:rPr>
        <w:t>[http://epimodel.org/]</w:t>
      </w:r>
      <w:r w:rsidRPr="0024409C">
        <w:rPr>
          <w:rFonts w:ascii="Helvetica Neue" w:hAnsi="Helvetica Neue"/>
        </w:rPr>
        <w:t xml:space="preserve"> software platform for epidemic modeling. </w:t>
      </w:r>
      <w:proofErr w:type="spellStart"/>
      <w:r w:rsidRPr="0024409C">
        <w:rPr>
          <w:rFonts w:ascii="Helvetica Neue" w:hAnsi="Helvetica Neue"/>
          <w:i/>
        </w:rPr>
        <w:t>EpiModel</w:t>
      </w:r>
      <w:proofErr w:type="spellEnd"/>
      <w:r w:rsidRPr="0024409C">
        <w:rPr>
          <w:rFonts w:ascii="Helvetica Neue" w:hAnsi="Helvetica Neue"/>
        </w:rPr>
        <w:t xml:space="preserve"> was developed by the authors for simulating complex network-based mathematical models of infectious diseases, with a primary focus on HIV and other sexually transmitted infections (STIs). </w:t>
      </w:r>
      <w:proofErr w:type="spellStart"/>
      <w:r w:rsidRPr="0024409C">
        <w:rPr>
          <w:rFonts w:ascii="Helvetica Neue" w:hAnsi="Helvetica Neue"/>
          <w:i/>
        </w:rPr>
        <w:t>EpiModel</w:t>
      </w:r>
      <w:proofErr w:type="spellEnd"/>
      <w:r w:rsidRPr="0024409C">
        <w:rPr>
          <w:rFonts w:ascii="Helvetica Neue" w:hAnsi="Helvetica Neue"/>
        </w:rPr>
        <w:t xml:space="preserve"> depends on </w:t>
      </w:r>
      <w:proofErr w:type="spellStart"/>
      <w:r w:rsidRPr="0024409C">
        <w:rPr>
          <w:rFonts w:ascii="Helvetica Neue" w:hAnsi="Helvetica Neue"/>
          <w:i/>
        </w:rPr>
        <w:t>Statnet</w:t>
      </w:r>
      <w:proofErr w:type="spellEnd"/>
      <w:r w:rsidRPr="0024409C">
        <w:rPr>
          <w:rFonts w:ascii="Helvetica Neue" w:hAnsi="Helvetica Neue"/>
          <w:i/>
        </w:rPr>
        <w:t xml:space="preserve"> </w:t>
      </w:r>
      <w:r w:rsidRPr="0024409C">
        <w:rPr>
          <w:rFonts w:ascii="Helvetica Neue" w:hAnsi="Helvetica Neue"/>
          <w:color w:val="0070C0"/>
        </w:rPr>
        <w:t>[http://statnet.org/]</w:t>
      </w:r>
      <w:r w:rsidRPr="0024409C">
        <w:rPr>
          <w:rFonts w:ascii="Helvetica Neue" w:hAnsi="Helvetica Neue"/>
        </w:rPr>
        <w:t>, a suite of software in R for the representation, visualization, and statistical analysis of complex network data.</w:t>
      </w:r>
      <w:r w:rsidRPr="0024409C">
        <w:rPr>
          <w:rFonts w:ascii="Helvetica Neue" w:hAnsi="Helvetica Neue"/>
        </w:rPr>
        <w:fldChar w:fldCharType="begin" w:fldLock="1"/>
      </w:r>
      <w:r w:rsidR="00AD1715">
        <w:rPr>
          <w:rFonts w:ascii="Helvetica Neue" w:hAnsi="Helvetica Neue"/>
        </w:rPr>
        <w:instrText>ADDIN CSL_CITATION { "citationItems" : [ { "id" : "ITEM-1", "itemData" : { "ISSN" : "1548-7660", "abstract" : "statnet is a suite of software packages for statistical network analysis. The packages implement recent advances in network modeling based on exponential-family random graph models (ERGM). The components of the package provide a comprehensive framework for ERGM-based network modeling, including tools for model estimation, model evaluation, model-based network simulation, and network visualization. This broad functionality is powered by a central Markov chain Monte Carlo (MCMC) algorithm. The coding is optimized for speed and robustness.", "author" : [ { "dropping-particle" : "", "family" : "Handcock", "given" : "Mark S.", "non-dropping-particle" : "", "parse-names" : false, "suffix" : "" }, { "dropping-particle" : "", "family" : "Hunter", "given" : "David R.", "non-dropping-particle" : "", "parse-names" : false, "suffix" : "" }, { "dropping-particle" : "", "family" : "Butts", "given" : "Carter T.", "non-dropping-particle" : "", "parse-names" : false, "suffix" : "" }, { "dropping-particle" : "", "family" : "Goodreau", "given" : "Steven M.", "non-dropping-particle" : "", "parse-names" : false, "suffix" : "" }, { "dropping-particle" : "", "family" : "Morris", "given" : "Martina", "non-dropping-particle" : "", "parse-names" : false, "suffix" : "" } ], "container-title" : "Journal of Statistical Software", "id" : "ITEM-1", "issue" : "1", "issued" : { "date-parts" : [ [ "2008" ] ] }, "page" : "1-11", "title" : "Statnet : Software tools for the representation, visualization, analysis and simulation of network data", "type" : "article-journal", "volume" : "24" }, "uris" : [ "http://www.mendeley.com/documents/?uuid=a978bb4f-5264-37a0-bc93-5eca44d5dc75", "http://www.mendeley.com/documents/?uuid=21ec5abf-8a42-4b7c-8a1f-0d9cd1bbd3b2" ] } ], "mendeley" : { "formattedCitation" : "&lt;sup&gt;6&lt;/sup&gt;", "plainTextFormattedCitation" : "6", "previouslyFormattedCitation" : "&lt;sup&gt;6&lt;/sup&gt;" }, "properties" : { "noteIndex" : 0 }, "schema" : "https://github.com/citation-style-language/schema/raw/master/csl-citation.json" }</w:instrText>
      </w:r>
      <w:r w:rsidRPr="0024409C">
        <w:rPr>
          <w:rFonts w:ascii="Helvetica Neue" w:hAnsi="Helvetica Neue"/>
        </w:rPr>
        <w:fldChar w:fldCharType="separate"/>
      </w:r>
      <w:r w:rsidR="00E52119" w:rsidRPr="0024409C">
        <w:rPr>
          <w:rFonts w:ascii="Helvetica Neue" w:hAnsi="Helvetica Neue"/>
          <w:noProof/>
          <w:vertAlign w:val="superscript"/>
        </w:rPr>
        <w:t>6</w:t>
      </w:r>
      <w:r w:rsidRPr="0024409C">
        <w:rPr>
          <w:rFonts w:ascii="Helvetica Neue" w:hAnsi="Helvetica Neue"/>
        </w:rPr>
        <w:fldChar w:fldCharType="end"/>
      </w:r>
    </w:p>
    <w:p w14:paraId="30EFF226" w14:textId="4FB14871" w:rsidR="00D661FD" w:rsidRPr="0024409C" w:rsidRDefault="00D661FD" w:rsidP="00D661FD">
      <w:pPr>
        <w:tabs>
          <w:tab w:val="left" w:pos="360"/>
        </w:tabs>
        <w:spacing w:before="120" w:line="360" w:lineRule="auto"/>
        <w:rPr>
          <w:rFonts w:ascii="Helvetica Neue" w:hAnsi="Helvetica Neue"/>
        </w:rPr>
      </w:pPr>
      <w:proofErr w:type="spellStart"/>
      <w:r w:rsidRPr="0024409C">
        <w:rPr>
          <w:rFonts w:ascii="Helvetica Neue" w:hAnsi="Helvetica Neue"/>
          <w:i/>
        </w:rPr>
        <w:lastRenderedPageBreak/>
        <w:t>EpiModel</w:t>
      </w:r>
      <w:proofErr w:type="spellEnd"/>
      <w:r w:rsidRPr="0024409C">
        <w:rPr>
          <w:rFonts w:ascii="Helvetica Neue" w:hAnsi="Helvetica Neue"/>
          <w:i/>
        </w:rPr>
        <w:t xml:space="preserve"> </w:t>
      </w:r>
      <w:r w:rsidRPr="0024409C">
        <w:rPr>
          <w:rFonts w:ascii="Helvetica Neue" w:hAnsi="Helvetica Neue"/>
        </w:rPr>
        <w:t xml:space="preserve">allows for a modular expansion of its built-in modeling tools to address novel research questions. For this current research study, we have developed extension modules into an add-on software package to </w:t>
      </w:r>
      <w:proofErr w:type="spellStart"/>
      <w:r w:rsidRPr="0024409C">
        <w:rPr>
          <w:rFonts w:ascii="Helvetica Neue" w:hAnsi="Helvetica Neue"/>
          <w:i/>
        </w:rPr>
        <w:t>EpiModel</w:t>
      </w:r>
      <w:proofErr w:type="spellEnd"/>
      <w:r w:rsidRPr="0024409C">
        <w:rPr>
          <w:rFonts w:ascii="Helvetica Neue" w:hAnsi="Helvetica Neue"/>
        </w:rPr>
        <w:t xml:space="preserve"> called </w:t>
      </w:r>
      <w:proofErr w:type="spellStart"/>
      <w:r w:rsidRPr="0024409C">
        <w:rPr>
          <w:rFonts w:ascii="Helvetica Neue" w:hAnsi="Helvetica Neue"/>
          <w:i/>
        </w:rPr>
        <w:t>EpiModelHIV</w:t>
      </w:r>
      <w:proofErr w:type="spellEnd"/>
      <w:r w:rsidRPr="0024409C">
        <w:rPr>
          <w:rFonts w:ascii="Helvetica Neue" w:hAnsi="Helvetica Neue"/>
        </w:rPr>
        <w:t xml:space="preserve">. This open-source software is available for download, along with the scripts used in the execution of these models. The tools and scripts to run these models are contained in two </w:t>
      </w:r>
      <w:r w:rsidR="00B97FCD" w:rsidRPr="0024409C">
        <w:rPr>
          <w:rFonts w:ascii="Helvetica Neue" w:hAnsi="Helvetica Neue"/>
        </w:rPr>
        <w:t>GitHub</w:t>
      </w:r>
      <w:r w:rsidRPr="0024409C">
        <w:rPr>
          <w:rFonts w:ascii="Helvetica Neue" w:hAnsi="Helvetica Neue"/>
        </w:rPr>
        <w:t xml:space="preserve"> software repositories:</w:t>
      </w:r>
    </w:p>
    <w:p w14:paraId="002962FE" w14:textId="474BDB79" w:rsidR="00D661FD" w:rsidRPr="0024409C" w:rsidRDefault="00D661FD" w:rsidP="00D661FD">
      <w:pPr>
        <w:pStyle w:val="ListParagraph"/>
        <w:numPr>
          <w:ilvl w:val="0"/>
          <w:numId w:val="4"/>
        </w:numPr>
        <w:tabs>
          <w:tab w:val="left" w:pos="360"/>
        </w:tabs>
        <w:spacing w:line="360" w:lineRule="auto"/>
        <w:ind w:left="360" w:hanging="180"/>
        <w:rPr>
          <w:rFonts w:ascii="Helvetica Neue" w:hAnsi="Helvetica Neue"/>
        </w:rPr>
      </w:pPr>
      <w:r w:rsidRPr="0024409C">
        <w:rPr>
          <w:rFonts w:ascii="Helvetica Neue" w:hAnsi="Helvetica Neue"/>
          <w:color w:val="0070C0"/>
        </w:rPr>
        <w:t xml:space="preserve">[http://github.com/statnet/EpiModelHIV] </w:t>
      </w:r>
      <w:r w:rsidRPr="0024409C">
        <w:rPr>
          <w:rFonts w:ascii="Helvetica Neue" w:hAnsi="Helvetica Neue"/>
        </w:rPr>
        <w:t xml:space="preserve">contains the general extension software package. Installing this using the instructions listed at the repository homepage will also load in </w:t>
      </w:r>
      <w:proofErr w:type="spellStart"/>
      <w:r w:rsidRPr="0024409C">
        <w:rPr>
          <w:rFonts w:ascii="Helvetica Neue" w:hAnsi="Helvetica Neue"/>
          <w:i/>
        </w:rPr>
        <w:t>EpiModel</w:t>
      </w:r>
      <w:proofErr w:type="spellEnd"/>
      <w:r w:rsidRPr="0024409C">
        <w:rPr>
          <w:rFonts w:ascii="Helvetica Neue" w:hAnsi="Helvetica Neue"/>
          <w:i/>
        </w:rPr>
        <w:t xml:space="preserve"> </w:t>
      </w:r>
      <w:r w:rsidRPr="0024409C">
        <w:rPr>
          <w:rFonts w:ascii="Helvetica Neue" w:hAnsi="Helvetica Neue"/>
        </w:rPr>
        <w:t xml:space="preserve">and the other dependencies. We use a branching software architecture such that the version of the software associated with this research project is </w:t>
      </w:r>
      <w:proofErr w:type="spellStart"/>
      <w:r w:rsidR="008754EE">
        <w:rPr>
          <w:rFonts w:ascii="Helvetica Neue" w:hAnsi="Helvetica Neue"/>
          <w:i/>
        </w:rPr>
        <w:t>syph_ept</w:t>
      </w:r>
      <w:proofErr w:type="spellEnd"/>
      <w:r w:rsidRPr="0024409C">
        <w:rPr>
          <w:rFonts w:ascii="Helvetica Neue" w:hAnsi="Helvetica Neue"/>
          <w:i/>
        </w:rPr>
        <w:t>.</w:t>
      </w:r>
    </w:p>
    <w:p w14:paraId="4EC74CD1" w14:textId="524835CD" w:rsidR="00D661FD" w:rsidRPr="0024409C" w:rsidRDefault="00D661FD" w:rsidP="00D661FD">
      <w:pPr>
        <w:pStyle w:val="ListParagraph"/>
        <w:numPr>
          <w:ilvl w:val="0"/>
          <w:numId w:val="4"/>
        </w:numPr>
        <w:tabs>
          <w:tab w:val="left" w:pos="360"/>
        </w:tabs>
        <w:spacing w:line="360" w:lineRule="auto"/>
        <w:ind w:left="360" w:hanging="180"/>
        <w:rPr>
          <w:rFonts w:ascii="Helvetica Neue" w:hAnsi="Helvetica Neue"/>
        </w:rPr>
      </w:pPr>
      <w:r w:rsidRPr="0024409C">
        <w:rPr>
          <w:rFonts w:ascii="Helvetica Neue" w:hAnsi="Helvetica Neue"/>
          <w:color w:val="0070C0"/>
        </w:rPr>
        <w:t>[http://github.com/</w:t>
      </w:r>
      <w:r w:rsidR="009D68F4">
        <w:rPr>
          <w:rFonts w:ascii="Helvetica Neue" w:hAnsi="Helvetica Neue"/>
          <w:color w:val="0070C0"/>
        </w:rPr>
        <w:t>EpiModel</w:t>
      </w:r>
      <w:r w:rsidRPr="0024409C">
        <w:rPr>
          <w:rFonts w:ascii="Helvetica Neue" w:hAnsi="Helvetica Neue"/>
          <w:color w:val="0070C0"/>
        </w:rPr>
        <w:t>/sti</w:t>
      </w:r>
      <w:r w:rsidR="009D68F4">
        <w:rPr>
          <w:rFonts w:ascii="Helvetica Neue" w:hAnsi="Helvetica Neue"/>
          <w:color w:val="0070C0"/>
        </w:rPr>
        <w:t>_paf</w:t>
      </w:r>
      <w:r w:rsidRPr="0024409C">
        <w:rPr>
          <w:rFonts w:ascii="Helvetica Neue" w:hAnsi="Helvetica Neue"/>
          <w:color w:val="0070C0"/>
        </w:rPr>
        <w:t xml:space="preserve">] </w:t>
      </w:r>
      <w:r w:rsidRPr="0024409C">
        <w:rPr>
          <w:rFonts w:ascii="Helvetica Neue" w:hAnsi="Helvetica Neue"/>
        </w:rPr>
        <w:t>contains the scripts to execute the mathematical models and to run the statistical analyses provided in the manuscript.</w:t>
      </w:r>
    </w:p>
    <w:p w14:paraId="66078886" w14:textId="0724AFC3" w:rsidR="009B3BB0" w:rsidRPr="0024409C" w:rsidRDefault="00273CDD" w:rsidP="002232EA">
      <w:pPr>
        <w:pStyle w:val="Heading1"/>
        <w:spacing w:before="300"/>
        <w:rPr>
          <w:rFonts w:ascii="Helvetica Neue" w:hAnsi="Helvetica Neue"/>
          <w:sz w:val="24"/>
          <w:szCs w:val="24"/>
        </w:rPr>
      </w:pPr>
      <w:bookmarkStart w:id="4" w:name="_Toc522270397"/>
      <w:r w:rsidRPr="0024409C">
        <w:rPr>
          <w:rFonts w:ascii="Helvetica Neue" w:hAnsi="Helvetica Neue"/>
          <w:sz w:val="24"/>
          <w:szCs w:val="24"/>
        </w:rPr>
        <w:t>2</w:t>
      </w:r>
      <w:r w:rsidR="009B3BB0" w:rsidRPr="0024409C">
        <w:rPr>
          <w:rFonts w:ascii="Helvetica Neue" w:hAnsi="Helvetica Neue"/>
          <w:sz w:val="24"/>
          <w:szCs w:val="24"/>
        </w:rPr>
        <w:tab/>
      </w:r>
      <w:r w:rsidR="00277378" w:rsidRPr="0024409C">
        <w:rPr>
          <w:rFonts w:ascii="Helvetica Neue" w:hAnsi="Helvetica Neue"/>
          <w:sz w:val="24"/>
          <w:szCs w:val="24"/>
        </w:rPr>
        <w:t xml:space="preserve">DYNAMIC </w:t>
      </w:r>
      <w:r w:rsidR="009B3BB0" w:rsidRPr="0024409C">
        <w:rPr>
          <w:rFonts w:ascii="Helvetica Neue" w:hAnsi="Helvetica Neue"/>
          <w:sz w:val="24"/>
          <w:szCs w:val="24"/>
        </w:rPr>
        <w:t>NETWORKS OF SEXUAL PARTNERSHIPS</w:t>
      </w:r>
      <w:bookmarkEnd w:id="4"/>
    </w:p>
    <w:p w14:paraId="4A0D5DB6" w14:textId="4821F550" w:rsidR="009B3BB0" w:rsidRPr="0024409C" w:rsidRDefault="009B3BB0" w:rsidP="009B3BB0">
      <w:pPr>
        <w:spacing w:before="80" w:line="360" w:lineRule="auto"/>
        <w:rPr>
          <w:rFonts w:ascii="Helvetica Neue" w:hAnsi="Helvetica Neue"/>
        </w:rPr>
      </w:pPr>
      <w:r w:rsidRPr="0024409C">
        <w:rPr>
          <w:rFonts w:ascii="Helvetica Neue" w:hAnsi="Helvetica Neue"/>
        </w:rPr>
        <w:t xml:space="preserve">We modeled networks of three interacting types of sexual relations: main partnerships, casual (but persistent) partnerships, and one-time anal intercourse (AI) contacts. We first describe the methods conceptually, including the parameters used to guide the model and their derivation (Section </w:t>
      </w:r>
      <w:r w:rsidR="004A2B0D" w:rsidRPr="0024409C">
        <w:rPr>
          <w:rFonts w:ascii="Helvetica Neue" w:hAnsi="Helvetica Neue"/>
        </w:rPr>
        <w:t>2</w:t>
      </w:r>
      <w:r w:rsidRPr="0024409C">
        <w:rPr>
          <w:rFonts w:ascii="Helvetica Neue" w:hAnsi="Helvetica Neue"/>
        </w:rPr>
        <w:t xml:space="preserve">.1), and then present the formal statistical modeling methods (Section </w:t>
      </w:r>
      <w:r w:rsidR="004A2B0D" w:rsidRPr="0024409C">
        <w:rPr>
          <w:rFonts w:ascii="Helvetica Neue" w:hAnsi="Helvetica Neue"/>
        </w:rPr>
        <w:t>2</w:t>
      </w:r>
      <w:r w:rsidRPr="0024409C">
        <w:rPr>
          <w:rFonts w:ascii="Helvetica Neue" w:hAnsi="Helvetica Neue"/>
        </w:rPr>
        <w:t>.2). Consistent with our parameter derivations, all relationships are defined as those in which AI is expected to occur at least once.</w:t>
      </w:r>
    </w:p>
    <w:p w14:paraId="7DD0F192" w14:textId="2C3C6BDC" w:rsidR="009B3BB0" w:rsidRPr="0024409C" w:rsidRDefault="00273CDD" w:rsidP="009B3BB0">
      <w:pPr>
        <w:pStyle w:val="Heading2"/>
        <w:rPr>
          <w:rFonts w:ascii="Helvetica Neue" w:hAnsi="Helvetica Neue"/>
          <w:szCs w:val="22"/>
          <w:highlight w:val="lightGray"/>
        </w:rPr>
      </w:pPr>
      <w:bookmarkStart w:id="5" w:name="mathematical-framework"/>
      <w:bookmarkStart w:id="6" w:name="_Toc522270398"/>
      <w:bookmarkEnd w:id="5"/>
      <w:r w:rsidRPr="0024409C">
        <w:rPr>
          <w:rFonts w:ascii="Helvetica Neue" w:hAnsi="Helvetica Neue"/>
          <w:szCs w:val="22"/>
        </w:rPr>
        <w:t>2</w:t>
      </w:r>
      <w:r w:rsidR="009B3BB0" w:rsidRPr="0024409C">
        <w:rPr>
          <w:rFonts w:ascii="Helvetica Neue" w:hAnsi="Helvetica Neue"/>
          <w:szCs w:val="22"/>
        </w:rPr>
        <w:t xml:space="preserve">.1 </w:t>
      </w:r>
      <w:r w:rsidR="009B3BB0" w:rsidRPr="0024409C">
        <w:rPr>
          <w:rFonts w:ascii="Helvetica Neue" w:hAnsi="Helvetica Neue"/>
          <w:szCs w:val="22"/>
        </w:rPr>
        <w:tab/>
        <w:t>Conceptual Representation of Sexual Networks</w:t>
      </w:r>
      <w:bookmarkEnd w:id="6"/>
    </w:p>
    <w:p w14:paraId="53D061CD" w14:textId="05406142" w:rsidR="009B3BB0" w:rsidRPr="0024409C" w:rsidRDefault="009B3BB0" w:rsidP="009B3BB0">
      <w:pPr>
        <w:spacing w:line="360" w:lineRule="auto"/>
        <w:ind w:left="38"/>
        <w:rPr>
          <w:rFonts w:ascii="Helvetica Neue" w:hAnsi="Helvetica Neue"/>
        </w:rPr>
      </w:pPr>
      <w:r w:rsidRPr="0024409C">
        <w:rPr>
          <w:rFonts w:ascii="Helvetica Neue" w:hAnsi="Helvetica Neue"/>
        </w:rPr>
        <w:t>Our modeling methods aim to preserve certain features of the cross-sectional and dynamic network structure as reported in behavioral studies, while also allowing for mean relational durations to be targeted to those reported for different groups and relational types. These methods do so all within the context of changing population size (due to births, deaths, arrivals</w:t>
      </w:r>
      <w:r w:rsidR="00886491" w:rsidRPr="0024409C">
        <w:rPr>
          <w:rFonts w:ascii="Helvetica Neue" w:hAnsi="Helvetica Neue"/>
        </w:rPr>
        <w:t>,</w:t>
      </w:r>
      <w:r w:rsidRPr="0024409C">
        <w:rPr>
          <w:rFonts w:ascii="Helvetica Neue" w:hAnsi="Helvetica Neue"/>
        </w:rPr>
        <w:t xml:space="preserve"> and departures from the population) and changing composition by attributes such as age and disease status.</w:t>
      </w:r>
    </w:p>
    <w:p w14:paraId="7C44E7BC" w14:textId="77777777" w:rsidR="009B3BB0" w:rsidRPr="0024409C" w:rsidRDefault="009B3BB0" w:rsidP="009B3BB0">
      <w:pPr>
        <w:spacing w:before="120" w:line="360" w:lineRule="auto"/>
        <w:ind w:left="43"/>
        <w:rPr>
          <w:rFonts w:ascii="Helvetica Neue" w:hAnsi="Helvetica Neue"/>
        </w:rPr>
      </w:pPr>
      <w:r w:rsidRPr="0024409C">
        <w:rPr>
          <w:rFonts w:ascii="Helvetica Neue" w:hAnsi="Helvetica Neue"/>
        </w:rPr>
        <w:t>The network features that we aim to preserve are as follows, with the parameters for each described in turn:</w:t>
      </w:r>
    </w:p>
    <w:p w14:paraId="7A7B1792" w14:textId="77777777" w:rsidR="009B3BB0" w:rsidRPr="0024409C" w:rsidRDefault="009B3BB0" w:rsidP="009B3BB0">
      <w:pPr>
        <w:pStyle w:val="ListParagraph"/>
        <w:numPr>
          <w:ilvl w:val="0"/>
          <w:numId w:val="35"/>
        </w:numPr>
        <w:spacing w:line="360" w:lineRule="auto"/>
        <w:contextualSpacing w:val="0"/>
        <w:rPr>
          <w:rFonts w:ascii="Helvetica Neue" w:hAnsi="Helvetica Neue"/>
        </w:rPr>
      </w:pPr>
      <w:r w:rsidRPr="0024409C">
        <w:rPr>
          <w:rFonts w:ascii="Helvetica Neue" w:hAnsi="Helvetica Neue"/>
        </w:rPr>
        <w:t>The proportion of men in any given combination of main and casual partnerships (for example, in 1 main and 0 casual partnerships) at any time point.</w:t>
      </w:r>
    </w:p>
    <w:p w14:paraId="5F443B0A" w14:textId="77777777" w:rsidR="009B3BB0" w:rsidRPr="0024409C" w:rsidRDefault="009B3BB0" w:rsidP="009B3BB0">
      <w:pPr>
        <w:pStyle w:val="ListParagraph"/>
        <w:numPr>
          <w:ilvl w:val="0"/>
          <w:numId w:val="35"/>
        </w:numPr>
        <w:spacing w:line="360" w:lineRule="auto"/>
        <w:contextualSpacing w:val="0"/>
        <w:rPr>
          <w:rFonts w:ascii="Helvetica Neue" w:hAnsi="Helvetica Neue"/>
        </w:rPr>
      </w:pPr>
      <w:r w:rsidRPr="0024409C">
        <w:rPr>
          <w:rFonts w:ascii="Helvetica Neue" w:hAnsi="Helvetica Neue"/>
        </w:rPr>
        <w:t>The expected number of one-time contacts per time step had by men in each main-casual combination.</w:t>
      </w:r>
    </w:p>
    <w:p w14:paraId="5799EA57" w14:textId="77777777" w:rsidR="009B3BB0" w:rsidRPr="0024409C" w:rsidRDefault="009B3BB0" w:rsidP="009B3BB0">
      <w:pPr>
        <w:pStyle w:val="ListParagraph"/>
        <w:numPr>
          <w:ilvl w:val="0"/>
          <w:numId w:val="35"/>
        </w:numPr>
        <w:spacing w:line="360" w:lineRule="auto"/>
        <w:contextualSpacing w:val="0"/>
        <w:rPr>
          <w:rFonts w:ascii="Helvetica Neue" w:hAnsi="Helvetica Neue"/>
        </w:rPr>
      </w:pPr>
      <w:r w:rsidRPr="0024409C">
        <w:rPr>
          <w:rFonts w:ascii="Helvetica Neue" w:hAnsi="Helvetica Neue"/>
        </w:rPr>
        <w:lastRenderedPageBreak/>
        <w:t>Variation across men in the numbers of one-time contacts.</w:t>
      </w:r>
    </w:p>
    <w:p w14:paraId="46BFE12C" w14:textId="77777777" w:rsidR="009B3BB0" w:rsidRPr="0024409C" w:rsidRDefault="009B3BB0" w:rsidP="009B3BB0">
      <w:pPr>
        <w:pStyle w:val="ListParagraph"/>
        <w:numPr>
          <w:ilvl w:val="0"/>
          <w:numId w:val="35"/>
        </w:numPr>
        <w:spacing w:line="360" w:lineRule="auto"/>
        <w:contextualSpacing w:val="0"/>
        <w:rPr>
          <w:rFonts w:ascii="Helvetica Neue" w:hAnsi="Helvetica Neue"/>
        </w:rPr>
      </w:pPr>
      <w:r w:rsidRPr="0024409C">
        <w:rPr>
          <w:rFonts w:ascii="Helvetica Neue" w:hAnsi="Helvetica Neue"/>
        </w:rPr>
        <w:t>Age mixing within each of the different relational types.</w:t>
      </w:r>
    </w:p>
    <w:p w14:paraId="4A2E3F75" w14:textId="2019FB82" w:rsidR="009B3BB0" w:rsidRPr="0024409C" w:rsidRDefault="009B3BB0" w:rsidP="009B3BB0">
      <w:pPr>
        <w:pStyle w:val="ListParagraph"/>
        <w:numPr>
          <w:ilvl w:val="0"/>
          <w:numId w:val="35"/>
        </w:numPr>
        <w:spacing w:line="360" w:lineRule="auto"/>
        <w:contextualSpacing w:val="0"/>
        <w:rPr>
          <w:rFonts w:ascii="Helvetica Neue" w:hAnsi="Helvetica Neue"/>
        </w:rPr>
      </w:pPr>
      <w:r w:rsidRPr="0024409C">
        <w:rPr>
          <w:rFonts w:ascii="Helvetica Neue" w:hAnsi="Helvetica Neue"/>
        </w:rPr>
        <w:t xml:space="preserve">Prohibitions against partnering for two men who are both exclusively insertive or </w:t>
      </w:r>
      <w:r w:rsidR="00C104A0" w:rsidRPr="0024409C">
        <w:rPr>
          <w:rFonts w:ascii="Helvetica Neue" w:hAnsi="Helvetica Neue"/>
        </w:rPr>
        <w:t xml:space="preserve">both </w:t>
      </w:r>
      <w:r w:rsidRPr="0024409C">
        <w:rPr>
          <w:rFonts w:ascii="Helvetica Neue" w:hAnsi="Helvetica Neue"/>
        </w:rPr>
        <w:t>exclusively receptive.</w:t>
      </w:r>
    </w:p>
    <w:p w14:paraId="6B45499D" w14:textId="6FA0A469" w:rsidR="009B3BB0" w:rsidRPr="0024409C" w:rsidRDefault="00273CDD" w:rsidP="009B3BB0">
      <w:pPr>
        <w:shd w:val="clear" w:color="auto" w:fill="FFFFFF" w:themeFill="background1"/>
        <w:spacing w:before="180" w:line="360" w:lineRule="auto"/>
        <w:rPr>
          <w:rFonts w:ascii="Helvetica Neue" w:hAnsi="Helvetica Neue"/>
          <w:i/>
        </w:rPr>
      </w:pPr>
      <w:r w:rsidRPr="0024409C">
        <w:rPr>
          <w:rFonts w:ascii="Helvetica Neue" w:eastAsia="Times New Roman" w:hAnsi="Helvetica Neue"/>
          <w:i/>
        </w:rPr>
        <w:t>2</w:t>
      </w:r>
      <w:r w:rsidR="009B3BB0" w:rsidRPr="0024409C">
        <w:rPr>
          <w:rFonts w:ascii="Helvetica Neue" w:eastAsia="Times New Roman" w:hAnsi="Helvetica Neue"/>
          <w:i/>
        </w:rPr>
        <w:t xml:space="preserve">.1.1 </w:t>
      </w:r>
      <w:r w:rsidR="009B3BB0" w:rsidRPr="0024409C">
        <w:rPr>
          <w:rFonts w:ascii="Helvetica Neue" w:eastAsia="Times New Roman" w:hAnsi="Helvetica Neue"/>
          <w:i/>
        </w:rPr>
        <w:tab/>
      </w:r>
      <w:r w:rsidR="009B3BB0" w:rsidRPr="0024409C">
        <w:rPr>
          <w:rFonts w:ascii="Helvetica Neue" w:hAnsi="Helvetica Neue"/>
          <w:i/>
        </w:rPr>
        <w:t xml:space="preserve">Number of Ongoing Main and Casual Partnerships </w:t>
      </w:r>
    </w:p>
    <w:p w14:paraId="5C25EB45" w14:textId="77777777" w:rsidR="009B3BB0" w:rsidRPr="0024409C" w:rsidRDefault="009B3BB0" w:rsidP="009B3BB0">
      <w:pPr>
        <w:shd w:val="clear" w:color="auto" w:fill="FFFFFF" w:themeFill="background1"/>
        <w:spacing w:after="180" w:line="360" w:lineRule="auto"/>
        <w:rPr>
          <w:rFonts w:ascii="Helvetica Neue" w:hAnsi="Helvetica Neue"/>
          <w:i/>
        </w:rPr>
      </w:pPr>
      <w:r w:rsidRPr="0024409C">
        <w:rPr>
          <w:rFonts w:ascii="Helvetica Neue" w:hAnsi="Helvetica Neue"/>
        </w:rPr>
        <w:t>Ongoing partnerships (whether main or casual) were defined from the combined dyadic dataset as those in which sex had already occurred more than once, and in which the respondent anticipated having sex again. Within this set, partnerships were defined as main if the respondent indicated that it was someone they “felt committed to above all others” or that they considered the person their “primary sex partner”; if neither of these conditions held, the partner was defined as casual.</w:t>
      </w:r>
      <w:r w:rsidRPr="0024409C">
        <w:rPr>
          <w:rFonts w:ascii="Helvetica Neue" w:hAnsi="Helvetica Neue"/>
          <w:i/>
        </w:rPr>
        <w:t xml:space="preserve"> </w:t>
      </w:r>
      <w:r w:rsidRPr="0024409C">
        <w:rPr>
          <w:rFonts w:ascii="Helvetica Neue" w:hAnsi="Helvetica Neue"/>
        </w:rPr>
        <w:t xml:space="preserve">This yielded the following </w:t>
      </w:r>
      <w:r w:rsidRPr="0024409C">
        <w:rPr>
          <w:rFonts w:ascii="Helvetica Neue" w:eastAsiaTheme="minorEastAsia" w:hAnsi="Helvetica Neue"/>
        </w:rPr>
        <w:t xml:space="preserve">proportions of men with a given number of main and casual relationships at a point in time (i.e. the expected </w:t>
      </w:r>
      <w:r w:rsidRPr="0024409C">
        <w:rPr>
          <w:rFonts w:ascii="Helvetica Neue" w:eastAsiaTheme="minorEastAsia" w:hAnsi="Helvetica Neue"/>
          <w:i/>
        </w:rPr>
        <w:t>momentary degree distribution</w:t>
      </w:r>
      <w:r w:rsidRPr="0024409C">
        <w:rPr>
          <w:rFonts w:ascii="Helvetica Neue" w:eastAsiaTheme="minorEastAsia" w:hAnsi="Helvetica Neue"/>
        </w:rPr>
        <w:t>):</w:t>
      </w:r>
    </w:p>
    <w:tbl>
      <w:tblPr>
        <w:tblStyle w:val="TableGrid"/>
        <w:tblW w:w="4303" w:type="dxa"/>
        <w:jc w:val="center"/>
        <w:tblCellMar>
          <w:left w:w="29" w:type="dxa"/>
          <w:right w:w="29" w:type="dxa"/>
        </w:tblCellMar>
        <w:tblLook w:val="04A0" w:firstRow="1" w:lastRow="0" w:firstColumn="1" w:lastColumn="0" w:noHBand="0" w:noVBand="1"/>
      </w:tblPr>
      <w:tblGrid>
        <w:gridCol w:w="1131"/>
        <w:gridCol w:w="1015"/>
        <w:gridCol w:w="1038"/>
        <w:gridCol w:w="1119"/>
      </w:tblGrid>
      <w:tr w:rsidR="009B3BB0" w:rsidRPr="0024409C" w14:paraId="02E5EE04" w14:textId="77777777" w:rsidTr="00EA384A">
        <w:trPr>
          <w:trHeight w:val="368"/>
          <w:jc w:val="center"/>
        </w:trPr>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F8AD0" w14:textId="77777777" w:rsidR="009B3BB0" w:rsidRPr="0024409C" w:rsidRDefault="009B3BB0" w:rsidP="00A2582E">
            <w:pPr>
              <w:jc w:val="right"/>
              <w:rPr>
                <w:rFonts w:ascii="Helvetica Neue" w:hAnsi="Helvetica Neue"/>
                <w:sz w:val="18"/>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D11C0" w14:textId="77777777" w:rsidR="009B3BB0" w:rsidRPr="0024409C" w:rsidRDefault="009B3BB0" w:rsidP="00A2582E">
            <w:pPr>
              <w:jc w:val="center"/>
              <w:rPr>
                <w:rFonts w:ascii="Helvetica Neue" w:hAnsi="Helvetica Neue"/>
                <w:i/>
                <w:sz w:val="18"/>
              </w:rPr>
            </w:pPr>
            <w:r w:rsidRPr="0024409C">
              <w:rPr>
                <w:rFonts w:ascii="Helvetica Neue" w:hAnsi="Helvetica Neue"/>
                <w:i/>
                <w:sz w:val="18"/>
              </w:rPr>
              <w:t>0 Casual</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EB178" w14:textId="77777777" w:rsidR="009B3BB0" w:rsidRPr="0024409C" w:rsidRDefault="009B3BB0" w:rsidP="00A2582E">
            <w:pPr>
              <w:jc w:val="center"/>
              <w:rPr>
                <w:rFonts w:ascii="Helvetica Neue" w:hAnsi="Helvetica Neue"/>
                <w:i/>
                <w:sz w:val="18"/>
              </w:rPr>
            </w:pPr>
            <w:r w:rsidRPr="0024409C">
              <w:rPr>
                <w:rFonts w:ascii="Helvetica Neue" w:hAnsi="Helvetica Neue"/>
                <w:i/>
                <w:sz w:val="18"/>
              </w:rPr>
              <w:t>1 Casual</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AFD58" w14:textId="77777777" w:rsidR="009B3BB0" w:rsidRPr="0024409C" w:rsidRDefault="009B3BB0" w:rsidP="00A2582E">
            <w:pPr>
              <w:jc w:val="center"/>
              <w:rPr>
                <w:rFonts w:ascii="Helvetica Neue" w:hAnsi="Helvetica Neue"/>
                <w:i/>
                <w:sz w:val="18"/>
              </w:rPr>
            </w:pPr>
            <w:r w:rsidRPr="0024409C">
              <w:rPr>
                <w:rFonts w:ascii="Helvetica Neue" w:hAnsi="Helvetica Neue"/>
                <w:i/>
                <w:sz w:val="18"/>
              </w:rPr>
              <w:t>2 Casual</w:t>
            </w:r>
          </w:p>
        </w:tc>
      </w:tr>
      <w:tr w:rsidR="009B3BB0" w:rsidRPr="0024409C" w14:paraId="27201C0F" w14:textId="77777777" w:rsidTr="00EA384A">
        <w:trPr>
          <w:trHeight w:val="382"/>
          <w:jc w:val="center"/>
        </w:trPr>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8C926" w14:textId="77777777" w:rsidR="009B3BB0" w:rsidRPr="0024409C" w:rsidRDefault="009B3BB0" w:rsidP="00A2582E">
            <w:pPr>
              <w:jc w:val="center"/>
              <w:rPr>
                <w:rFonts w:ascii="Helvetica Neue" w:hAnsi="Helvetica Neue"/>
                <w:i/>
                <w:sz w:val="18"/>
              </w:rPr>
            </w:pPr>
            <w:r w:rsidRPr="0024409C">
              <w:rPr>
                <w:rFonts w:ascii="Helvetica Neue" w:hAnsi="Helvetica Neue"/>
                <w:i/>
                <w:sz w:val="18"/>
              </w:rPr>
              <w:t>0 Main</w:t>
            </w:r>
          </w:p>
        </w:tc>
        <w:tc>
          <w:tcPr>
            <w:tcW w:w="1015" w:type="dxa"/>
            <w:tcBorders>
              <w:top w:val="single" w:sz="4" w:space="0" w:color="auto"/>
              <w:left w:val="single" w:sz="4" w:space="0" w:color="auto"/>
              <w:bottom w:val="single" w:sz="4" w:space="0" w:color="auto"/>
              <w:right w:val="single" w:sz="4" w:space="0" w:color="auto"/>
            </w:tcBorders>
            <w:vAlign w:val="center"/>
          </w:tcPr>
          <w:p w14:paraId="02798B68" w14:textId="77777777" w:rsidR="009B3BB0" w:rsidRPr="0024409C" w:rsidRDefault="009B3BB0" w:rsidP="00A2582E">
            <w:pPr>
              <w:jc w:val="center"/>
              <w:rPr>
                <w:rFonts w:ascii="Helvetica Neue" w:hAnsi="Helvetica Neue"/>
                <w:sz w:val="18"/>
              </w:rPr>
            </w:pPr>
            <w:r w:rsidRPr="0024409C">
              <w:rPr>
                <w:rFonts w:ascii="Helvetica Neue" w:hAnsi="Helvetica Neue"/>
                <w:sz w:val="18"/>
              </w:rPr>
              <w:t>47.1%</w:t>
            </w:r>
          </w:p>
        </w:tc>
        <w:tc>
          <w:tcPr>
            <w:tcW w:w="1038" w:type="dxa"/>
            <w:tcBorders>
              <w:top w:val="single" w:sz="4" w:space="0" w:color="auto"/>
              <w:left w:val="single" w:sz="4" w:space="0" w:color="auto"/>
              <w:bottom w:val="single" w:sz="4" w:space="0" w:color="auto"/>
              <w:right w:val="single" w:sz="4" w:space="0" w:color="auto"/>
            </w:tcBorders>
            <w:vAlign w:val="center"/>
          </w:tcPr>
          <w:p w14:paraId="0BE5BBAC" w14:textId="77777777" w:rsidR="009B3BB0" w:rsidRPr="0024409C" w:rsidRDefault="009B3BB0" w:rsidP="00A2582E">
            <w:pPr>
              <w:jc w:val="center"/>
              <w:rPr>
                <w:rFonts w:ascii="Helvetica Neue" w:hAnsi="Helvetica Neue"/>
                <w:sz w:val="18"/>
              </w:rPr>
            </w:pPr>
            <w:r w:rsidRPr="0024409C">
              <w:rPr>
                <w:rFonts w:ascii="Helvetica Neue" w:hAnsi="Helvetica Neue"/>
                <w:sz w:val="18"/>
              </w:rPr>
              <w:t>16.7%</w:t>
            </w:r>
          </w:p>
        </w:tc>
        <w:tc>
          <w:tcPr>
            <w:tcW w:w="1119" w:type="dxa"/>
            <w:tcBorders>
              <w:top w:val="single" w:sz="4" w:space="0" w:color="auto"/>
              <w:left w:val="single" w:sz="4" w:space="0" w:color="auto"/>
              <w:bottom w:val="single" w:sz="4" w:space="0" w:color="auto"/>
              <w:right w:val="single" w:sz="4" w:space="0" w:color="auto"/>
            </w:tcBorders>
            <w:vAlign w:val="center"/>
          </w:tcPr>
          <w:p w14:paraId="075D7362" w14:textId="77777777" w:rsidR="009B3BB0" w:rsidRPr="0024409C" w:rsidRDefault="009B3BB0" w:rsidP="00A2582E">
            <w:pPr>
              <w:jc w:val="center"/>
              <w:rPr>
                <w:rFonts w:ascii="Helvetica Neue" w:hAnsi="Helvetica Neue"/>
                <w:sz w:val="18"/>
              </w:rPr>
            </w:pPr>
            <w:r w:rsidRPr="0024409C">
              <w:rPr>
                <w:rFonts w:ascii="Helvetica Neue" w:hAnsi="Helvetica Neue"/>
                <w:sz w:val="18"/>
              </w:rPr>
              <w:t>7.4%</w:t>
            </w:r>
          </w:p>
        </w:tc>
      </w:tr>
      <w:tr w:rsidR="009B3BB0" w:rsidRPr="0024409C" w14:paraId="274B7BAE" w14:textId="77777777" w:rsidTr="00EA384A">
        <w:trPr>
          <w:trHeight w:val="333"/>
          <w:jc w:val="center"/>
        </w:trPr>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12F24" w14:textId="77777777" w:rsidR="009B3BB0" w:rsidRPr="0024409C" w:rsidRDefault="009B3BB0" w:rsidP="00A2582E">
            <w:pPr>
              <w:jc w:val="center"/>
              <w:rPr>
                <w:rFonts w:ascii="Helvetica Neue" w:hAnsi="Helvetica Neue"/>
                <w:i/>
                <w:sz w:val="18"/>
              </w:rPr>
            </w:pPr>
            <w:r w:rsidRPr="0024409C">
              <w:rPr>
                <w:rFonts w:ascii="Helvetica Neue" w:hAnsi="Helvetica Neue"/>
                <w:i/>
                <w:sz w:val="18"/>
              </w:rPr>
              <w:t>1 Main</w:t>
            </w:r>
          </w:p>
        </w:tc>
        <w:tc>
          <w:tcPr>
            <w:tcW w:w="1015" w:type="dxa"/>
            <w:tcBorders>
              <w:top w:val="single" w:sz="4" w:space="0" w:color="auto"/>
              <w:left w:val="single" w:sz="4" w:space="0" w:color="auto"/>
              <w:bottom w:val="single" w:sz="4" w:space="0" w:color="auto"/>
              <w:right w:val="single" w:sz="4" w:space="0" w:color="auto"/>
            </w:tcBorders>
            <w:vAlign w:val="center"/>
          </w:tcPr>
          <w:p w14:paraId="7ADA33CB" w14:textId="77777777" w:rsidR="009B3BB0" w:rsidRPr="0024409C" w:rsidRDefault="009B3BB0" w:rsidP="00A2582E">
            <w:pPr>
              <w:jc w:val="center"/>
              <w:rPr>
                <w:rFonts w:ascii="Helvetica Neue" w:hAnsi="Helvetica Neue"/>
                <w:sz w:val="18"/>
              </w:rPr>
            </w:pPr>
            <w:r w:rsidRPr="0024409C">
              <w:rPr>
                <w:rFonts w:ascii="Helvetica Neue" w:hAnsi="Helvetica Neue"/>
                <w:sz w:val="18"/>
              </w:rPr>
              <w:t>22.0%</w:t>
            </w:r>
          </w:p>
        </w:tc>
        <w:tc>
          <w:tcPr>
            <w:tcW w:w="1038" w:type="dxa"/>
            <w:tcBorders>
              <w:top w:val="single" w:sz="4" w:space="0" w:color="auto"/>
              <w:left w:val="single" w:sz="4" w:space="0" w:color="auto"/>
              <w:bottom w:val="single" w:sz="4" w:space="0" w:color="auto"/>
              <w:right w:val="single" w:sz="4" w:space="0" w:color="auto"/>
            </w:tcBorders>
            <w:vAlign w:val="center"/>
          </w:tcPr>
          <w:p w14:paraId="2001EA09" w14:textId="77777777" w:rsidR="009B3BB0" w:rsidRPr="0024409C" w:rsidRDefault="009B3BB0" w:rsidP="00A2582E">
            <w:pPr>
              <w:jc w:val="center"/>
              <w:rPr>
                <w:rFonts w:ascii="Helvetica Neue" w:hAnsi="Helvetica Neue"/>
                <w:sz w:val="18"/>
              </w:rPr>
            </w:pPr>
            <w:r w:rsidRPr="0024409C">
              <w:rPr>
                <w:rFonts w:ascii="Helvetica Neue" w:hAnsi="Helvetica Neue"/>
                <w:sz w:val="18"/>
              </w:rPr>
              <w:t>4.7%</w:t>
            </w:r>
          </w:p>
        </w:tc>
        <w:tc>
          <w:tcPr>
            <w:tcW w:w="1119" w:type="dxa"/>
            <w:tcBorders>
              <w:top w:val="single" w:sz="4" w:space="0" w:color="auto"/>
              <w:left w:val="single" w:sz="4" w:space="0" w:color="auto"/>
              <w:bottom w:val="single" w:sz="4" w:space="0" w:color="auto"/>
              <w:right w:val="single" w:sz="4" w:space="0" w:color="auto"/>
            </w:tcBorders>
            <w:vAlign w:val="center"/>
          </w:tcPr>
          <w:p w14:paraId="047C1558" w14:textId="77777777" w:rsidR="009B3BB0" w:rsidRPr="0024409C" w:rsidRDefault="009B3BB0" w:rsidP="00A2582E">
            <w:pPr>
              <w:jc w:val="center"/>
              <w:rPr>
                <w:rFonts w:ascii="Helvetica Neue" w:hAnsi="Helvetica Neue"/>
                <w:sz w:val="18"/>
              </w:rPr>
            </w:pPr>
            <w:r w:rsidRPr="0024409C">
              <w:rPr>
                <w:rFonts w:ascii="Helvetica Neue" w:hAnsi="Helvetica Neue"/>
                <w:sz w:val="18"/>
              </w:rPr>
              <w:t>2.1%</w:t>
            </w:r>
          </w:p>
        </w:tc>
      </w:tr>
    </w:tbl>
    <w:p w14:paraId="15D48A38" w14:textId="517685C9" w:rsidR="009B3BB0" w:rsidRPr="0024409C" w:rsidRDefault="00273CDD" w:rsidP="009B3BB0">
      <w:pPr>
        <w:spacing w:before="300" w:line="360" w:lineRule="auto"/>
        <w:rPr>
          <w:rFonts w:ascii="Helvetica Neue" w:hAnsi="Helvetica Neue"/>
          <w:i/>
        </w:rPr>
      </w:pPr>
      <w:r w:rsidRPr="0024409C">
        <w:rPr>
          <w:rFonts w:ascii="Helvetica Neue" w:eastAsiaTheme="minorEastAsia" w:hAnsi="Helvetica Neue"/>
          <w:i/>
        </w:rPr>
        <w:t>2</w:t>
      </w:r>
      <w:r w:rsidR="009B3BB0" w:rsidRPr="0024409C">
        <w:rPr>
          <w:rFonts w:ascii="Helvetica Neue" w:eastAsiaTheme="minorEastAsia" w:hAnsi="Helvetica Neue"/>
          <w:i/>
        </w:rPr>
        <w:t xml:space="preserve">.1.2 </w:t>
      </w:r>
      <w:r w:rsidR="009B3BB0" w:rsidRPr="0024409C">
        <w:rPr>
          <w:rFonts w:ascii="Helvetica Neue" w:eastAsiaTheme="minorEastAsia" w:hAnsi="Helvetica Neue"/>
          <w:i/>
        </w:rPr>
        <w:tab/>
        <w:t xml:space="preserve">Expected </w:t>
      </w:r>
      <w:r w:rsidR="009B3BB0" w:rsidRPr="0024409C">
        <w:rPr>
          <w:rFonts w:ascii="Helvetica Neue" w:hAnsi="Helvetica Neue"/>
          <w:i/>
        </w:rPr>
        <w:t>Number of One-Time AI Contacts, by Main/Casual Degree</w:t>
      </w:r>
    </w:p>
    <w:p w14:paraId="15C74F2D" w14:textId="77777777" w:rsidR="009B3BB0" w:rsidRPr="0024409C" w:rsidRDefault="009B3BB0" w:rsidP="009B3BB0">
      <w:pPr>
        <w:spacing w:after="180" w:line="360" w:lineRule="auto"/>
        <w:rPr>
          <w:rFonts w:ascii="Helvetica Neue" w:hAnsi="Helvetica Neue"/>
        </w:rPr>
      </w:pPr>
      <w:r w:rsidRPr="0024409C">
        <w:rPr>
          <w:rFonts w:ascii="Helvetica Neue" w:hAnsi="Helvetica Neue"/>
        </w:rPr>
        <w:t>Respondents</w:t>
      </w:r>
      <w:r w:rsidRPr="0024409C">
        <w:rPr>
          <w:rFonts w:ascii="Helvetica Neue" w:hAnsi="Helvetica Neue"/>
          <w:i/>
        </w:rPr>
        <w:t xml:space="preserve"> </w:t>
      </w:r>
      <w:r w:rsidRPr="0024409C">
        <w:rPr>
          <w:rFonts w:ascii="Helvetica Neue" w:hAnsi="Helvetica Neue"/>
        </w:rPr>
        <w:t>in the combined dyadic dataset were asked whether they had had sex with each partner once or more than once; the former response led to the contact being defined as one-time. These contacts cannot be analyzed in terms of momentary degree distributions, since none are ongoing at the point of interview, by definition. Instead, we turn the observed frequencies into expected rates of one-time contacts per time step for men under different conditions. One of the sources of heterogeneity in men’s propensity for one-time AI contacts is their current relationship status. The expected numbers are given by:</w:t>
      </w:r>
    </w:p>
    <w:tbl>
      <w:tblPr>
        <w:tblStyle w:val="TableGrid"/>
        <w:tblW w:w="4510" w:type="dxa"/>
        <w:jc w:val="center"/>
        <w:tblCellMar>
          <w:left w:w="29" w:type="dxa"/>
          <w:right w:w="29" w:type="dxa"/>
        </w:tblCellMar>
        <w:tblLook w:val="04A0" w:firstRow="1" w:lastRow="0" w:firstColumn="1" w:lastColumn="0" w:noHBand="0" w:noVBand="1"/>
      </w:tblPr>
      <w:tblGrid>
        <w:gridCol w:w="1235"/>
        <w:gridCol w:w="1083"/>
        <w:gridCol w:w="1109"/>
        <w:gridCol w:w="1083"/>
      </w:tblGrid>
      <w:tr w:rsidR="009B3BB0" w:rsidRPr="0024409C" w14:paraId="0DD730C2" w14:textId="77777777" w:rsidTr="00EA384A">
        <w:trPr>
          <w:trHeight w:val="389"/>
          <w:jc w:val="center"/>
        </w:trPr>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53A1B" w14:textId="77777777" w:rsidR="009B3BB0" w:rsidRPr="0024409C" w:rsidRDefault="009B3BB0" w:rsidP="00A2582E">
            <w:pPr>
              <w:jc w:val="center"/>
              <w:rPr>
                <w:rFonts w:ascii="Helvetica Neue" w:hAnsi="Helvetica Neue"/>
                <w:sz w:val="18"/>
              </w:rPr>
            </w:pP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DF99" w14:textId="77777777" w:rsidR="009B3BB0" w:rsidRPr="0024409C" w:rsidRDefault="009B3BB0" w:rsidP="00A2582E">
            <w:pPr>
              <w:jc w:val="center"/>
              <w:rPr>
                <w:rFonts w:ascii="Helvetica Neue" w:hAnsi="Helvetica Neue"/>
                <w:sz w:val="18"/>
              </w:rPr>
            </w:pPr>
            <w:r w:rsidRPr="0024409C">
              <w:rPr>
                <w:rFonts w:ascii="Helvetica Neue" w:hAnsi="Helvetica Neue"/>
                <w:i/>
                <w:sz w:val="18"/>
              </w:rPr>
              <w:t>0 Casual</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8B67E" w14:textId="77777777" w:rsidR="009B3BB0" w:rsidRPr="0024409C" w:rsidRDefault="009B3BB0" w:rsidP="00A2582E">
            <w:pPr>
              <w:jc w:val="center"/>
              <w:rPr>
                <w:rFonts w:ascii="Helvetica Neue" w:hAnsi="Helvetica Neue"/>
                <w:sz w:val="18"/>
              </w:rPr>
            </w:pPr>
            <w:r w:rsidRPr="0024409C">
              <w:rPr>
                <w:rFonts w:ascii="Helvetica Neue" w:hAnsi="Helvetica Neue"/>
                <w:i/>
                <w:sz w:val="18"/>
              </w:rPr>
              <w:t>1 Casual</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DC54F" w14:textId="77777777" w:rsidR="009B3BB0" w:rsidRPr="0024409C" w:rsidRDefault="009B3BB0" w:rsidP="00A2582E">
            <w:pPr>
              <w:jc w:val="center"/>
              <w:rPr>
                <w:rFonts w:ascii="Helvetica Neue" w:hAnsi="Helvetica Neue"/>
                <w:sz w:val="18"/>
              </w:rPr>
            </w:pPr>
            <w:r w:rsidRPr="0024409C">
              <w:rPr>
                <w:rFonts w:ascii="Helvetica Neue" w:hAnsi="Helvetica Neue"/>
                <w:i/>
                <w:sz w:val="18"/>
              </w:rPr>
              <w:t>2 Casual</w:t>
            </w:r>
          </w:p>
        </w:tc>
      </w:tr>
      <w:tr w:rsidR="009B3BB0" w:rsidRPr="0024409C" w14:paraId="7E166EB7" w14:textId="77777777" w:rsidTr="00EA384A">
        <w:trPr>
          <w:trHeight w:val="389"/>
          <w:jc w:val="center"/>
        </w:trPr>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639C7" w14:textId="77777777" w:rsidR="009B3BB0" w:rsidRPr="0024409C" w:rsidRDefault="009B3BB0" w:rsidP="00A2582E">
            <w:pPr>
              <w:jc w:val="center"/>
              <w:rPr>
                <w:rFonts w:ascii="Helvetica Neue" w:hAnsi="Helvetica Neue"/>
                <w:sz w:val="18"/>
              </w:rPr>
            </w:pPr>
            <w:r w:rsidRPr="0024409C">
              <w:rPr>
                <w:rFonts w:ascii="Helvetica Neue" w:hAnsi="Helvetica Neue"/>
                <w:i/>
                <w:sz w:val="18"/>
              </w:rPr>
              <w:t>0 Main</w:t>
            </w:r>
          </w:p>
        </w:tc>
        <w:tc>
          <w:tcPr>
            <w:tcW w:w="1083" w:type="dxa"/>
            <w:tcBorders>
              <w:top w:val="single" w:sz="4" w:space="0" w:color="auto"/>
              <w:left w:val="single" w:sz="4" w:space="0" w:color="auto"/>
              <w:bottom w:val="single" w:sz="4" w:space="0" w:color="auto"/>
              <w:right w:val="single" w:sz="4" w:space="0" w:color="auto"/>
            </w:tcBorders>
            <w:vAlign w:val="center"/>
          </w:tcPr>
          <w:p w14:paraId="39933CB8" w14:textId="77777777" w:rsidR="009B3BB0" w:rsidRPr="0024409C" w:rsidRDefault="009B3BB0" w:rsidP="00A2582E">
            <w:pPr>
              <w:jc w:val="center"/>
              <w:rPr>
                <w:rFonts w:ascii="Helvetica Neue" w:hAnsi="Helvetica Neue"/>
                <w:sz w:val="18"/>
              </w:rPr>
            </w:pPr>
            <w:r w:rsidRPr="0024409C">
              <w:rPr>
                <w:rFonts w:ascii="Helvetica Neue" w:hAnsi="Helvetica Neue"/>
                <w:sz w:val="18"/>
              </w:rPr>
              <w:t>0.065</w:t>
            </w:r>
          </w:p>
        </w:tc>
        <w:tc>
          <w:tcPr>
            <w:tcW w:w="1109" w:type="dxa"/>
            <w:tcBorders>
              <w:top w:val="single" w:sz="4" w:space="0" w:color="auto"/>
              <w:left w:val="single" w:sz="4" w:space="0" w:color="auto"/>
              <w:bottom w:val="single" w:sz="4" w:space="0" w:color="auto"/>
              <w:right w:val="single" w:sz="4" w:space="0" w:color="auto"/>
            </w:tcBorders>
            <w:vAlign w:val="center"/>
          </w:tcPr>
          <w:p w14:paraId="608D25E0" w14:textId="77777777" w:rsidR="009B3BB0" w:rsidRPr="0024409C" w:rsidRDefault="009B3BB0" w:rsidP="00A2582E">
            <w:pPr>
              <w:jc w:val="center"/>
              <w:rPr>
                <w:rFonts w:ascii="Helvetica Neue" w:hAnsi="Helvetica Neue"/>
                <w:sz w:val="18"/>
              </w:rPr>
            </w:pPr>
            <w:r w:rsidRPr="0024409C">
              <w:rPr>
                <w:rFonts w:ascii="Helvetica Neue" w:hAnsi="Helvetica Neue"/>
                <w:sz w:val="18"/>
              </w:rPr>
              <w:t>0.087</w:t>
            </w:r>
          </w:p>
        </w:tc>
        <w:tc>
          <w:tcPr>
            <w:tcW w:w="1083" w:type="dxa"/>
            <w:tcBorders>
              <w:top w:val="single" w:sz="4" w:space="0" w:color="auto"/>
              <w:left w:val="single" w:sz="4" w:space="0" w:color="auto"/>
              <w:bottom w:val="single" w:sz="4" w:space="0" w:color="auto"/>
              <w:right w:val="single" w:sz="4" w:space="0" w:color="auto"/>
            </w:tcBorders>
            <w:vAlign w:val="center"/>
          </w:tcPr>
          <w:p w14:paraId="21F2E3B6" w14:textId="77777777" w:rsidR="009B3BB0" w:rsidRPr="0024409C" w:rsidRDefault="009B3BB0" w:rsidP="00A2582E">
            <w:pPr>
              <w:jc w:val="center"/>
              <w:rPr>
                <w:rFonts w:ascii="Helvetica Neue" w:hAnsi="Helvetica Neue"/>
                <w:sz w:val="18"/>
              </w:rPr>
            </w:pPr>
            <w:r w:rsidRPr="0024409C">
              <w:rPr>
                <w:rFonts w:ascii="Helvetica Neue" w:hAnsi="Helvetica Neue"/>
                <w:sz w:val="18"/>
              </w:rPr>
              <w:t>0.086</w:t>
            </w:r>
          </w:p>
        </w:tc>
      </w:tr>
      <w:tr w:rsidR="009B3BB0" w:rsidRPr="0024409C" w14:paraId="23719958" w14:textId="77777777" w:rsidTr="00EA384A">
        <w:trPr>
          <w:trHeight w:val="389"/>
          <w:jc w:val="center"/>
        </w:trPr>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26C20" w14:textId="77777777" w:rsidR="009B3BB0" w:rsidRPr="0024409C" w:rsidRDefault="009B3BB0" w:rsidP="00A2582E">
            <w:pPr>
              <w:jc w:val="center"/>
              <w:rPr>
                <w:rFonts w:ascii="Helvetica Neue" w:hAnsi="Helvetica Neue"/>
                <w:sz w:val="18"/>
              </w:rPr>
            </w:pPr>
            <w:r w:rsidRPr="0024409C">
              <w:rPr>
                <w:rFonts w:ascii="Helvetica Neue" w:hAnsi="Helvetica Neue"/>
                <w:i/>
                <w:sz w:val="18"/>
              </w:rPr>
              <w:t>1 Main</w:t>
            </w:r>
          </w:p>
        </w:tc>
        <w:tc>
          <w:tcPr>
            <w:tcW w:w="1083" w:type="dxa"/>
            <w:tcBorders>
              <w:top w:val="single" w:sz="4" w:space="0" w:color="auto"/>
              <w:left w:val="single" w:sz="4" w:space="0" w:color="auto"/>
              <w:bottom w:val="single" w:sz="4" w:space="0" w:color="auto"/>
              <w:right w:val="single" w:sz="4" w:space="0" w:color="auto"/>
            </w:tcBorders>
            <w:vAlign w:val="center"/>
          </w:tcPr>
          <w:p w14:paraId="1B1AD507" w14:textId="77777777" w:rsidR="009B3BB0" w:rsidRPr="0024409C" w:rsidRDefault="009B3BB0" w:rsidP="00A2582E">
            <w:pPr>
              <w:jc w:val="center"/>
              <w:rPr>
                <w:rFonts w:ascii="Helvetica Neue" w:hAnsi="Helvetica Neue"/>
                <w:sz w:val="18"/>
              </w:rPr>
            </w:pPr>
            <w:r w:rsidRPr="0024409C">
              <w:rPr>
                <w:rFonts w:ascii="Helvetica Neue" w:hAnsi="Helvetica Neue"/>
                <w:sz w:val="18"/>
              </w:rPr>
              <w:t>0.056</w:t>
            </w:r>
          </w:p>
        </w:tc>
        <w:tc>
          <w:tcPr>
            <w:tcW w:w="1109" w:type="dxa"/>
            <w:tcBorders>
              <w:top w:val="single" w:sz="4" w:space="0" w:color="auto"/>
              <w:left w:val="single" w:sz="4" w:space="0" w:color="auto"/>
              <w:bottom w:val="single" w:sz="4" w:space="0" w:color="auto"/>
              <w:right w:val="single" w:sz="4" w:space="0" w:color="auto"/>
            </w:tcBorders>
            <w:vAlign w:val="center"/>
          </w:tcPr>
          <w:p w14:paraId="6F6B395E" w14:textId="77777777" w:rsidR="009B3BB0" w:rsidRPr="0024409C" w:rsidRDefault="009B3BB0" w:rsidP="00A2582E">
            <w:pPr>
              <w:jc w:val="center"/>
              <w:rPr>
                <w:rFonts w:ascii="Helvetica Neue" w:hAnsi="Helvetica Neue"/>
                <w:sz w:val="18"/>
              </w:rPr>
            </w:pPr>
            <w:r w:rsidRPr="0024409C">
              <w:rPr>
                <w:rFonts w:ascii="Helvetica Neue" w:hAnsi="Helvetica Neue"/>
                <w:sz w:val="18"/>
              </w:rPr>
              <w:t>0.055</w:t>
            </w:r>
          </w:p>
        </w:tc>
        <w:tc>
          <w:tcPr>
            <w:tcW w:w="1083" w:type="dxa"/>
            <w:tcBorders>
              <w:top w:val="single" w:sz="4" w:space="0" w:color="auto"/>
              <w:left w:val="single" w:sz="4" w:space="0" w:color="auto"/>
              <w:bottom w:val="single" w:sz="4" w:space="0" w:color="auto"/>
              <w:right w:val="single" w:sz="4" w:space="0" w:color="auto"/>
            </w:tcBorders>
            <w:vAlign w:val="center"/>
          </w:tcPr>
          <w:p w14:paraId="7F84C474" w14:textId="77777777" w:rsidR="009B3BB0" w:rsidRPr="0024409C" w:rsidRDefault="009B3BB0" w:rsidP="00A2582E">
            <w:pPr>
              <w:jc w:val="center"/>
              <w:rPr>
                <w:rFonts w:ascii="Helvetica Neue" w:hAnsi="Helvetica Neue"/>
                <w:sz w:val="18"/>
              </w:rPr>
            </w:pPr>
            <w:r w:rsidRPr="0024409C">
              <w:rPr>
                <w:rFonts w:ascii="Helvetica Neue" w:hAnsi="Helvetica Neue"/>
                <w:sz w:val="18"/>
              </w:rPr>
              <w:t>0.055</w:t>
            </w:r>
          </w:p>
        </w:tc>
      </w:tr>
    </w:tbl>
    <w:p w14:paraId="643D3C24" w14:textId="0D60D4F0" w:rsidR="00AF7357" w:rsidRPr="0024409C" w:rsidRDefault="00AF7357">
      <w:pPr>
        <w:spacing w:after="160" w:line="259" w:lineRule="auto"/>
        <w:rPr>
          <w:rFonts w:ascii="Helvetica Neue" w:eastAsiaTheme="minorEastAsia" w:hAnsi="Helvetica Neue"/>
          <w:i/>
        </w:rPr>
      </w:pPr>
    </w:p>
    <w:p w14:paraId="24ADFB77" w14:textId="1B7B4CC7" w:rsidR="009B3BB0" w:rsidRPr="0024409C" w:rsidRDefault="00273CDD" w:rsidP="009B3BB0">
      <w:pPr>
        <w:spacing w:line="360" w:lineRule="auto"/>
        <w:rPr>
          <w:rFonts w:ascii="Helvetica Neue" w:hAnsi="Helvetica Neue"/>
        </w:rPr>
      </w:pPr>
      <w:r w:rsidRPr="0024409C">
        <w:rPr>
          <w:rFonts w:ascii="Helvetica Neue" w:eastAsiaTheme="minorEastAsia" w:hAnsi="Helvetica Neue"/>
          <w:i/>
        </w:rPr>
        <w:t>2</w:t>
      </w:r>
      <w:r w:rsidR="009B3BB0" w:rsidRPr="0024409C">
        <w:rPr>
          <w:rFonts w:ascii="Helvetica Neue" w:eastAsiaTheme="minorEastAsia" w:hAnsi="Helvetica Neue"/>
          <w:i/>
        </w:rPr>
        <w:t>.1.3</w:t>
      </w:r>
      <w:r w:rsidR="009B3BB0" w:rsidRPr="0024409C">
        <w:rPr>
          <w:rFonts w:ascii="Helvetica Neue" w:eastAsiaTheme="minorEastAsia" w:hAnsi="Helvetica Neue"/>
          <w:i/>
        </w:rPr>
        <w:tab/>
      </w:r>
      <w:r w:rsidR="009B3BB0" w:rsidRPr="0024409C">
        <w:rPr>
          <w:rFonts w:ascii="Helvetica Neue" w:hAnsi="Helvetica Neue"/>
          <w:i/>
        </w:rPr>
        <w:t>Heterogeneity in the One-Time Contact Rate</w:t>
      </w:r>
      <w:r w:rsidR="009B3BB0" w:rsidRPr="0024409C">
        <w:rPr>
          <w:rFonts w:ascii="Helvetica Neue" w:hAnsi="Helvetica Neue"/>
        </w:rPr>
        <w:t xml:space="preserve"> </w:t>
      </w:r>
    </w:p>
    <w:p w14:paraId="4194DD52" w14:textId="77777777" w:rsidR="009B3BB0" w:rsidRPr="0024409C" w:rsidRDefault="009B3BB0" w:rsidP="009B3BB0">
      <w:pPr>
        <w:spacing w:line="360" w:lineRule="auto"/>
        <w:rPr>
          <w:rFonts w:ascii="Helvetica Neue" w:eastAsiaTheme="minorEastAsia" w:hAnsi="Helvetica Neue"/>
        </w:rPr>
      </w:pPr>
      <w:r w:rsidRPr="0024409C">
        <w:rPr>
          <w:rFonts w:ascii="Helvetica Neue" w:hAnsi="Helvetica Neue"/>
        </w:rPr>
        <w:lastRenderedPageBreak/>
        <w:t xml:space="preserve">In addition to differences by relational status, men also have underlying fixed heterogeneities in their propensity to engage in one-time AI. The distribution of one-time contacts was divided into </w:t>
      </w:r>
      <w:r w:rsidRPr="0024409C">
        <w:rPr>
          <w:rFonts w:ascii="Helvetica Neue" w:eastAsiaTheme="minorEastAsia" w:hAnsi="Helvetica Neue"/>
        </w:rPr>
        <w:t>quintiles, within which the expected values of one-time AI per time step are:</w:t>
      </w:r>
    </w:p>
    <w:p w14:paraId="06FB6B82" w14:textId="77777777" w:rsidR="009B3BB0" w:rsidRPr="0024409C" w:rsidRDefault="009B3BB0" w:rsidP="009B3BB0">
      <w:pPr>
        <w:spacing w:line="360" w:lineRule="auto"/>
        <w:rPr>
          <w:rFonts w:ascii="Helvetica Neue" w:eastAsiaTheme="minorEastAsia" w:hAnsi="Helvetica Neue"/>
        </w:rPr>
      </w:pPr>
    </w:p>
    <w:tbl>
      <w:tblPr>
        <w:tblStyle w:val="TableGrid"/>
        <w:tblW w:w="2959" w:type="dxa"/>
        <w:jc w:val="center"/>
        <w:tblLook w:val="04A0" w:firstRow="1" w:lastRow="0" w:firstColumn="1" w:lastColumn="0" w:noHBand="0" w:noVBand="1"/>
      </w:tblPr>
      <w:tblGrid>
        <w:gridCol w:w="1890"/>
        <w:gridCol w:w="1069"/>
      </w:tblGrid>
      <w:tr w:rsidR="009B3BB0" w:rsidRPr="0024409C" w14:paraId="492E6FDA" w14:textId="77777777" w:rsidTr="00A2582E">
        <w:trPr>
          <w:trHeight w:val="389"/>
          <w:jc w:val="center"/>
        </w:trPr>
        <w:tc>
          <w:tcPr>
            <w:tcW w:w="1890" w:type="dxa"/>
            <w:shd w:val="clear" w:color="auto" w:fill="D9D9D9" w:themeFill="background1" w:themeFillShade="D9"/>
            <w:vAlign w:val="center"/>
          </w:tcPr>
          <w:p w14:paraId="76581019"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Quintile</w:t>
            </w:r>
          </w:p>
        </w:tc>
        <w:tc>
          <w:tcPr>
            <w:tcW w:w="1069" w:type="dxa"/>
            <w:shd w:val="clear" w:color="auto" w:fill="D9D9D9" w:themeFill="background1" w:themeFillShade="D9"/>
            <w:vAlign w:val="center"/>
          </w:tcPr>
          <w:p w14:paraId="2B6E7FED"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Value</w:t>
            </w:r>
          </w:p>
        </w:tc>
      </w:tr>
      <w:tr w:rsidR="009B3BB0" w:rsidRPr="0024409C" w14:paraId="2EA9D20F" w14:textId="77777777" w:rsidTr="00A2582E">
        <w:trPr>
          <w:trHeight w:val="389"/>
          <w:jc w:val="center"/>
        </w:trPr>
        <w:tc>
          <w:tcPr>
            <w:tcW w:w="1890" w:type="dxa"/>
            <w:vAlign w:val="center"/>
          </w:tcPr>
          <w:p w14:paraId="1585E659" w14:textId="77777777" w:rsidR="009B3BB0" w:rsidRPr="0024409C" w:rsidRDefault="009B3BB0" w:rsidP="00A2582E">
            <w:pPr>
              <w:rPr>
                <w:rFonts w:ascii="Helvetica Neue" w:hAnsi="Helvetica Neue"/>
                <w:sz w:val="18"/>
              </w:rPr>
            </w:pPr>
            <w:r w:rsidRPr="0024409C">
              <w:rPr>
                <w:rFonts w:ascii="Helvetica Neue" w:hAnsi="Helvetica Neue"/>
                <w:sz w:val="18"/>
              </w:rPr>
              <w:t>Lowest quintile</w:t>
            </w:r>
          </w:p>
        </w:tc>
        <w:tc>
          <w:tcPr>
            <w:tcW w:w="1069" w:type="dxa"/>
            <w:vAlign w:val="center"/>
          </w:tcPr>
          <w:p w14:paraId="4CE2AA3D" w14:textId="77777777" w:rsidR="009B3BB0" w:rsidRPr="0024409C" w:rsidRDefault="009B3BB0" w:rsidP="00A2582E">
            <w:pPr>
              <w:jc w:val="center"/>
              <w:rPr>
                <w:rFonts w:ascii="Helvetica Neue" w:hAnsi="Helvetica Neue"/>
                <w:sz w:val="18"/>
              </w:rPr>
            </w:pPr>
            <w:r w:rsidRPr="0024409C">
              <w:rPr>
                <w:rFonts w:ascii="Helvetica Neue" w:hAnsi="Helvetica Neue"/>
                <w:sz w:val="18"/>
              </w:rPr>
              <w:t>0.000</w:t>
            </w:r>
          </w:p>
        </w:tc>
      </w:tr>
      <w:tr w:rsidR="009B3BB0" w:rsidRPr="0024409C" w14:paraId="38557C78" w14:textId="77777777" w:rsidTr="00A2582E">
        <w:trPr>
          <w:trHeight w:val="389"/>
          <w:jc w:val="center"/>
        </w:trPr>
        <w:tc>
          <w:tcPr>
            <w:tcW w:w="1890" w:type="dxa"/>
            <w:vAlign w:val="center"/>
          </w:tcPr>
          <w:p w14:paraId="43EC5281" w14:textId="77777777" w:rsidR="009B3BB0" w:rsidRPr="0024409C" w:rsidRDefault="009B3BB0" w:rsidP="00A2582E">
            <w:pPr>
              <w:rPr>
                <w:rFonts w:ascii="Helvetica Neue" w:hAnsi="Helvetica Neue"/>
                <w:sz w:val="18"/>
              </w:rPr>
            </w:pPr>
            <w:r w:rsidRPr="0024409C">
              <w:rPr>
                <w:rFonts w:ascii="Helvetica Neue" w:hAnsi="Helvetica Neue"/>
                <w:sz w:val="18"/>
              </w:rPr>
              <w:t>Second quintile</w:t>
            </w:r>
          </w:p>
        </w:tc>
        <w:tc>
          <w:tcPr>
            <w:tcW w:w="1069" w:type="dxa"/>
            <w:vAlign w:val="center"/>
          </w:tcPr>
          <w:p w14:paraId="5C25FC86" w14:textId="77777777" w:rsidR="009B3BB0" w:rsidRPr="0024409C" w:rsidRDefault="009B3BB0" w:rsidP="00A2582E">
            <w:pPr>
              <w:jc w:val="center"/>
              <w:rPr>
                <w:rFonts w:ascii="Helvetica Neue" w:hAnsi="Helvetica Neue"/>
                <w:sz w:val="18"/>
              </w:rPr>
            </w:pPr>
            <w:r w:rsidRPr="0024409C">
              <w:rPr>
                <w:rFonts w:ascii="Helvetica Neue" w:hAnsi="Helvetica Neue"/>
                <w:sz w:val="18"/>
              </w:rPr>
              <w:t>0.007</w:t>
            </w:r>
          </w:p>
        </w:tc>
      </w:tr>
      <w:tr w:rsidR="009B3BB0" w:rsidRPr="0024409C" w14:paraId="44EFAD78" w14:textId="77777777" w:rsidTr="00A2582E">
        <w:trPr>
          <w:trHeight w:val="389"/>
          <w:jc w:val="center"/>
        </w:trPr>
        <w:tc>
          <w:tcPr>
            <w:tcW w:w="1890" w:type="dxa"/>
            <w:vAlign w:val="center"/>
          </w:tcPr>
          <w:p w14:paraId="4294CEA0" w14:textId="77777777" w:rsidR="009B3BB0" w:rsidRPr="0024409C" w:rsidRDefault="009B3BB0" w:rsidP="00A2582E">
            <w:pPr>
              <w:rPr>
                <w:rFonts w:ascii="Helvetica Neue" w:hAnsi="Helvetica Neue"/>
                <w:sz w:val="18"/>
              </w:rPr>
            </w:pPr>
            <w:r w:rsidRPr="0024409C">
              <w:rPr>
                <w:rFonts w:ascii="Helvetica Neue" w:hAnsi="Helvetica Neue"/>
                <w:sz w:val="18"/>
              </w:rPr>
              <w:t>Third quintile</w:t>
            </w:r>
          </w:p>
        </w:tc>
        <w:tc>
          <w:tcPr>
            <w:tcW w:w="1069" w:type="dxa"/>
            <w:vAlign w:val="center"/>
          </w:tcPr>
          <w:p w14:paraId="61C7B175" w14:textId="77777777" w:rsidR="009B3BB0" w:rsidRPr="0024409C" w:rsidRDefault="009B3BB0" w:rsidP="00A2582E">
            <w:pPr>
              <w:jc w:val="center"/>
              <w:rPr>
                <w:rFonts w:ascii="Helvetica Neue" w:hAnsi="Helvetica Neue"/>
                <w:sz w:val="18"/>
              </w:rPr>
            </w:pPr>
            <w:r w:rsidRPr="0024409C">
              <w:rPr>
                <w:rFonts w:ascii="Helvetica Neue" w:hAnsi="Helvetica Neue"/>
                <w:sz w:val="18"/>
              </w:rPr>
              <w:t>0.038</w:t>
            </w:r>
          </w:p>
        </w:tc>
      </w:tr>
      <w:tr w:rsidR="009B3BB0" w:rsidRPr="0024409C" w14:paraId="42EC9340" w14:textId="77777777" w:rsidTr="00A2582E">
        <w:trPr>
          <w:trHeight w:val="389"/>
          <w:jc w:val="center"/>
        </w:trPr>
        <w:tc>
          <w:tcPr>
            <w:tcW w:w="1890" w:type="dxa"/>
            <w:vAlign w:val="center"/>
          </w:tcPr>
          <w:p w14:paraId="39DEB7E0" w14:textId="77777777" w:rsidR="009B3BB0" w:rsidRPr="0024409C" w:rsidRDefault="009B3BB0" w:rsidP="00A2582E">
            <w:pPr>
              <w:rPr>
                <w:rFonts w:ascii="Helvetica Neue" w:hAnsi="Helvetica Neue"/>
                <w:sz w:val="18"/>
              </w:rPr>
            </w:pPr>
            <w:r w:rsidRPr="0024409C">
              <w:rPr>
                <w:rFonts w:ascii="Helvetica Neue" w:hAnsi="Helvetica Neue"/>
                <w:sz w:val="18"/>
              </w:rPr>
              <w:t>Fourth quintile</w:t>
            </w:r>
          </w:p>
        </w:tc>
        <w:tc>
          <w:tcPr>
            <w:tcW w:w="1069" w:type="dxa"/>
            <w:vAlign w:val="center"/>
          </w:tcPr>
          <w:p w14:paraId="3040D9B4" w14:textId="77777777" w:rsidR="009B3BB0" w:rsidRPr="0024409C" w:rsidRDefault="009B3BB0" w:rsidP="00A2582E">
            <w:pPr>
              <w:jc w:val="center"/>
              <w:rPr>
                <w:rFonts w:ascii="Helvetica Neue" w:hAnsi="Helvetica Neue"/>
                <w:sz w:val="18"/>
              </w:rPr>
            </w:pPr>
            <w:r w:rsidRPr="0024409C">
              <w:rPr>
                <w:rFonts w:ascii="Helvetica Neue" w:hAnsi="Helvetica Neue"/>
                <w:sz w:val="18"/>
              </w:rPr>
              <w:t>0.071</w:t>
            </w:r>
          </w:p>
        </w:tc>
      </w:tr>
      <w:tr w:rsidR="009B3BB0" w:rsidRPr="0024409C" w14:paraId="5963E3FA" w14:textId="77777777" w:rsidTr="00A2582E">
        <w:trPr>
          <w:trHeight w:val="389"/>
          <w:jc w:val="center"/>
        </w:trPr>
        <w:tc>
          <w:tcPr>
            <w:tcW w:w="1890" w:type="dxa"/>
            <w:vAlign w:val="center"/>
          </w:tcPr>
          <w:p w14:paraId="08D9D552" w14:textId="77777777" w:rsidR="009B3BB0" w:rsidRPr="0024409C" w:rsidRDefault="009B3BB0" w:rsidP="00A2582E">
            <w:pPr>
              <w:rPr>
                <w:rFonts w:ascii="Helvetica Neue" w:hAnsi="Helvetica Neue"/>
                <w:sz w:val="18"/>
              </w:rPr>
            </w:pPr>
            <w:r w:rsidRPr="0024409C">
              <w:rPr>
                <w:rFonts w:ascii="Helvetica Neue" w:hAnsi="Helvetica Neue"/>
                <w:sz w:val="18"/>
              </w:rPr>
              <w:t>Highest quintile</w:t>
            </w:r>
          </w:p>
        </w:tc>
        <w:tc>
          <w:tcPr>
            <w:tcW w:w="1069" w:type="dxa"/>
            <w:vAlign w:val="center"/>
          </w:tcPr>
          <w:p w14:paraId="27D960D0" w14:textId="77777777" w:rsidR="009B3BB0" w:rsidRPr="0024409C" w:rsidRDefault="009B3BB0" w:rsidP="00A2582E">
            <w:pPr>
              <w:jc w:val="center"/>
              <w:rPr>
                <w:rFonts w:ascii="Helvetica Neue" w:hAnsi="Helvetica Neue"/>
                <w:sz w:val="18"/>
              </w:rPr>
            </w:pPr>
            <w:r w:rsidRPr="0024409C">
              <w:rPr>
                <w:rFonts w:ascii="Helvetica Neue" w:hAnsi="Helvetica Neue"/>
                <w:sz w:val="18"/>
              </w:rPr>
              <w:t>0.221</w:t>
            </w:r>
          </w:p>
        </w:tc>
      </w:tr>
    </w:tbl>
    <w:p w14:paraId="682DD48B" w14:textId="5441F4AB" w:rsidR="009B3BB0" w:rsidRPr="0024409C" w:rsidRDefault="009B3BB0" w:rsidP="009B3BB0">
      <w:pPr>
        <w:spacing w:before="240" w:line="360" w:lineRule="auto"/>
        <w:rPr>
          <w:rFonts w:ascii="Helvetica Neue" w:eastAsiaTheme="minorEastAsia" w:hAnsi="Helvetica Neue"/>
        </w:rPr>
      </w:pPr>
      <w:r w:rsidRPr="0024409C">
        <w:rPr>
          <w:rFonts w:ascii="Helvetica Neue" w:eastAsiaTheme="minorEastAsia" w:hAnsi="Helvetica Neue"/>
        </w:rPr>
        <w:t xml:space="preserve">Men are assigned a quintile upon entry into the population, which remains fixed. Any individual man’s propensity for AI is determined as a combination of their quintile and their current main/casual partnership counts. Our statistical methods (described below) translate both propensities into conditional log-odds, allowing for their combination. Note that the means of the columns in the quintile table equal the means of the values in Section </w:t>
      </w:r>
      <w:r w:rsidR="0024214F" w:rsidRPr="0024409C">
        <w:rPr>
          <w:rFonts w:ascii="Helvetica Neue" w:eastAsiaTheme="minorEastAsia" w:hAnsi="Helvetica Neue"/>
        </w:rPr>
        <w:t>2</w:t>
      </w:r>
      <w:r w:rsidRPr="0024409C">
        <w:rPr>
          <w:rFonts w:ascii="Helvetica Neue" w:eastAsiaTheme="minorEastAsia" w:hAnsi="Helvetica Neue"/>
        </w:rPr>
        <w:t xml:space="preserve">.1.2 weighted by the proportions in Section </w:t>
      </w:r>
      <w:r w:rsidR="0024214F" w:rsidRPr="0024409C">
        <w:rPr>
          <w:rFonts w:ascii="Helvetica Neue" w:eastAsiaTheme="minorEastAsia" w:hAnsi="Helvetica Neue"/>
        </w:rPr>
        <w:t>2</w:t>
      </w:r>
      <w:r w:rsidRPr="0024409C">
        <w:rPr>
          <w:rFonts w:ascii="Helvetica Neue" w:eastAsiaTheme="minorEastAsia" w:hAnsi="Helvetica Neue"/>
        </w:rPr>
        <w:t>.1.1. These reflect the overall expected value across all men for one-time AI acts per time step.</w:t>
      </w:r>
    </w:p>
    <w:p w14:paraId="413FD9D3" w14:textId="6D3E3A99" w:rsidR="009B3BB0" w:rsidRPr="0024409C" w:rsidRDefault="00273CDD" w:rsidP="009B3BB0">
      <w:pPr>
        <w:spacing w:before="180" w:line="360" w:lineRule="auto"/>
        <w:rPr>
          <w:rFonts w:ascii="Helvetica Neue" w:eastAsiaTheme="minorEastAsia" w:hAnsi="Helvetica Neue"/>
          <w:b/>
          <w:i/>
        </w:rPr>
      </w:pPr>
      <w:r w:rsidRPr="0024409C">
        <w:rPr>
          <w:rFonts w:ascii="Helvetica Neue" w:eastAsiaTheme="minorEastAsia" w:hAnsi="Helvetica Neue"/>
          <w:i/>
        </w:rPr>
        <w:t>2</w:t>
      </w:r>
      <w:r w:rsidR="009B3BB0" w:rsidRPr="0024409C">
        <w:rPr>
          <w:rFonts w:ascii="Helvetica Neue" w:eastAsiaTheme="minorEastAsia" w:hAnsi="Helvetica Neue"/>
          <w:i/>
        </w:rPr>
        <w:t xml:space="preserve">.1.4 </w:t>
      </w:r>
      <w:r w:rsidR="009B3BB0" w:rsidRPr="0024409C">
        <w:rPr>
          <w:rFonts w:ascii="Helvetica Neue" w:eastAsiaTheme="minorEastAsia" w:hAnsi="Helvetica Neue"/>
          <w:i/>
        </w:rPr>
        <w:tab/>
        <w:t>Age Mixing</w:t>
      </w:r>
    </w:p>
    <w:p w14:paraId="7EF0A841" w14:textId="07B8BBC8" w:rsidR="006C7E13" w:rsidRPr="0024409C" w:rsidRDefault="009B3BB0" w:rsidP="009B3BB0">
      <w:pPr>
        <w:spacing w:after="180" w:line="360" w:lineRule="auto"/>
        <w:rPr>
          <w:rFonts w:ascii="Helvetica Neue" w:eastAsiaTheme="minorEastAsia" w:hAnsi="Helvetica Neue"/>
        </w:rPr>
      </w:pPr>
      <w:r w:rsidRPr="0024409C">
        <w:rPr>
          <w:rFonts w:ascii="Helvetica Neue" w:eastAsiaTheme="minorEastAsia" w:hAnsi="Helvetica Neue"/>
        </w:rPr>
        <w:t>Respondents also reported on the estimated age of each partner.</w:t>
      </w:r>
      <w:r w:rsidRPr="0024409C">
        <w:rPr>
          <w:rFonts w:ascii="Helvetica Neue" w:eastAsiaTheme="minorEastAsia" w:hAnsi="Helvetica Neue"/>
          <w:b/>
          <w:i/>
        </w:rPr>
        <w:t xml:space="preserve"> </w:t>
      </w:r>
      <w:r w:rsidRPr="0024409C">
        <w:rPr>
          <w:rFonts w:ascii="Helvetica Neue" w:eastAsiaTheme="minorEastAsia" w:hAnsi="Helvetica Neue"/>
        </w:rPr>
        <w:t xml:space="preserve">We model age mixing within a given relational type using a single parameter for each, the expected </w:t>
      </w:r>
      <w:r w:rsidRPr="0024409C">
        <w:rPr>
          <w:rFonts w:ascii="Helvetica Neue" w:hAnsi="Helvetica Neue"/>
        </w:rPr>
        <w:t>mean difference in square root of the ages of men in a relationship, consistent with previous work.</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"Men who have sex with men (MSM) have been substantially affected by HIV epidemics worldwide. Epidemics in MSM are re-emerging in many high-income countries and gaining greater recognition in many low-income and middle-income countries. Better HIV prevention strategies are urgently needed. Our review of HIV prevention strategies for MSM identified several important themes. At the beginning of the epidemic, stand-alone behavioural interventions mostly aimed to reduce unprotected anal intercourse, which, although somewhat efficacious, did not reduce HIV transmission. Biomedical prevention strategies reduce the incidence of HIV infection. Delivery of barrier and biomedical interventions with coordinated behavioural and structural strategies could optimise the effectiveness of prevention. Modelling suggests that, with sufficient coverage, available interventions are sufficient to avert at least a quarter of new HIV infections in MSM in diverse countries. Scale-up of HIV prevention programmes for MSM is difficult because of homophobia and bias, suboptimum access to HIV testing and care, and financial constraints.", "author" : [ { "dropping-particle" : "", "family" : "Sullivan", "given" : "Patrick S", "non-dropping-particle" : "", "parse-names" : false, "suffix" : "" }, { "dropping-particle" : "", "family" : "Carballo-Di\u00e9guez", "given" : "Alex", "non-dropping-particle" : "", "parse-names" : false, "suffix" : "" }, { "dropping-particle" : "", "family" : "Coates", "given" : "Thomas", "non-dropping-particle" : "", "parse-names" : false, "suffix" : "" }, { "dropping-particle" : "", "family" : "Goodreau", "given" : "Steven M", "non-dropping-particle" : "", "parse-names" : false, "suffix" : "" }, { "dropping-particle" : "", "family" : "McGowan", "given" : "Ian", "non-dropping-particle" : "", "parse-names" : false, "suffix" : "" }, { "dropping-particle" : "", "family" : "Sanders", "given" : "Eduard J", "non-dropping-particle" : "", "parse-names" : false, "suffix" : "" }, { "dropping-particle" : "", "family" : "Smith", "given" : "Adrian", "non-dropping-particle" : "", "parse-names" : false, "suffix" : "" }, { "dropping-particle" : "", "family" : "Goswami", "given" : "Prabuddhagopal", "non-dropping-particle" : "", "parse-names" : false, "suffix" : "" }, { "dropping-particle" : "", "family" : "Sanchez", "given" : "Jorge", "non-dropping-particle" : "", "parse-names" : false, "suffix" : "" } ], "container-title" : "Lancet", "id" : "ITEM-1", "issue" : "9839", "issued" : { "date-parts" : [ [ "2012", "7", "28" ] ] }, "page" : "388-99", "publisher" : "NIH Public Access", "title" : "Successes and challenges of HIV prevention in men who have sex with men.", "type" : "article-journal", "volume" : "380" }, "uris" : [ "http://www.mendeley.com/documents/?uuid=41d44cb9-e544-4140-b100-79332484b897" ] }, { "id" : "ITEM-2",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"ITEM-2", "issue" : "11", "issued" : { "date-parts" : [ [ "2012" ] ] }, "page" : "e50522", "title" : "What drives the US and Peruvian HIV epidemics in men who have sex with men (MSM)?", "type" : "article-journal", "volume" : "7" }, "uris" : [ "http://www.mendeley.com/documents/?uuid=95236385-1da9-4014-87d9-9bf044dc09fb" ] }, { "id" : "ITEM-3", "itemData" : { "ISSN" : "1944-7884", "PMID" : "25942463", "abstract" : "BACKGROUND We aim to identify optimal strategies for deploying pre-exposure prophylaxis among men who have sex with men (MSM) in the United States and Peru to maximize population-level effectiveness in an efficient manner. We use epidemic models to simulate the impact of targeting strategies. Most studies have focused on targeting either the general population or high-risk MSM. Alternative strategies, including serodiscordant couples, may better balance effectiveness and efficiency. METHODS We use dynamic stochastic sexual network models based on exponential-family random graph modeling, parameterized from behavioral surveys of MSM in the United States and Peru. These models represent main partnerships and casual contacts separately, permitting modeling of interventions targeting men whose risk derives from combinations of relational types. We also model varying rates of uptake and adherence to pre-exposure prophylaxis (PrEP). We assess sensitivity of results to risk compensation through increases in condomless casual contacts and condomless sex in main partnerships. RESULTS Targeting all men who are not exclusively insertive has the largest impact on HIV incidence, but targeting only those with high levels of casual activity yields comparable results using fewer person-years on PrEP. The effect is robust to risk compensation in the United States, but less so in Peru. Targeting serodiscordant main partnerships does not significantly impact incidence, but requires fewer person-years on PrEP per infection averted than other strategies. CONCLUSIONS PrEP could be effective in reducing new infections at the population level in both settings. Serodiscordant partnerships are an attractive component of a targeting program, but targeting should include other high-risk men.", "author" : [ { "dropping-particle" : "", "family" : "Carnegie", "given" : "Nicole B", "non-dropping-particle" : "", "parse-names" : false, "suffix" : "" }, { "dropping-particle" : "", "family" : "Goodreau", "given" : "Steven M", "non-dropping-particle" : "", "parse-names" : false, "suffix" : "" }, { "dropping-particle" : "", "family" : "Liu", "given" : "Albert", "non-dropping-particle" : "", "parse-names" : false, "suffix" : "" }, { "dropping-particle" : "", "family" : "Vittinghoff", "given" : "Eric", "non-dropping-particle" : "", "parse-names" : false, "suffix" : "" }, { "dropping-particle" : "", "family" : "Sanchez", "given" : "Jorge", "non-dropping-particle" : "", "parse-names" : false, "suffix" : "" }, { "dropping-particle" : "", "family" : "Lama", "given" : "Javier R", "non-dropping-particle" : "", "parse-names" : false, "suffix" : "" }, { "dropping-particle" : "", "family" : "Buchbinder", "given" : "Susan", "non-dropping-particle" : "", "parse-names" : false, "suffix" : "" } ], "container-title" : "J Acquir Immune Defic Syndr", "id" : "ITEM-3", "issue" : "1", "issued" : { "date-parts" : [ [ "2015", "5", "1" ] ] }, "page" : "119-25", "title" : "Targeting pre-exposure prophylaxis among men who have sex with men in the United States and Peru: partnership types, contact rates, and sexual role.", "type" : "article-journal", "volume" : "69" }, "uris" : [ "http://www.mendeley.com/documents/?uuid=c71dbe28-878b-4310-8bb6-966a22ba81d5" ] } ], "mendeley" : { "formattedCitation" : "&lt;sup&gt;1,3,7&lt;/sup&gt;", "plainTextFormattedCitation" : "1,3,7", "previouslyFormattedCitation" : "&lt;sup&gt;1,3,7&lt;/sup&gt;"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1,3,7</w:t>
      </w:r>
      <w:r w:rsidRPr="0024409C">
        <w:rPr>
          <w:rFonts w:ascii="Helvetica Neue" w:hAnsi="Helvetica Neue"/>
          <w:noProof/>
          <w:vertAlign w:val="superscript"/>
        </w:rPr>
        <w:fldChar w:fldCharType="end"/>
      </w:r>
      <w:r w:rsidRPr="0024409C">
        <w:rPr>
          <w:rFonts w:ascii="Helvetica Neue" w:hAnsi="Helvetica Neue"/>
        </w:rPr>
        <w:t xml:space="preserve"> For instance, a relationship between a 23-year-old and a 28-year-old would represent </w:t>
      </w:r>
      <m:oMath>
        <m:d>
          <m:dPr>
            <m:begChr m:val="|"/>
            <m:endChr m:val="|"/>
            <m:ctrlPr>
              <w:rPr>
                <w:rFonts w:ascii="Cambria Math" w:hAnsi="Cambria Math"/>
                <w:i/>
              </w:rPr>
            </m:ctrlPr>
          </m:dPr>
          <m:e>
            <m:rad>
              <m:radPr>
                <m:degHide m:val="1"/>
                <m:ctrlPr>
                  <w:rPr>
                    <w:rFonts w:ascii="Cambria Math" w:hAnsi="Cambria Math"/>
                    <w:i/>
                  </w:rPr>
                </m:ctrlPr>
              </m:radPr>
              <m:deg/>
              <m:e>
                <m:r>
                  <w:rPr>
                    <w:rFonts w:ascii="Cambria Math" w:hAnsi="Cambria Math"/>
                  </w:rPr>
                  <m:t>23</m:t>
                </m:r>
              </m:e>
            </m:rad>
            <m:r>
              <w:rPr>
                <w:rFonts w:ascii="Cambria Math" w:hAnsi="Cambria Math"/>
              </w:rPr>
              <m:t>-</m:t>
            </m:r>
            <m:rad>
              <m:radPr>
                <m:degHide m:val="1"/>
                <m:ctrlPr>
                  <w:rPr>
                    <w:rFonts w:ascii="Cambria Math" w:hAnsi="Cambria Math"/>
                    <w:i/>
                  </w:rPr>
                </m:ctrlPr>
              </m:radPr>
              <m:deg/>
              <m:e>
                <m:r>
                  <w:rPr>
                    <w:rFonts w:ascii="Cambria Math" w:hAnsi="Cambria Math"/>
                  </w:rPr>
                  <m:t>28</m:t>
                </m:r>
              </m:e>
            </m:rad>
          </m:e>
        </m:d>
      </m:oMath>
      <w:r w:rsidRPr="0024409C">
        <w:rPr>
          <w:rFonts w:ascii="Helvetica Neue" w:eastAsiaTheme="minorEastAsia" w:hAnsi="Helvetica Neue"/>
        </w:rPr>
        <w:t xml:space="preserve"> = 0.496.</w:t>
      </w:r>
    </w:p>
    <w:tbl>
      <w:tblPr>
        <w:tblStyle w:val="TableGrid"/>
        <w:tblW w:w="3690" w:type="dxa"/>
        <w:jc w:val="center"/>
        <w:tblLook w:val="04A0" w:firstRow="1" w:lastRow="0" w:firstColumn="1" w:lastColumn="0" w:noHBand="0" w:noVBand="1"/>
      </w:tblPr>
      <w:tblGrid>
        <w:gridCol w:w="2340"/>
        <w:gridCol w:w="1350"/>
      </w:tblGrid>
      <w:tr w:rsidR="009B3BB0" w:rsidRPr="0024409C" w14:paraId="30F0DC5F" w14:textId="77777777" w:rsidTr="00A2582E">
        <w:trPr>
          <w:trHeight w:val="389"/>
          <w:jc w:val="center"/>
        </w:trPr>
        <w:tc>
          <w:tcPr>
            <w:tcW w:w="2340" w:type="dxa"/>
            <w:shd w:val="clear" w:color="auto" w:fill="D9D9D9" w:themeFill="background1" w:themeFillShade="D9"/>
            <w:vAlign w:val="center"/>
          </w:tcPr>
          <w:p w14:paraId="569F0CC7" w14:textId="77777777" w:rsidR="009B3BB0" w:rsidRPr="0024409C" w:rsidRDefault="009B3BB0" w:rsidP="00A2582E">
            <w:pPr>
              <w:jc w:val="center"/>
              <w:rPr>
                <w:rFonts w:ascii="Helvetica Neue" w:hAnsi="Helvetica Neue"/>
                <w:b/>
                <w:sz w:val="18"/>
              </w:rPr>
            </w:pPr>
          </w:p>
        </w:tc>
        <w:tc>
          <w:tcPr>
            <w:tcW w:w="1350" w:type="dxa"/>
            <w:shd w:val="clear" w:color="auto" w:fill="D9D9D9" w:themeFill="background1" w:themeFillShade="D9"/>
            <w:vAlign w:val="center"/>
          </w:tcPr>
          <w:p w14:paraId="2EBA0224"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Value</w:t>
            </w:r>
          </w:p>
        </w:tc>
      </w:tr>
      <w:tr w:rsidR="009B3BB0" w:rsidRPr="0024409C" w14:paraId="527752EF" w14:textId="77777777" w:rsidTr="00A2582E">
        <w:trPr>
          <w:trHeight w:val="389"/>
          <w:jc w:val="center"/>
        </w:trPr>
        <w:tc>
          <w:tcPr>
            <w:tcW w:w="2340" w:type="dxa"/>
            <w:vAlign w:val="center"/>
          </w:tcPr>
          <w:p w14:paraId="2342F251" w14:textId="77777777" w:rsidR="009B3BB0" w:rsidRPr="0024409C" w:rsidRDefault="009B3BB0" w:rsidP="00A2582E">
            <w:pPr>
              <w:rPr>
                <w:rFonts w:ascii="Helvetica Neue" w:hAnsi="Helvetica Neue"/>
                <w:sz w:val="18"/>
              </w:rPr>
            </w:pPr>
            <w:r w:rsidRPr="0024409C">
              <w:rPr>
                <w:rFonts w:ascii="Helvetica Neue" w:hAnsi="Helvetica Neue"/>
                <w:sz w:val="18"/>
              </w:rPr>
              <w:t>Main partnerships</w:t>
            </w:r>
          </w:p>
        </w:tc>
        <w:tc>
          <w:tcPr>
            <w:tcW w:w="1350" w:type="dxa"/>
            <w:vAlign w:val="center"/>
          </w:tcPr>
          <w:p w14:paraId="5A56E40B" w14:textId="77777777" w:rsidR="009B3BB0" w:rsidRPr="0024409C" w:rsidRDefault="009B3BB0" w:rsidP="00A2582E">
            <w:pPr>
              <w:jc w:val="center"/>
              <w:rPr>
                <w:rFonts w:ascii="Helvetica Neue" w:hAnsi="Helvetica Neue"/>
                <w:sz w:val="18"/>
              </w:rPr>
            </w:pPr>
            <w:r w:rsidRPr="0024409C">
              <w:rPr>
                <w:rFonts w:ascii="Helvetica Neue" w:hAnsi="Helvetica Neue"/>
                <w:sz w:val="18"/>
              </w:rPr>
              <w:t>0.464</w:t>
            </w:r>
          </w:p>
        </w:tc>
      </w:tr>
      <w:tr w:rsidR="009B3BB0" w:rsidRPr="0024409C" w14:paraId="25CF4C59" w14:textId="77777777" w:rsidTr="00A2582E">
        <w:trPr>
          <w:trHeight w:val="389"/>
          <w:jc w:val="center"/>
        </w:trPr>
        <w:tc>
          <w:tcPr>
            <w:tcW w:w="2340" w:type="dxa"/>
            <w:vAlign w:val="center"/>
          </w:tcPr>
          <w:p w14:paraId="46B58BF7" w14:textId="77777777" w:rsidR="009B3BB0" w:rsidRPr="0024409C" w:rsidRDefault="009B3BB0" w:rsidP="00A2582E">
            <w:pPr>
              <w:rPr>
                <w:rFonts w:ascii="Helvetica Neue" w:hAnsi="Helvetica Neue"/>
                <w:sz w:val="18"/>
              </w:rPr>
            </w:pPr>
            <w:r w:rsidRPr="0024409C">
              <w:rPr>
                <w:rFonts w:ascii="Helvetica Neue" w:hAnsi="Helvetica Neue"/>
                <w:sz w:val="18"/>
              </w:rPr>
              <w:t>Casual partnerships</w:t>
            </w:r>
          </w:p>
        </w:tc>
        <w:tc>
          <w:tcPr>
            <w:tcW w:w="1350" w:type="dxa"/>
            <w:vAlign w:val="center"/>
          </w:tcPr>
          <w:p w14:paraId="3DC76736" w14:textId="77777777" w:rsidR="009B3BB0" w:rsidRPr="0024409C" w:rsidRDefault="009B3BB0" w:rsidP="00A2582E">
            <w:pPr>
              <w:jc w:val="center"/>
              <w:rPr>
                <w:rFonts w:ascii="Helvetica Neue" w:hAnsi="Helvetica Neue"/>
                <w:sz w:val="18"/>
              </w:rPr>
            </w:pPr>
            <w:r w:rsidRPr="0024409C">
              <w:rPr>
                <w:rFonts w:ascii="Helvetica Neue" w:hAnsi="Helvetica Neue"/>
                <w:sz w:val="18"/>
              </w:rPr>
              <w:t>0.586</w:t>
            </w:r>
          </w:p>
        </w:tc>
      </w:tr>
      <w:tr w:rsidR="009B3BB0" w:rsidRPr="0024409C" w14:paraId="7ECD1649" w14:textId="77777777" w:rsidTr="00A2582E">
        <w:trPr>
          <w:trHeight w:val="389"/>
          <w:jc w:val="center"/>
        </w:trPr>
        <w:tc>
          <w:tcPr>
            <w:tcW w:w="2340" w:type="dxa"/>
            <w:vAlign w:val="center"/>
          </w:tcPr>
          <w:p w14:paraId="1CB0C1FC" w14:textId="77777777" w:rsidR="009B3BB0" w:rsidRPr="0024409C" w:rsidRDefault="009B3BB0" w:rsidP="00A2582E">
            <w:pPr>
              <w:rPr>
                <w:rFonts w:ascii="Helvetica Neue" w:hAnsi="Helvetica Neue"/>
                <w:sz w:val="18"/>
              </w:rPr>
            </w:pPr>
            <w:r w:rsidRPr="0024409C">
              <w:rPr>
                <w:rFonts w:ascii="Helvetica Neue" w:hAnsi="Helvetica Neue"/>
                <w:sz w:val="18"/>
              </w:rPr>
              <w:t>One-time contacts</w:t>
            </w:r>
          </w:p>
        </w:tc>
        <w:tc>
          <w:tcPr>
            <w:tcW w:w="1350" w:type="dxa"/>
            <w:vAlign w:val="center"/>
          </w:tcPr>
          <w:p w14:paraId="440E973F" w14:textId="77777777" w:rsidR="009B3BB0" w:rsidRPr="0024409C" w:rsidRDefault="009B3BB0" w:rsidP="00A2582E">
            <w:pPr>
              <w:jc w:val="center"/>
              <w:rPr>
                <w:rFonts w:ascii="Helvetica Neue" w:hAnsi="Helvetica Neue"/>
                <w:sz w:val="18"/>
              </w:rPr>
            </w:pPr>
            <w:r w:rsidRPr="0024409C">
              <w:rPr>
                <w:rFonts w:ascii="Helvetica Neue" w:hAnsi="Helvetica Neue"/>
                <w:sz w:val="18"/>
              </w:rPr>
              <w:t>0.544</w:t>
            </w:r>
          </w:p>
        </w:tc>
      </w:tr>
    </w:tbl>
    <w:p w14:paraId="578F1B10" w14:textId="77777777" w:rsidR="00AF7357" w:rsidRPr="0024409C" w:rsidRDefault="00AF7357" w:rsidP="009B3BB0">
      <w:pPr>
        <w:spacing w:before="300" w:line="360" w:lineRule="auto"/>
        <w:rPr>
          <w:rFonts w:ascii="Helvetica Neue" w:eastAsiaTheme="minorEastAsia" w:hAnsi="Helvetica Neue"/>
          <w:i/>
        </w:rPr>
      </w:pPr>
    </w:p>
    <w:p w14:paraId="1CDCFCE3" w14:textId="6349F13E" w:rsidR="009B3BB0" w:rsidRPr="0024409C" w:rsidRDefault="00273CDD" w:rsidP="003508C2">
      <w:pPr>
        <w:spacing w:after="160" w:line="259" w:lineRule="auto"/>
        <w:rPr>
          <w:rFonts w:ascii="Helvetica Neue" w:eastAsiaTheme="minorEastAsia" w:hAnsi="Helvetica Neue"/>
          <w:b/>
        </w:rPr>
      </w:pPr>
      <w:r w:rsidRPr="0024409C">
        <w:rPr>
          <w:rFonts w:ascii="Helvetica Neue" w:eastAsiaTheme="minorEastAsia" w:hAnsi="Helvetica Neue"/>
          <w:i/>
        </w:rPr>
        <w:t>2</w:t>
      </w:r>
      <w:r w:rsidR="009B3BB0" w:rsidRPr="0024409C">
        <w:rPr>
          <w:rFonts w:ascii="Helvetica Neue" w:eastAsiaTheme="minorEastAsia" w:hAnsi="Helvetica Neue"/>
          <w:i/>
        </w:rPr>
        <w:t>.1.5</w:t>
      </w:r>
      <w:r w:rsidR="009B3BB0" w:rsidRPr="0024409C">
        <w:rPr>
          <w:rFonts w:ascii="Helvetica Neue" w:eastAsiaTheme="minorEastAsia" w:hAnsi="Helvetica Neue"/>
          <w:i/>
        </w:rPr>
        <w:tab/>
        <w:t xml:space="preserve"> Mixing by Sexual Role</w:t>
      </w:r>
    </w:p>
    <w:p w14:paraId="64DE486F" w14:textId="76B22BE7" w:rsidR="009B3BB0" w:rsidRPr="0024409C" w:rsidRDefault="009B3BB0" w:rsidP="009B3BB0">
      <w:pPr>
        <w:spacing w:after="180" w:line="360" w:lineRule="auto"/>
        <w:rPr>
          <w:rFonts w:ascii="Helvetica Neue" w:eastAsiaTheme="minorEastAsia" w:hAnsi="Helvetica Neue"/>
        </w:rPr>
      </w:pPr>
      <w:r w:rsidRPr="0024409C">
        <w:rPr>
          <w:rFonts w:ascii="Helvetica Neue" w:eastAsiaTheme="minorEastAsia" w:hAnsi="Helvetica Neue"/>
        </w:rPr>
        <w:lastRenderedPageBreak/>
        <w:t xml:space="preserve">We assign men a fixed sexual role preference (exclusively insertive, exclusively receptive, </w:t>
      </w:r>
      <w:r w:rsidR="00EB6FEA" w:rsidRPr="0024409C">
        <w:rPr>
          <w:rFonts w:ascii="Helvetica Neue" w:eastAsiaTheme="minorEastAsia" w:hAnsi="Helvetica Neue"/>
        </w:rPr>
        <w:t xml:space="preserve">or </w:t>
      </w:r>
      <w:r w:rsidRPr="0024409C">
        <w:rPr>
          <w:rFonts w:ascii="Helvetica Neue" w:eastAsiaTheme="minorEastAsia" w:hAnsi="Helvetica Neue"/>
        </w:rPr>
        <w:t xml:space="preserve">versatile). The model then includes an absolute prohibition, such that two exclusively insertive men cannot partner, nor can two exclusively receptive men. Men’s roles at last sex for each of the last 5 (Involvement) or 10 (MAN Project) partners were aggregated; those who had engaged in one role across all of those acts </w:t>
      </w:r>
      <w:r w:rsidR="00CF75E3" w:rsidRPr="0024409C">
        <w:rPr>
          <w:rFonts w:ascii="Helvetica Neue" w:eastAsiaTheme="minorEastAsia" w:hAnsi="Helvetica Neue"/>
        </w:rPr>
        <w:t xml:space="preserve">in those partnerships </w:t>
      </w:r>
      <w:r w:rsidRPr="0024409C">
        <w:rPr>
          <w:rFonts w:ascii="Helvetica Neue" w:eastAsiaTheme="minorEastAsia" w:hAnsi="Helvetica Neue"/>
        </w:rPr>
        <w:t>were deemed to be exclusively receptive or insertive, and those who had engaged in at least one act of each were deemed to be versatile.</w:t>
      </w:r>
      <w:r w:rsidR="000F1217" w:rsidRPr="0024409C">
        <w:rPr>
          <w:rFonts w:ascii="Helvetica Neue" w:eastAsiaTheme="minorEastAsia" w:hAnsi="Helvetica Neue"/>
        </w:rPr>
        <w:t xml:space="preserve"> </w:t>
      </w:r>
      <w:r w:rsidR="008C38B7" w:rsidRPr="0024409C">
        <w:rPr>
          <w:rFonts w:ascii="Helvetica Neue" w:eastAsiaTheme="minorEastAsia" w:hAnsi="Helvetica Neue"/>
        </w:rPr>
        <w:t>In the absence of longitudinal behavioral data, s</w:t>
      </w:r>
      <w:r w:rsidR="000F1217" w:rsidRPr="0024409C">
        <w:rPr>
          <w:rFonts w:ascii="Helvetica Neue" w:eastAsiaTheme="minorEastAsia" w:hAnsi="Helvetica Neue"/>
        </w:rPr>
        <w:t>exual role preference was assumed to be a fixed trait, rather than a time-varying one, although, for versatile men, the sexual role within each partnership at each simulated time step was stochastic.</w:t>
      </w:r>
      <w:r w:rsidR="00C96BD0" w:rsidRPr="0024409C">
        <w:rPr>
          <w:rFonts w:ascii="Helvetica Neue" w:eastAsiaTheme="minorEastAsia" w:hAnsi="Helvetica Neue"/>
        </w:rPr>
        <w:t xml:space="preserve"> </w:t>
      </w:r>
    </w:p>
    <w:tbl>
      <w:tblPr>
        <w:tblStyle w:val="TableGrid"/>
        <w:tblW w:w="3403" w:type="dxa"/>
        <w:jc w:val="center"/>
        <w:tblLook w:val="04A0" w:firstRow="1" w:lastRow="0" w:firstColumn="1" w:lastColumn="0" w:noHBand="0" w:noVBand="1"/>
      </w:tblPr>
      <w:tblGrid>
        <w:gridCol w:w="2267"/>
        <w:gridCol w:w="1136"/>
      </w:tblGrid>
      <w:tr w:rsidR="009B3BB0" w:rsidRPr="0024409C" w14:paraId="051EA37A" w14:textId="77777777" w:rsidTr="00A2582E">
        <w:trPr>
          <w:trHeight w:val="389"/>
          <w:jc w:val="center"/>
        </w:trPr>
        <w:tc>
          <w:tcPr>
            <w:tcW w:w="2340" w:type="dxa"/>
            <w:shd w:val="clear" w:color="auto" w:fill="D9D9D9" w:themeFill="background1" w:themeFillShade="D9"/>
            <w:vAlign w:val="center"/>
          </w:tcPr>
          <w:p w14:paraId="3E8DBE77" w14:textId="77777777" w:rsidR="009B3BB0" w:rsidRPr="0024409C" w:rsidRDefault="009B3BB0" w:rsidP="00A2582E">
            <w:pPr>
              <w:jc w:val="center"/>
              <w:rPr>
                <w:rFonts w:ascii="Helvetica Neue" w:hAnsi="Helvetica Neue"/>
                <w:sz w:val="18"/>
              </w:rPr>
            </w:pPr>
          </w:p>
        </w:tc>
        <w:tc>
          <w:tcPr>
            <w:tcW w:w="1063" w:type="dxa"/>
            <w:shd w:val="clear" w:color="auto" w:fill="D9D9D9" w:themeFill="background1" w:themeFillShade="D9"/>
            <w:vAlign w:val="center"/>
          </w:tcPr>
          <w:p w14:paraId="5ED0A389"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Probability</w:t>
            </w:r>
          </w:p>
        </w:tc>
      </w:tr>
      <w:tr w:rsidR="009B3BB0" w:rsidRPr="0024409C" w14:paraId="4DCD840C" w14:textId="77777777" w:rsidTr="00A2582E">
        <w:trPr>
          <w:trHeight w:val="389"/>
          <w:jc w:val="center"/>
        </w:trPr>
        <w:tc>
          <w:tcPr>
            <w:tcW w:w="2340" w:type="dxa"/>
            <w:vAlign w:val="center"/>
          </w:tcPr>
          <w:p w14:paraId="03723798" w14:textId="77777777" w:rsidR="009B3BB0" w:rsidRPr="0024409C" w:rsidRDefault="009B3BB0" w:rsidP="00A2582E">
            <w:pPr>
              <w:rPr>
                <w:rFonts w:ascii="Helvetica Neue" w:hAnsi="Helvetica Neue"/>
                <w:sz w:val="18"/>
              </w:rPr>
            </w:pPr>
            <w:r w:rsidRPr="0024409C">
              <w:rPr>
                <w:rFonts w:ascii="Helvetica Neue" w:hAnsi="Helvetica Neue"/>
                <w:sz w:val="18"/>
              </w:rPr>
              <w:t>Exclusively insertive</w:t>
            </w:r>
          </w:p>
        </w:tc>
        <w:tc>
          <w:tcPr>
            <w:tcW w:w="1063" w:type="dxa"/>
            <w:vAlign w:val="center"/>
          </w:tcPr>
          <w:p w14:paraId="4FCB8581" w14:textId="77777777" w:rsidR="009B3BB0" w:rsidRPr="0024409C" w:rsidRDefault="009B3BB0" w:rsidP="00A2582E">
            <w:pPr>
              <w:jc w:val="center"/>
              <w:rPr>
                <w:rFonts w:ascii="Helvetica Neue" w:hAnsi="Helvetica Neue"/>
                <w:sz w:val="18"/>
              </w:rPr>
            </w:pPr>
            <w:r w:rsidRPr="0024409C">
              <w:rPr>
                <w:rFonts w:ascii="Helvetica Neue" w:hAnsi="Helvetica Neue"/>
                <w:sz w:val="18"/>
              </w:rPr>
              <w:t>24.2%</w:t>
            </w:r>
          </w:p>
        </w:tc>
      </w:tr>
      <w:tr w:rsidR="009B3BB0" w:rsidRPr="0024409C" w14:paraId="579B85E0" w14:textId="77777777" w:rsidTr="00A2582E">
        <w:trPr>
          <w:trHeight w:val="389"/>
          <w:jc w:val="center"/>
        </w:trPr>
        <w:tc>
          <w:tcPr>
            <w:tcW w:w="2340" w:type="dxa"/>
            <w:vAlign w:val="center"/>
          </w:tcPr>
          <w:p w14:paraId="604FA68F" w14:textId="77777777" w:rsidR="009B3BB0" w:rsidRPr="0024409C" w:rsidRDefault="009B3BB0" w:rsidP="00A2582E">
            <w:pPr>
              <w:rPr>
                <w:rFonts w:ascii="Helvetica Neue" w:hAnsi="Helvetica Neue"/>
                <w:sz w:val="18"/>
              </w:rPr>
            </w:pPr>
            <w:r w:rsidRPr="0024409C">
              <w:rPr>
                <w:rFonts w:ascii="Helvetica Neue" w:hAnsi="Helvetica Neue"/>
                <w:sz w:val="18"/>
              </w:rPr>
              <w:t>Versatile</w:t>
            </w:r>
          </w:p>
        </w:tc>
        <w:tc>
          <w:tcPr>
            <w:tcW w:w="1063" w:type="dxa"/>
            <w:vAlign w:val="center"/>
          </w:tcPr>
          <w:p w14:paraId="6AB5B2DC" w14:textId="77777777" w:rsidR="009B3BB0" w:rsidRPr="0024409C" w:rsidRDefault="009B3BB0" w:rsidP="00A2582E">
            <w:pPr>
              <w:jc w:val="center"/>
              <w:rPr>
                <w:rFonts w:ascii="Helvetica Neue" w:hAnsi="Helvetica Neue"/>
                <w:sz w:val="18"/>
              </w:rPr>
            </w:pPr>
            <w:r w:rsidRPr="0024409C">
              <w:rPr>
                <w:rFonts w:ascii="Helvetica Neue" w:hAnsi="Helvetica Neue"/>
                <w:sz w:val="18"/>
              </w:rPr>
              <w:t>43.7%</w:t>
            </w:r>
          </w:p>
        </w:tc>
      </w:tr>
      <w:tr w:rsidR="009B3BB0" w:rsidRPr="0024409C" w14:paraId="67DE49C8" w14:textId="77777777" w:rsidTr="00A2582E">
        <w:trPr>
          <w:trHeight w:val="389"/>
          <w:jc w:val="center"/>
        </w:trPr>
        <w:tc>
          <w:tcPr>
            <w:tcW w:w="2340" w:type="dxa"/>
            <w:vAlign w:val="center"/>
          </w:tcPr>
          <w:p w14:paraId="046BC80F" w14:textId="77777777" w:rsidR="009B3BB0" w:rsidRPr="0024409C" w:rsidRDefault="009B3BB0" w:rsidP="00A2582E">
            <w:pPr>
              <w:rPr>
                <w:rFonts w:ascii="Helvetica Neue" w:hAnsi="Helvetica Neue"/>
                <w:sz w:val="18"/>
              </w:rPr>
            </w:pPr>
            <w:r w:rsidRPr="0024409C">
              <w:rPr>
                <w:rFonts w:ascii="Helvetica Neue" w:hAnsi="Helvetica Neue"/>
                <w:sz w:val="18"/>
              </w:rPr>
              <w:t>Exclusively receptive</w:t>
            </w:r>
          </w:p>
        </w:tc>
        <w:tc>
          <w:tcPr>
            <w:tcW w:w="1063" w:type="dxa"/>
            <w:vAlign w:val="center"/>
          </w:tcPr>
          <w:p w14:paraId="35E68738" w14:textId="77777777" w:rsidR="009B3BB0" w:rsidRPr="0024409C" w:rsidRDefault="009B3BB0" w:rsidP="00A2582E">
            <w:pPr>
              <w:jc w:val="center"/>
              <w:rPr>
                <w:rFonts w:ascii="Helvetica Neue" w:hAnsi="Helvetica Neue"/>
                <w:sz w:val="18"/>
              </w:rPr>
            </w:pPr>
            <w:r w:rsidRPr="0024409C">
              <w:rPr>
                <w:rFonts w:ascii="Helvetica Neue" w:hAnsi="Helvetica Neue"/>
                <w:sz w:val="18"/>
              </w:rPr>
              <w:t>32.1%</w:t>
            </w:r>
          </w:p>
        </w:tc>
      </w:tr>
    </w:tbl>
    <w:p w14:paraId="55C160B6" w14:textId="7458DB70" w:rsidR="009B3BB0" w:rsidRPr="0024409C" w:rsidRDefault="00273CDD" w:rsidP="009B3BB0">
      <w:pPr>
        <w:spacing w:before="300" w:line="360" w:lineRule="auto"/>
        <w:rPr>
          <w:rFonts w:ascii="Helvetica Neue" w:hAnsi="Helvetica Neue"/>
          <w:i/>
        </w:rPr>
      </w:pPr>
      <w:r w:rsidRPr="0024409C">
        <w:rPr>
          <w:rFonts w:ascii="Helvetica Neue" w:hAnsi="Helvetica Neue"/>
          <w:i/>
        </w:rPr>
        <w:t>2</w:t>
      </w:r>
      <w:r w:rsidR="009B3BB0" w:rsidRPr="0024409C">
        <w:rPr>
          <w:rFonts w:ascii="Helvetica Neue" w:hAnsi="Helvetica Neue"/>
          <w:i/>
        </w:rPr>
        <w:t xml:space="preserve">.1.6 </w:t>
      </w:r>
      <w:r w:rsidR="009B3BB0" w:rsidRPr="0024409C">
        <w:rPr>
          <w:rFonts w:ascii="Helvetica Neue" w:hAnsi="Helvetica Neue"/>
          <w:i/>
        </w:rPr>
        <w:tab/>
        <w:t>Partnership Durations</w:t>
      </w:r>
    </w:p>
    <w:p w14:paraId="76A804E6" w14:textId="3F091062" w:rsidR="009B3BB0" w:rsidRPr="0024409C" w:rsidRDefault="009B3BB0" w:rsidP="009B3BB0">
      <w:pPr>
        <w:spacing w:after="180" w:line="360" w:lineRule="auto"/>
        <w:rPr>
          <w:rFonts w:ascii="Helvetica Neue" w:hAnsi="Helvetica Neue"/>
        </w:rPr>
      </w:pPr>
      <w:r w:rsidRPr="0024409C">
        <w:rPr>
          <w:rFonts w:ascii="Helvetica Neue" w:hAnsi="Helvetica Neue"/>
        </w:rPr>
        <w:t>We model relational dissolution as a memoryless process with a single parameter per relational type. This implies an exponential distribution for relational durations within each category. As detailed in previous work,</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"ITEM-1", "issue" : "11", "issued" : { "date-parts" : [ [ "2012" ] ] }, "page" : "e50522", "title" : "What drives the US and Peruvian HIV epidemics in men who have sex with men (MSM)?", "type" : "article-journal", "volume" : "7" }, "uris" : [ "http://www.mendeley.com/documents/?uuid=95236385-1da9-4014-87d9-9bf044dc09fb" ] } ], "mendeley" : { "formattedCitation" : "&lt;sup&gt;1&lt;/sup&gt;", "plainTextFormattedCitation" : "1", "previouslyFormattedCitation" : "&lt;sup&gt;1&lt;/sup&gt;"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4017C2" w:rsidRPr="0024409C">
        <w:rPr>
          <w:rFonts w:ascii="Helvetica Neue" w:hAnsi="Helvetica Neue"/>
          <w:noProof/>
          <w:vertAlign w:val="superscript"/>
        </w:rPr>
        <w:t>1</w:t>
      </w:r>
      <w:r w:rsidRPr="0024409C">
        <w:rPr>
          <w:rFonts w:ascii="Helvetica Neue" w:hAnsi="Helvetica Neue"/>
          <w:noProof/>
          <w:vertAlign w:val="superscript"/>
        </w:rPr>
        <w:fldChar w:fldCharType="end"/>
      </w:r>
      <w:r w:rsidRPr="0024409C">
        <w:rPr>
          <w:rFonts w:ascii="Helvetica Neue" w:hAnsi="Helvetica Neue"/>
        </w:rPr>
        <w:t xml:space="preserve"> for memoryless processes, the expected age of an extant relationship at any moment in time matches the expected uncensored duration of relationships, given the balancing effects of right-censoring and length bias for this distribution. To derive our values, we take the median of the observed distribution and then calculate the mean for the exponential distribution with that median. Duration was calculated as the difference between first and last sex date for each dyad the ego reported sex with more than once in the interval. The resulting expected relational durations were:</w:t>
      </w:r>
    </w:p>
    <w:tbl>
      <w:tblPr>
        <w:tblStyle w:val="TableGrid"/>
        <w:tblW w:w="3600" w:type="dxa"/>
        <w:jc w:val="center"/>
        <w:tblLook w:val="04A0" w:firstRow="1" w:lastRow="0" w:firstColumn="1" w:lastColumn="0" w:noHBand="0" w:noVBand="1"/>
      </w:tblPr>
      <w:tblGrid>
        <w:gridCol w:w="2250"/>
        <w:gridCol w:w="1350"/>
      </w:tblGrid>
      <w:tr w:rsidR="009B3BB0" w:rsidRPr="0024409C" w14:paraId="340850C5" w14:textId="77777777" w:rsidTr="00A2582E">
        <w:trPr>
          <w:trHeight w:val="389"/>
          <w:jc w:val="center"/>
        </w:trPr>
        <w:tc>
          <w:tcPr>
            <w:tcW w:w="2250" w:type="dxa"/>
            <w:shd w:val="clear" w:color="auto" w:fill="D9D9D9" w:themeFill="background1" w:themeFillShade="D9"/>
            <w:vAlign w:val="center"/>
          </w:tcPr>
          <w:p w14:paraId="26D0E324" w14:textId="77777777" w:rsidR="009B3BB0" w:rsidRPr="0024409C" w:rsidRDefault="009B3BB0" w:rsidP="00A2582E">
            <w:pPr>
              <w:ind w:right="432"/>
              <w:jc w:val="center"/>
              <w:rPr>
                <w:rFonts w:ascii="Helvetica Neue" w:hAnsi="Helvetica Neue"/>
                <w:sz w:val="18"/>
              </w:rPr>
            </w:pPr>
          </w:p>
        </w:tc>
        <w:tc>
          <w:tcPr>
            <w:tcW w:w="1350" w:type="dxa"/>
            <w:shd w:val="clear" w:color="auto" w:fill="D9D9D9" w:themeFill="background1" w:themeFillShade="D9"/>
            <w:vAlign w:val="center"/>
          </w:tcPr>
          <w:p w14:paraId="36A6B206"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Duration</w:t>
            </w:r>
          </w:p>
        </w:tc>
      </w:tr>
      <w:tr w:rsidR="009B3BB0" w:rsidRPr="0024409C" w14:paraId="33D4A15E" w14:textId="77777777" w:rsidTr="00A2582E">
        <w:trPr>
          <w:trHeight w:val="389"/>
          <w:jc w:val="center"/>
        </w:trPr>
        <w:tc>
          <w:tcPr>
            <w:tcW w:w="2250" w:type="dxa"/>
            <w:vAlign w:val="center"/>
          </w:tcPr>
          <w:p w14:paraId="3E0F5F12" w14:textId="77777777" w:rsidR="009B3BB0" w:rsidRPr="0024409C" w:rsidRDefault="009B3BB0" w:rsidP="00A2582E">
            <w:pPr>
              <w:rPr>
                <w:rFonts w:ascii="Helvetica Neue" w:hAnsi="Helvetica Neue"/>
                <w:sz w:val="18"/>
              </w:rPr>
            </w:pPr>
            <w:r w:rsidRPr="0024409C">
              <w:rPr>
                <w:rFonts w:ascii="Helvetica Neue" w:hAnsi="Helvetica Neue"/>
                <w:sz w:val="18"/>
              </w:rPr>
              <w:t>Main partnerships</w:t>
            </w:r>
          </w:p>
        </w:tc>
        <w:tc>
          <w:tcPr>
            <w:tcW w:w="1350" w:type="dxa"/>
            <w:vAlign w:val="center"/>
          </w:tcPr>
          <w:p w14:paraId="6EBF16A5" w14:textId="77777777" w:rsidR="009B3BB0" w:rsidRPr="0024409C" w:rsidRDefault="009B3BB0" w:rsidP="00A2582E">
            <w:pPr>
              <w:jc w:val="center"/>
              <w:rPr>
                <w:rFonts w:ascii="Helvetica Neue" w:hAnsi="Helvetica Neue"/>
                <w:sz w:val="18"/>
              </w:rPr>
            </w:pPr>
            <w:r w:rsidRPr="0024409C">
              <w:rPr>
                <w:rFonts w:ascii="Helvetica Neue" w:hAnsi="Helvetica Neue"/>
                <w:sz w:val="18"/>
              </w:rPr>
              <w:t>407 days</w:t>
            </w:r>
          </w:p>
        </w:tc>
      </w:tr>
      <w:tr w:rsidR="009B3BB0" w:rsidRPr="0024409C" w14:paraId="0F57E8BA" w14:textId="77777777" w:rsidTr="00A2582E">
        <w:trPr>
          <w:trHeight w:val="389"/>
          <w:jc w:val="center"/>
        </w:trPr>
        <w:tc>
          <w:tcPr>
            <w:tcW w:w="2250" w:type="dxa"/>
            <w:vAlign w:val="center"/>
          </w:tcPr>
          <w:p w14:paraId="7F3F5C80" w14:textId="77777777" w:rsidR="009B3BB0" w:rsidRPr="0024409C" w:rsidRDefault="009B3BB0" w:rsidP="00A2582E">
            <w:pPr>
              <w:rPr>
                <w:rFonts w:ascii="Helvetica Neue" w:hAnsi="Helvetica Neue"/>
                <w:sz w:val="18"/>
              </w:rPr>
            </w:pPr>
            <w:r w:rsidRPr="0024409C">
              <w:rPr>
                <w:rFonts w:ascii="Helvetica Neue" w:hAnsi="Helvetica Neue"/>
                <w:sz w:val="18"/>
              </w:rPr>
              <w:t>Casual partnerships</w:t>
            </w:r>
          </w:p>
        </w:tc>
        <w:tc>
          <w:tcPr>
            <w:tcW w:w="1350" w:type="dxa"/>
            <w:vAlign w:val="center"/>
          </w:tcPr>
          <w:p w14:paraId="3CCC9409" w14:textId="77777777" w:rsidR="009B3BB0" w:rsidRPr="0024409C" w:rsidRDefault="009B3BB0" w:rsidP="00A2582E">
            <w:pPr>
              <w:jc w:val="center"/>
              <w:rPr>
                <w:rFonts w:ascii="Helvetica Neue" w:hAnsi="Helvetica Neue"/>
                <w:sz w:val="18"/>
              </w:rPr>
            </w:pPr>
            <w:r w:rsidRPr="0024409C">
              <w:rPr>
                <w:rFonts w:ascii="Helvetica Neue" w:hAnsi="Helvetica Neue"/>
                <w:sz w:val="18"/>
              </w:rPr>
              <w:t>166 days</w:t>
            </w:r>
          </w:p>
        </w:tc>
      </w:tr>
    </w:tbl>
    <w:p w14:paraId="3A87D7AD" w14:textId="373AED90" w:rsidR="009B3BB0" w:rsidRPr="0024409C" w:rsidRDefault="00273CDD" w:rsidP="009B3BB0">
      <w:pPr>
        <w:pStyle w:val="Heading2"/>
        <w:spacing w:before="300"/>
        <w:rPr>
          <w:rFonts w:ascii="Helvetica Neue" w:hAnsi="Helvetica Neue"/>
          <w:szCs w:val="22"/>
        </w:rPr>
      </w:pPr>
      <w:bookmarkStart w:id="7" w:name="_Toc522270399"/>
      <w:r w:rsidRPr="0024409C">
        <w:rPr>
          <w:rFonts w:ascii="Helvetica Neue" w:hAnsi="Helvetica Neue"/>
          <w:szCs w:val="22"/>
        </w:rPr>
        <w:t>2</w:t>
      </w:r>
      <w:r w:rsidR="009B3BB0" w:rsidRPr="0024409C">
        <w:rPr>
          <w:rFonts w:ascii="Helvetica Neue" w:hAnsi="Helvetica Neue"/>
          <w:szCs w:val="22"/>
        </w:rPr>
        <w:t xml:space="preserve">.2 </w:t>
      </w:r>
      <w:r w:rsidR="009B3BB0" w:rsidRPr="0024409C">
        <w:rPr>
          <w:rFonts w:ascii="Helvetica Neue" w:hAnsi="Helvetica Neue"/>
          <w:szCs w:val="22"/>
        </w:rPr>
        <w:tab/>
        <w:t>Statistical Representation of Sexual Networks</w:t>
      </w:r>
      <w:bookmarkEnd w:id="7"/>
    </w:p>
    <w:p w14:paraId="0869D2DB" w14:textId="1EBA1B2E" w:rsidR="009B3BB0" w:rsidRPr="0024409C" w:rsidRDefault="009B3BB0" w:rsidP="009B3BB0">
      <w:pPr>
        <w:spacing w:after="120" w:line="360" w:lineRule="auto"/>
        <w:rPr>
          <w:rFonts w:ascii="Helvetica Neue" w:hAnsi="Helvetica Neue"/>
          <w:b/>
          <w:highlight w:val="yellow"/>
        </w:rPr>
      </w:pPr>
      <w:r w:rsidRPr="0024409C">
        <w:rPr>
          <w:rFonts w:ascii="Helvetica Neue" w:hAnsi="Helvetica Neue"/>
        </w:rPr>
        <w:t>Exponential-family random graph models (ERGMs) and their dynamic extension</w:t>
      </w:r>
      <w:r w:rsidR="006A39E8">
        <w:rPr>
          <w:rFonts w:ascii="Helvetica Neue" w:hAnsi="Helvetica Neue"/>
        </w:rPr>
        <w:t>,</w:t>
      </w:r>
      <w:r w:rsidRPr="0024409C">
        <w:rPr>
          <w:rFonts w:ascii="Helvetica Neue" w:hAnsi="Helvetica Neue"/>
        </w:rPr>
        <w:t xml:space="preserve"> separable temporal ERGMs (STERGMs)</w:t>
      </w:r>
      <w:r w:rsidR="006A39E8">
        <w:rPr>
          <w:rFonts w:ascii="Helvetica Neue" w:hAnsi="Helvetica Neue"/>
        </w:rPr>
        <w:t>,</w:t>
      </w:r>
      <w:r w:rsidRPr="0024409C">
        <w:rPr>
          <w:rFonts w:ascii="Helvetica Neue" w:hAnsi="Helvetica Neue"/>
        </w:rPr>
        <w:t xml:space="preserve"> provide a foundation for statistically principled simulation of local and global network structure given a set of target statistics from empirical data. Main and </w:t>
      </w:r>
      <w:r w:rsidRPr="0024409C">
        <w:rPr>
          <w:rFonts w:ascii="Helvetica Neue" w:hAnsi="Helvetica Neue"/>
        </w:rPr>
        <w:lastRenderedPageBreak/>
        <w:t>casual relationships were modeled using STERGMs,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"ISBN" : "1369-7412 (Print) 1369-7412 (Linking)", "ISSN" : "1369-7412", "PMID" : "24443639", "abstract" : "Models of dynamic networks - networks that evolve over time - have manifold applications. We develop a discrete-time generative model for social network evolution that inherits the richness and flexibility of the class of exponential-family random graph models. The model - a Separable Temporal ERGM (STERGM) - facilitates separable modeling of the tie duration distributions and the structural dynamics of tie formation. We develop likelihood-based inference for the model, and provide computational algorithms for maximum likelihood estimation. We illustrate the interpretability of the model in analyzing a longitudinal network of friendship ties within a school.", "author" : [ { "dropping-particle" : "", "family" : "Krivitsky", "given" : "Pavel N", "non-dropping-particle" : "", "parse-names" : false, "suffix" : "" }, { "dropping-particle" : "", "family" : "Handcock", "given" : "Mark S", "non-dropping-particle" : "", "parse-names" : false, "suffix" : "" } ], "container-title" : "J R Stat Soc Series B Stat Methodol", "id" : "ITEM-1", "issue" : "1", "issued" : { "date-parts" : [ [ "2014" ] ] }, "note" : "From Duplicate 2 (A Separable Model for Dynamic Networks - Krivitsky, P N; Handcock, M S)\n\nKrivitsky, Pavel N\nHandcock, Mark S\nENG\nP30 AI027757/AI/NIAID NIH HHS/\nR01 DA012831/DA/NIDA NIH HHS/\nR01 HD041877/HD/NICHD NIH HHS/\nR01 HD068395/HD/NICHD NIH HHS/\nR21 HD063000/HD/NICHD NIH HHS/\nR29 HD034957/HD/NICHD NIH HHS/\nJ R Stat Soc Series B Stat Methodol. 2014 Jan 1;76(1):29-46.", "page" : "29-46", "title" : "A separable model for dynamic networks", "type" : "article-journal", "volume" : "76" }, "uris" : [ "http://www.mendeley.com/documents/?uuid=ab04e14c-fd9a-42eb-bdb9-20bd9848757a" ] } ], "mendeley" : { "formattedCitation" : "&lt;sup&gt;8&lt;/sup&gt;", "plainTextFormattedCitation" : "8", "previouslyFormattedCitation" : "&lt;sup&gt;8&lt;/sup&gt;"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8</w:t>
      </w:r>
      <w:r w:rsidRPr="0024409C">
        <w:rPr>
          <w:rFonts w:ascii="Helvetica Neue" w:hAnsi="Helvetica Neue"/>
          <w:noProof/>
          <w:vertAlign w:val="superscript"/>
        </w:rPr>
        <w:fldChar w:fldCharType="end"/>
      </w:r>
      <w:r w:rsidRPr="0024409C">
        <w:rPr>
          <w:rFonts w:ascii="Helvetica Neue" w:hAnsi="Helvetica Neue"/>
        </w:rPr>
        <w:t xml:space="preserve"> since they persist for multiple time steps. One-time contacts, on the other hand, were modeled using cross-sectional ERGMs.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"We describe some of the capabilities of the ergm package and the statistical theory underlying it. This package contains tools for accomplishing three important, and interrelated, tasks involving exponential-family random graph models (ERGMs): estimation, simulation, and goodness of fit. More precisely, ergm has the capability of approximating a maximum likelihood estimator for an ERGM given a network data set; simulating new network data sets from a fitted ERGM using Markov chain Monte Carlo; and assessing how well a fitted ERGM does at capturing characteristics of a particular network data set.", "author" : [ { "dropping-particle" : "", "family" : "Hunter", "given" : "David R", "non-dropping-particle" : "", "parse-names" : false, "suffix" : "" }, { "dropping-particle" : "", "family" : "Handcock", "given" : "Mark S", "non-dropping-particle" : "", "parse-names" : false, "suffix" : "" }, { "dropping-particle" : "", "family" : "Butts", "given" : "Carter T", "non-dropping-particle" : "", "parse-names" : false, "suffix" : "" }, { "dropping-particle" : "", "family" : "Goodreau", "given" : "Steven M", "non-dropping-particle" : "", "parse-names" : false, "suffix" : "" }, { "dropping-particle" : "", "family" : "Morris", "given" : "Martina", "non-dropping-particle" : "", "parse-names" : false, "suffix" : "" } ], "container-title" : "Journal of Statistical Software", "id" : "ITEM-1", "issue" : "3", "issued" : { "date-parts" : [ [ "2008", "5" ] ] }, "page" : "nihpa54860", "publisher" : "NIH Public Access", "title" : "ergm: A Package to Fit, Simulate and Diagnose Exponential-Family Models for Networks.", "type" : "article-journal", "volume" : "24" }, "uris" : [ "http://www.mendeley.com/documents/?uuid=d6be1cc9-7e69-388b-84a4-d22ce8e7232c", "http://www.mendeley.com/documents/?uuid=6411b3d2-f6b4-4bb7-8f45-2e9fe037a1b4" ] } ], "mendeley" : { "formattedCitation" : "&lt;sup&gt;9&lt;/sup&gt;", "plainTextFormattedCitation" : "9", "previouslyFormattedCitation" : "&lt;sup&gt;9&lt;/sup&gt;"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9</w:t>
      </w:r>
      <w:r w:rsidRPr="0024409C">
        <w:rPr>
          <w:rFonts w:ascii="Helvetica Neue" w:hAnsi="Helvetica Neue"/>
          <w:noProof/>
          <w:vertAlign w:val="superscript"/>
        </w:rPr>
        <w:fldChar w:fldCharType="end"/>
      </w:r>
      <w:r w:rsidRPr="0024409C">
        <w:rPr>
          <w:rFonts w:ascii="Helvetica Neue" w:hAnsi="Helvetica Neue"/>
        </w:rPr>
        <w:t xml:space="preserve"> Formally, our statistical models for relational dynamics can be represented as five equations for the conditional log odds (logits) of relational formation and persistence at time </w:t>
      </w:r>
      <w:r w:rsidRPr="0024409C">
        <w:rPr>
          <w:rFonts w:ascii="Helvetica Neue" w:hAnsi="Helvetica Neue"/>
          <w:i/>
        </w:rPr>
        <w:t>t</w:t>
      </w:r>
      <w:r w:rsidRPr="0024409C">
        <w:rPr>
          <w:rFonts w:ascii="Helvetica Neue" w:hAnsi="Helvetica Neue"/>
        </w:rPr>
        <w:t xml:space="preserve"> (for main and casual relationships) or for relational existence at time </w:t>
      </w:r>
      <w:r w:rsidRPr="0024409C">
        <w:rPr>
          <w:rFonts w:ascii="Helvetica Neue" w:hAnsi="Helvetica Neue"/>
          <w:i/>
        </w:rPr>
        <w:t>t</w:t>
      </w:r>
      <w:r w:rsidRPr="0024409C">
        <w:rPr>
          <w:rFonts w:ascii="Helvetica Neue" w:hAnsi="Helvetica Neue"/>
        </w:rPr>
        <w:t xml:space="preserve"> (for one-time contacts):</w:t>
      </w:r>
    </w:p>
    <w:p w14:paraId="5ECAC837" w14:textId="04760E38" w:rsidR="009B3BB0" w:rsidRPr="0024409C" w:rsidRDefault="009B3BB0" w:rsidP="009B3BB0">
      <w:pPr>
        <w:tabs>
          <w:tab w:val="left" w:pos="6120"/>
        </w:tabs>
        <w:spacing w:line="360" w:lineRule="auto"/>
        <w:ind w:left="720"/>
        <w:rPr>
          <w:rFonts w:ascii="Helvetica Neue" w:hAnsi="Helvetica Neue"/>
        </w:rPr>
      </w:pPr>
      <m:oMath>
        <m:r>
          <w:rPr>
            <w:rFonts w:ascii="Cambria Math" w:hAnsi="Cambria Math"/>
          </w:rPr>
          <m:t>logi</m:t>
        </m:r>
        <m:r>
          <w:rPr>
            <w:rFonts w:ascii="Cambria Math" w:hAnsi="Cambria Math" w:cs="Cambria Math"/>
          </w:rPr>
          <m:t>t</m:t>
        </m:r>
        <m:d>
          <m:dPr>
            <m:ctrlPr>
              <w:rPr>
                <w:rFonts w:ascii="Cambria Math" w:hAnsi="Cambria Math"/>
                <w:i/>
                <w:iCs/>
              </w:rPr>
            </m:ctrlPr>
          </m:dPr>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ij,t</m:t>
                    </m:r>
                  </m:sub>
                </m:sSub>
                <m:r>
                  <w:rPr>
                    <w:rFonts w:ascii="Cambria Math" w:hAnsi="Cambria Math"/>
                  </w:rPr>
                  <m:t>=1</m:t>
                </m:r>
              </m:e>
              <m:e>
                <m:sSub>
                  <m:sSubPr>
                    <m:ctrlPr>
                      <w:rPr>
                        <w:rFonts w:ascii="Cambria Math" w:hAnsi="Cambria Math"/>
                        <w:i/>
                        <w:iCs/>
                      </w:rPr>
                    </m:ctrlPr>
                  </m:sSubPr>
                  <m:e>
                    <m:r>
                      <w:rPr>
                        <w:rFonts w:ascii="Cambria Math" w:hAnsi="Cambria Math"/>
                      </w:rPr>
                      <m:t> Y</m:t>
                    </m:r>
                  </m:e>
                  <m:sub>
                    <m:r>
                      <w:rPr>
                        <w:rFonts w:ascii="Cambria Math" w:hAnsi="Cambria Math"/>
                      </w:rPr>
                      <m:t>ij,t-1</m:t>
                    </m:r>
                  </m:sub>
                </m:sSub>
                <m:r>
                  <w:rPr>
                    <w:rFonts w:ascii="Cambria Math" w:hAnsi="Cambria Math"/>
                  </w:rPr>
                  <m:t>=0</m:t>
                </m:r>
                <m:r>
                  <m:rPr>
                    <m:nor/>
                  </m:rPr>
                  <w:rPr>
                    <w:rFonts w:ascii="Helvetica Neue" w:hAnsi="Helvetica Neue"/>
                  </w:rPr>
                  <m:t>, </m:t>
                </m:r>
                <m:sSubSup>
                  <m:sSubSupPr>
                    <m:ctrlPr>
                      <w:rPr>
                        <w:rFonts w:ascii="Cambria Math" w:hAnsi="Cambria Math"/>
                        <w:i/>
                      </w:rPr>
                    </m:ctrlPr>
                  </m:sSubSupPr>
                  <m:e>
                    <m:r>
                      <w:rPr>
                        <w:rFonts w:ascii="Cambria Math" w:hAnsi="Cambria Math"/>
                      </w:rPr>
                      <m:t>Y</m:t>
                    </m:r>
                  </m:e>
                  <m:sub>
                    <m:r>
                      <w:rPr>
                        <w:rFonts w:ascii="Cambria Math" w:hAnsi="Cambria Math"/>
                      </w:rPr>
                      <m:t>ij,t</m:t>
                    </m:r>
                  </m:sub>
                  <m:sup>
                    <m:r>
                      <w:rPr>
                        <w:rFonts w:ascii="Cambria Math" w:hAnsi="Cambria Math"/>
                      </w:rPr>
                      <m:t>C</m:t>
                    </m:r>
                  </m:sup>
                </m:sSubSup>
              </m:e>
            </m:d>
          </m:e>
        </m:d>
        <m:r>
          <m:rPr>
            <m:nor/>
          </m:rPr>
          <w:rPr>
            <w:rFonts w:ascii="Helvetica Neue" w:hAnsi="Helvetica Neue"/>
          </w:rPr>
          <m:t> = </m:t>
        </m:r>
        <m:sSup>
          <m:sSupPr>
            <m:ctrlPr>
              <w:rPr>
                <w:rFonts w:ascii="Cambria Math" w:hAnsi="Cambria Math"/>
                <w:bCs/>
                <w:i/>
                <w:iCs/>
              </w:rPr>
            </m:ctrlPr>
          </m:sSupPr>
          <m:e>
            <m:sSubSup>
              <m:sSubSupPr>
                <m:ctrlPr>
                  <w:rPr>
                    <w:rFonts w:ascii="Cambria Math" w:hAnsi="Cambria Math"/>
                    <w:i/>
                  </w:rPr>
                </m:ctrlPr>
              </m:sSubSupPr>
              <m:e>
                <m:r>
                  <w:rPr>
                    <w:rFonts w:ascii="Cambria Math" w:hAnsi="Cambria Math"/>
                  </w:rPr>
                  <m:t>θ</m:t>
                </m:r>
              </m:e>
              <m:sub>
                <m:r>
                  <w:rPr>
                    <w:rFonts w:ascii="Cambria Math" w:hAnsi="Cambria Math"/>
                  </w:rPr>
                  <m:t>m</m:t>
                </m:r>
              </m:sub>
              <m:sup>
                <m:r>
                  <w:rPr>
                    <w:rFonts w:ascii="Cambria Math" w:hAnsi="Cambria Math"/>
                  </w:rPr>
                  <m:t>+</m:t>
                </m:r>
              </m:sup>
            </m:sSubSup>
          </m:e>
          <m:sup>
            <m:r>
              <w:rPr>
                <w:rFonts w:ascii="Cambria Math" w:hAnsi="Cambria Math"/>
              </w:rPr>
              <m:t>'</m:t>
            </m:r>
          </m:sup>
        </m:sSup>
        <m:r>
          <w:rPr>
            <w:rFonts w:ascii="Cambria Math" w:hAnsi="Cambria Math"/>
          </w:rPr>
          <m:t>∂</m:t>
        </m:r>
        <m:d>
          <m:dPr>
            <m:ctrlPr>
              <w:rPr>
                <w:rFonts w:ascii="Cambria Math" w:hAnsi="Cambria Math"/>
                <w:i/>
                <w:iCs/>
              </w:rPr>
            </m:ctrlPr>
          </m:dPr>
          <m:e>
            <m:sSubSup>
              <m:sSubSupPr>
                <m:ctrlPr>
                  <w:rPr>
                    <w:rFonts w:ascii="Cambria Math" w:hAnsi="Cambria Math"/>
                    <w:bCs/>
                    <w:i/>
                    <w:iCs/>
                  </w:rPr>
                </m:ctrlPr>
              </m:sSubSupPr>
              <m:e>
                <m:r>
                  <w:rPr>
                    <w:rFonts w:ascii="Cambria Math" w:hAnsi="Cambria Math"/>
                  </w:rPr>
                  <m:t>g</m:t>
                </m:r>
              </m:e>
              <m:sub>
                <m:r>
                  <w:rPr>
                    <w:rFonts w:ascii="Cambria Math" w:hAnsi="Cambria Math"/>
                  </w:rPr>
                  <m:t>m</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e>
        </m:d>
      </m:oMath>
      <w:r w:rsidRPr="0024409C">
        <w:rPr>
          <w:rFonts w:ascii="Helvetica Neue" w:hAnsi="Helvetica Neue"/>
        </w:rPr>
        <w:tab/>
        <w:t>Main partnership formation</w:t>
      </w:r>
    </w:p>
    <w:p w14:paraId="246FC9B6" w14:textId="77777777" w:rsidR="009B3BB0" w:rsidRPr="0024409C" w:rsidRDefault="009B3BB0" w:rsidP="009B3BB0">
      <w:pPr>
        <w:tabs>
          <w:tab w:val="left" w:pos="6120"/>
        </w:tabs>
        <w:spacing w:line="360" w:lineRule="auto"/>
        <w:ind w:left="720"/>
        <w:rPr>
          <w:rFonts w:ascii="Helvetica Neue" w:hAnsi="Helvetica Neue"/>
        </w:rPr>
      </w:pPr>
      <m:oMath>
        <m:r>
          <w:rPr>
            <w:rFonts w:ascii="Cambria Math" w:hAnsi="Cambria Math"/>
          </w:rPr>
          <m:t>logit</m:t>
        </m:r>
        <m:d>
          <m:dPr>
            <m:ctrlPr>
              <w:rPr>
                <w:rFonts w:ascii="Cambria Math" w:hAnsi="Cambria Math"/>
                <w:i/>
                <w:iCs/>
              </w:rPr>
            </m:ctrlPr>
          </m:dPr>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ij,t</m:t>
                    </m:r>
                  </m:sub>
                </m:sSub>
                <m:r>
                  <w:rPr>
                    <w:rFonts w:ascii="Cambria Math" w:hAnsi="Cambria Math"/>
                  </w:rPr>
                  <m:t>=1</m:t>
                </m:r>
              </m:e>
              <m:e>
                <m:sSub>
                  <m:sSubPr>
                    <m:ctrlPr>
                      <w:rPr>
                        <w:rFonts w:ascii="Cambria Math" w:hAnsi="Cambria Math"/>
                        <w:i/>
                        <w:iCs/>
                      </w:rPr>
                    </m:ctrlPr>
                  </m:sSubPr>
                  <m:e>
                    <m:r>
                      <w:rPr>
                        <w:rFonts w:ascii="Cambria Math" w:hAnsi="Cambria Math"/>
                      </w:rPr>
                      <m:t> Y</m:t>
                    </m:r>
                  </m:e>
                  <m:sub>
                    <m:r>
                      <w:rPr>
                        <w:rFonts w:ascii="Cambria Math" w:hAnsi="Cambria Math"/>
                      </w:rPr>
                      <m:t>ij,t-1</m:t>
                    </m:r>
                  </m:sub>
                </m:sSub>
                <m:r>
                  <w:rPr>
                    <w:rFonts w:ascii="Cambria Math" w:hAnsi="Cambria Math"/>
                  </w:rPr>
                  <m:t>=0</m:t>
                </m:r>
                <m:r>
                  <m:rPr>
                    <m:nor/>
                  </m:rPr>
                  <w:rPr>
                    <w:rFonts w:ascii="Helvetica Neue" w:hAnsi="Helvetica Neue"/>
                  </w:rPr>
                  <m:t>, </m:t>
                </m:r>
                <m:sSubSup>
                  <m:sSubSupPr>
                    <m:ctrlPr>
                      <w:rPr>
                        <w:rFonts w:ascii="Cambria Math" w:hAnsi="Cambria Math"/>
                        <w:i/>
                      </w:rPr>
                    </m:ctrlPr>
                  </m:sSubSupPr>
                  <m:e>
                    <m:r>
                      <w:rPr>
                        <w:rFonts w:ascii="Cambria Math" w:hAnsi="Cambria Math"/>
                      </w:rPr>
                      <m:t>Y</m:t>
                    </m:r>
                  </m:e>
                  <m:sub>
                    <m:r>
                      <w:rPr>
                        <w:rFonts w:ascii="Cambria Math" w:hAnsi="Cambria Math"/>
                      </w:rPr>
                      <m:t>ij,t</m:t>
                    </m:r>
                  </m:sub>
                  <m:sup>
                    <m:r>
                      <w:rPr>
                        <w:rFonts w:ascii="Cambria Math" w:hAnsi="Cambria Math"/>
                      </w:rPr>
                      <m:t>C</m:t>
                    </m:r>
                  </m:sup>
                </m:sSubSup>
              </m:e>
            </m:d>
          </m:e>
        </m:d>
        <m:r>
          <m:rPr>
            <m:nor/>
          </m:rPr>
          <w:rPr>
            <w:rFonts w:ascii="Helvetica Neue" w:hAnsi="Helvetica Neue"/>
          </w:rPr>
          <m:t> = </m:t>
        </m:r>
        <m:sSup>
          <m:sSupPr>
            <m:ctrlPr>
              <w:rPr>
                <w:rFonts w:ascii="Cambria Math" w:hAnsi="Cambria Math"/>
                <w:bCs/>
                <w:i/>
                <w:iCs/>
              </w:rPr>
            </m:ctrlPr>
          </m:sSupPr>
          <m:e>
            <m:sSubSup>
              <m:sSubSupPr>
                <m:ctrlPr>
                  <w:rPr>
                    <w:rFonts w:ascii="Cambria Math" w:hAnsi="Cambria Math"/>
                    <w:i/>
                  </w:rPr>
                </m:ctrlPr>
              </m:sSubSupPr>
              <m:e>
                <m:r>
                  <w:rPr>
                    <w:rFonts w:ascii="Cambria Math" w:hAnsi="Cambria Math"/>
                  </w:rPr>
                  <m:t>θ</m:t>
                </m:r>
              </m:e>
              <m:sub>
                <m:r>
                  <w:rPr>
                    <w:rFonts w:ascii="Cambria Math" w:hAnsi="Cambria Math"/>
                  </w:rPr>
                  <m:t>c</m:t>
                </m:r>
              </m:sub>
              <m:sup>
                <m:r>
                  <w:rPr>
                    <w:rFonts w:ascii="Cambria Math" w:hAnsi="Cambria Math"/>
                  </w:rPr>
                  <m:t>+</m:t>
                </m:r>
              </m:sup>
            </m:sSubSup>
          </m:e>
          <m:sup>
            <m:r>
              <w:rPr>
                <w:rFonts w:ascii="Cambria Math" w:hAnsi="Cambria Math"/>
              </w:rPr>
              <m:t>'</m:t>
            </m:r>
          </m:sup>
        </m:sSup>
        <m:r>
          <w:rPr>
            <w:rFonts w:ascii="Cambria Math" w:hAnsi="Cambria Math"/>
          </w:rPr>
          <m:t>∂</m:t>
        </m:r>
        <m:d>
          <m:dPr>
            <m:ctrlPr>
              <w:rPr>
                <w:rFonts w:ascii="Cambria Math" w:hAnsi="Cambria Math"/>
                <w:i/>
                <w:iCs/>
              </w:rPr>
            </m:ctrlPr>
          </m:dPr>
          <m:e>
            <m:sSubSup>
              <m:sSubSupPr>
                <m:ctrlPr>
                  <w:rPr>
                    <w:rFonts w:ascii="Cambria Math" w:hAnsi="Cambria Math"/>
                    <w:bCs/>
                    <w:i/>
                    <w:iCs/>
                  </w:rPr>
                </m:ctrlPr>
              </m:sSubSupPr>
              <m:e>
                <m:r>
                  <w:rPr>
                    <w:rFonts w:ascii="Cambria Math" w:hAnsi="Cambria Math"/>
                  </w:rPr>
                  <m:t>g</m:t>
                </m:r>
              </m:e>
              <m:sub>
                <m:r>
                  <w:rPr>
                    <w:rFonts w:ascii="Cambria Math" w:hAnsi="Cambria Math"/>
                  </w:rPr>
                  <m:t>c</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e>
        </m:d>
      </m:oMath>
      <w:r w:rsidRPr="0024409C">
        <w:rPr>
          <w:rFonts w:ascii="Helvetica Neue" w:hAnsi="Helvetica Neue"/>
        </w:rPr>
        <w:tab/>
        <w:t>Casual partnership formation</w:t>
      </w:r>
    </w:p>
    <w:p w14:paraId="6F9A1BE3" w14:textId="77777777" w:rsidR="009B3BB0" w:rsidRPr="0024409C" w:rsidRDefault="009B3BB0" w:rsidP="009B3BB0">
      <w:pPr>
        <w:tabs>
          <w:tab w:val="left" w:pos="6120"/>
        </w:tabs>
        <w:spacing w:line="360" w:lineRule="auto"/>
        <w:ind w:left="720"/>
        <w:rPr>
          <w:rFonts w:ascii="Helvetica Neue" w:eastAsiaTheme="minorEastAsia" w:hAnsi="Helvetica Neue"/>
          <w:iCs/>
        </w:rPr>
      </w:pPr>
      <m:oMath>
        <m:r>
          <w:rPr>
            <w:rFonts w:ascii="Cambria Math" w:hAnsi="Cambria Math"/>
          </w:rPr>
          <m:t>logit</m:t>
        </m:r>
        <m:d>
          <m:dPr>
            <m:ctrlPr>
              <w:rPr>
                <w:rFonts w:ascii="Cambria Math" w:hAnsi="Cambria Math"/>
                <w:i/>
                <w:iCs/>
              </w:rPr>
            </m:ctrlPr>
          </m:dPr>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ij,t</m:t>
                    </m:r>
                  </m:sub>
                </m:sSub>
                <m:r>
                  <w:rPr>
                    <w:rFonts w:ascii="Cambria Math" w:hAnsi="Cambria Math"/>
                  </w:rPr>
                  <m:t>=1</m:t>
                </m:r>
              </m:e>
              <m:e>
                <m:sSub>
                  <m:sSubPr>
                    <m:ctrlPr>
                      <w:rPr>
                        <w:rFonts w:ascii="Cambria Math" w:hAnsi="Cambria Math"/>
                        <w:i/>
                        <w:iCs/>
                      </w:rPr>
                    </m:ctrlPr>
                  </m:sSubPr>
                  <m:e>
                    <m:r>
                      <w:rPr>
                        <w:rFonts w:ascii="Cambria Math" w:hAnsi="Cambria Math"/>
                      </w:rPr>
                      <m:t> Y</m:t>
                    </m:r>
                  </m:e>
                  <m:sub>
                    <m:r>
                      <w:rPr>
                        <w:rFonts w:ascii="Cambria Math" w:hAnsi="Cambria Math"/>
                      </w:rPr>
                      <m:t>ij,t-1</m:t>
                    </m:r>
                  </m:sub>
                </m:sSub>
                <m:r>
                  <w:rPr>
                    <w:rFonts w:ascii="Cambria Math" w:hAnsi="Cambria Math"/>
                  </w:rPr>
                  <m:t>=1</m:t>
                </m:r>
                <m:r>
                  <m:rPr>
                    <m:nor/>
                  </m:rPr>
                  <w:rPr>
                    <w:rFonts w:ascii="Helvetica Neue" w:hAnsi="Helvetica Neue"/>
                  </w:rPr>
                  <m:t>, </m:t>
                </m:r>
                <m:sSubSup>
                  <m:sSubSupPr>
                    <m:ctrlPr>
                      <w:rPr>
                        <w:rFonts w:ascii="Cambria Math" w:hAnsi="Cambria Math"/>
                        <w:i/>
                      </w:rPr>
                    </m:ctrlPr>
                  </m:sSubSupPr>
                  <m:e>
                    <m:r>
                      <w:rPr>
                        <w:rFonts w:ascii="Cambria Math" w:hAnsi="Cambria Math"/>
                      </w:rPr>
                      <m:t>Y</m:t>
                    </m:r>
                  </m:e>
                  <m:sub>
                    <m:r>
                      <w:rPr>
                        <w:rFonts w:ascii="Cambria Math" w:hAnsi="Cambria Math"/>
                      </w:rPr>
                      <m:t>ij,t</m:t>
                    </m:r>
                  </m:sub>
                  <m:sup>
                    <m:r>
                      <w:rPr>
                        <w:rFonts w:ascii="Cambria Math" w:hAnsi="Cambria Math"/>
                      </w:rPr>
                      <m:t>C</m:t>
                    </m:r>
                  </m:sup>
                </m:sSubSup>
              </m:e>
            </m:d>
          </m:e>
        </m:d>
        <m:r>
          <m:rPr>
            <m:nor/>
          </m:rPr>
          <w:rPr>
            <w:rFonts w:ascii="Helvetica Neue" w:hAnsi="Helvetica Neue"/>
          </w:rPr>
          <m:t> = </m:t>
        </m:r>
        <m:sSup>
          <m:sSupPr>
            <m:ctrlPr>
              <w:rPr>
                <w:rFonts w:ascii="Cambria Math" w:hAnsi="Cambria Math"/>
                <w:bCs/>
                <w:i/>
                <w:iCs/>
              </w:rPr>
            </m:ctrlPr>
          </m:sSupPr>
          <m:e>
            <m:sSubSup>
              <m:sSubSupPr>
                <m:ctrlPr>
                  <w:rPr>
                    <w:rFonts w:ascii="Cambria Math" w:hAnsi="Cambria Math"/>
                    <w:i/>
                  </w:rPr>
                </m:ctrlPr>
              </m:sSubSupPr>
              <m:e>
                <m:r>
                  <w:rPr>
                    <w:rFonts w:ascii="Cambria Math" w:hAnsi="Cambria Math"/>
                  </w:rPr>
                  <m:t>θ</m:t>
                </m:r>
              </m:e>
              <m:sub>
                <m:r>
                  <w:rPr>
                    <w:rFonts w:ascii="Cambria Math" w:hAnsi="Cambria Math"/>
                  </w:rPr>
                  <m:t>m</m:t>
                </m:r>
              </m:sub>
              <m:sup>
                <m:r>
                  <w:rPr>
                    <w:rFonts w:ascii="Cambria Math" w:hAnsi="Cambria Math"/>
                  </w:rPr>
                  <m:t>-</m:t>
                </m:r>
              </m:sup>
            </m:sSubSup>
          </m:e>
          <m:sup>
            <m:r>
              <w:rPr>
                <w:rFonts w:ascii="Cambria Math" w:hAnsi="Cambria Math"/>
              </w:rPr>
              <m:t>'</m:t>
            </m:r>
          </m:sup>
        </m:sSup>
        <m:r>
          <w:rPr>
            <w:rFonts w:ascii="Cambria Math" w:hAnsi="Cambria Math"/>
          </w:rPr>
          <m:t>∂</m:t>
        </m:r>
        <m:d>
          <m:dPr>
            <m:ctrlPr>
              <w:rPr>
                <w:rFonts w:ascii="Cambria Math" w:hAnsi="Cambria Math"/>
                <w:i/>
                <w:iCs/>
              </w:rPr>
            </m:ctrlPr>
          </m:dPr>
          <m:e>
            <m:sSubSup>
              <m:sSubSupPr>
                <m:ctrlPr>
                  <w:rPr>
                    <w:rFonts w:ascii="Cambria Math" w:hAnsi="Cambria Math"/>
                    <w:bCs/>
                    <w:i/>
                    <w:iCs/>
                  </w:rPr>
                </m:ctrlPr>
              </m:sSubSupPr>
              <m:e>
                <m:r>
                  <w:rPr>
                    <w:rFonts w:ascii="Cambria Math" w:hAnsi="Cambria Math"/>
                  </w:rPr>
                  <m:t>g</m:t>
                </m:r>
              </m:e>
              <m:sub>
                <m:r>
                  <w:rPr>
                    <w:rFonts w:ascii="Cambria Math" w:hAnsi="Cambria Math"/>
                  </w:rPr>
                  <m:t>m</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e>
        </m:d>
      </m:oMath>
      <w:r w:rsidRPr="0024409C">
        <w:rPr>
          <w:rFonts w:ascii="Helvetica Neue" w:eastAsiaTheme="minorEastAsia" w:hAnsi="Helvetica Neue"/>
          <w:iCs/>
        </w:rPr>
        <w:tab/>
      </w:r>
      <w:r w:rsidRPr="0024409C">
        <w:rPr>
          <w:rFonts w:ascii="Helvetica Neue" w:hAnsi="Helvetica Neue"/>
        </w:rPr>
        <w:t>Main partnership persistence</w:t>
      </w:r>
    </w:p>
    <w:p w14:paraId="062CCC54" w14:textId="77777777" w:rsidR="009B3BB0" w:rsidRPr="0024409C" w:rsidRDefault="009B3BB0" w:rsidP="009B3BB0">
      <w:pPr>
        <w:tabs>
          <w:tab w:val="left" w:pos="6120"/>
        </w:tabs>
        <w:spacing w:line="360" w:lineRule="auto"/>
        <w:ind w:left="720"/>
        <w:rPr>
          <w:rFonts w:ascii="Helvetica Neue" w:eastAsiaTheme="minorEastAsia" w:hAnsi="Helvetica Neue"/>
          <w:iCs/>
        </w:rPr>
      </w:pPr>
      <m:oMath>
        <m:r>
          <w:rPr>
            <w:rFonts w:ascii="Cambria Math" w:hAnsi="Cambria Math"/>
          </w:rPr>
          <m:t>logit</m:t>
        </m:r>
        <m:d>
          <m:dPr>
            <m:ctrlPr>
              <w:rPr>
                <w:rFonts w:ascii="Cambria Math" w:hAnsi="Cambria Math"/>
                <w:i/>
                <w:iCs/>
              </w:rPr>
            </m:ctrlPr>
          </m:dPr>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ij,t</m:t>
                    </m:r>
                  </m:sub>
                </m:sSub>
                <m:r>
                  <w:rPr>
                    <w:rFonts w:ascii="Cambria Math" w:hAnsi="Cambria Math"/>
                  </w:rPr>
                  <m:t>=1</m:t>
                </m:r>
              </m:e>
              <m:e>
                <m:sSub>
                  <m:sSubPr>
                    <m:ctrlPr>
                      <w:rPr>
                        <w:rFonts w:ascii="Cambria Math" w:hAnsi="Cambria Math"/>
                        <w:i/>
                        <w:iCs/>
                      </w:rPr>
                    </m:ctrlPr>
                  </m:sSubPr>
                  <m:e>
                    <m:r>
                      <w:rPr>
                        <w:rFonts w:ascii="Cambria Math" w:hAnsi="Cambria Math"/>
                      </w:rPr>
                      <m:t> Y</m:t>
                    </m:r>
                  </m:e>
                  <m:sub>
                    <m:r>
                      <w:rPr>
                        <w:rFonts w:ascii="Cambria Math" w:hAnsi="Cambria Math"/>
                      </w:rPr>
                      <m:t>ij,t-1</m:t>
                    </m:r>
                  </m:sub>
                </m:sSub>
                <m:r>
                  <w:rPr>
                    <w:rFonts w:ascii="Cambria Math" w:hAnsi="Cambria Math"/>
                  </w:rPr>
                  <m:t>=1</m:t>
                </m:r>
                <m:r>
                  <m:rPr>
                    <m:nor/>
                  </m:rPr>
                  <w:rPr>
                    <w:rFonts w:ascii="Helvetica Neue" w:hAnsi="Helvetica Neue"/>
                  </w:rPr>
                  <m:t>, </m:t>
                </m:r>
                <m:sSubSup>
                  <m:sSubSupPr>
                    <m:ctrlPr>
                      <w:rPr>
                        <w:rFonts w:ascii="Cambria Math" w:hAnsi="Cambria Math"/>
                        <w:i/>
                      </w:rPr>
                    </m:ctrlPr>
                  </m:sSubSupPr>
                  <m:e>
                    <m:r>
                      <w:rPr>
                        <w:rFonts w:ascii="Cambria Math" w:hAnsi="Cambria Math"/>
                      </w:rPr>
                      <m:t>Y</m:t>
                    </m:r>
                  </m:e>
                  <m:sub>
                    <m:r>
                      <w:rPr>
                        <w:rFonts w:ascii="Cambria Math" w:hAnsi="Cambria Math"/>
                      </w:rPr>
                      <m:t>ij,t</m:t>
                    </m:r>
                  </m:sub>
                  <m:sup>
                    <m:r>
                      <w:rPr>
                        <w:rFonts w:ascii="Cambria Math" w:hAnsi="Cambria Math"/>
                      </w:rPr>
                      <m:t>C</m:t>
                    </m:r>
                  </m:sup>
                </m:sSubSup>
              </m:e>
            </m:d>
          </m:e>
        </m:d>
        <m:r>
          <m:rPr>
            <m:nor/>
          </m:rPr>
          <w:rPr>
            <w:rFonts w:ascii="Helvetica Neue" w:hAnsi="Helvetica Neue"/>
          </w:rPr>
          <m:t> = </m:t>
        </m:r>
        <m:sSup>
          <m:sSupPr>
            <m:ctrlPr>
              <w:rPr>
                <w:rFonts w:ascii="Cambria Math" w:hAnsi="Cambria Math"/>
                <w:bCs/>
                <w:i/>
                <w:iCs/>
              </w:rPr>
            </m:ctrlPr>
          </m:sSupPr>
          <m:e>
            <m:sSubSup>
              <m:sSubSupPr>
                <m:ctrlPr>
                  <w:rPr>
                    <w:rFonts w:ascii="Cambria Math" w:hAnsi="Cambria Math"/>
                    <w:i/>
                  </w:rPr>
                </m:ctrlPr>
              </m:sSubSupPr>
              <m:e>
                <m:r>
                  <w:rPr>
                    <w:rFonts w:ascii="Cambria Math" w:hAnsi="Cambria Math"/>
                  </w:rPr>
                  <m:t>θ</m:t>
                </m:r>
              </m:e>
              <m:sub>
                <m:r>
                  <w:rPr>
                    <w:rFonts w:ascii="Cambria Math" w:hAnsi="Cambria Math"/>
                  </w:rPr>
                  <m:t>c</m:t>
                </m:r>
              </m:sub>
              <m:sup>
                <m:r>
                  <w:rPr>
                    <w:rFonts w:ascii="Cambria Math" w:hAnsi="Cambria Math"/>
                  </w:rPr>
                  <m:t>-</m:t>
                </m:r>
              </m:sup>
            </m:sSubSup>
          </m:e>
          <m:sup>
            <m:r>
              <w:rPr>
                <w:rFonts w:ascii="Cambria Math" w:hAnsi="Cambria Math"/>
              </w:rPr>
              <m:t>'</m:t>
            </m:r>
          </m:sup>
        </m:sSup>
        <m:r>
          <w:rPr>
            <w:rFonts w:ascii="Cambria Math" w:hAnsi="Cambria Math"/>
          </w:rPr>
          <m:t>∂</m:t>
        </m:r>
        <m:d>
          <m:dPr>
            <m:ctrlPr>
              <w:rPr>
                <w:rFonts w:ascii="Cambria Math" w:hAnsi="Cambria Math"/>
                <w:i/>
                <w:iCs/>
              </w:rPr>
            </m:ctrlPr>
          </m:dPr>
          <m:e>
            <m:sSubSup>
              <m:sSubSupPr>
                <m:ctrlPr>
                  <w:rPr>
                    <w:rFonts w:ascii="Cambria Math" w:hAnsi="Cambria Math"/>
                    <w:bCs/>
                    <w:i/>
                    <w:iCs/>
                  </w:rPr>
                </m:ctrlPr>
              </m:sSubSupPr>
              <m:e>
                <m:r>
                  <w:rPr>
                    <w:rFonts w:ascii="Cambria Math" w:hAnsi="Cambria Math"/>
                  </w:rPr>
                  <m:t>g</m:t>
                </m:r>
              </m:e>
              <m:sub>
                <m:r>
                  <w:rPr>
                    <w:rFonts w:ascii="Cambria Math" w:hAnsi="Cambria Math"/>
                  </w:rPr>
                  <m:t>c</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e>
        </m:d>
      </m:oMath>
      <w:r w:rsidRPr="0024409C">
        <w:rPr>
          <w:rFonts w:ascii="Helvetica Neue" w:eastAsiaTheme="minorEastAsia" w:hAnsi="Helvetica Neue"/>
          <w:iCs/>
        </w:rPr>
        <w:tab/>
      </w:r>
      <w:r w:rsidRPr="0024409C">
        <w:rPr>
          <w:rFonts w:ascii="Helvetica Neue" w:hAnsi="Helvetica Neue"/>
        </w:rPr>
        <w:t>Casual partnership persistence</w:t>
      </w:r>
    </w:p>
    <w:p w14:paraId="7FA7658A" w14:textId="77777777" w:rsidR="009B3BB0" w:rsidRPr="0024409C" w:rsidRDefault="009B3BB0" w:rsidP="009B3BB0">
      <w:pPr>
        <w:tabs>
          <w:tab w:val="left" w:pos="6120"/>
        </w:tabs>
        <w:spacing w:line="360" w:lineRule="auto"/>
        <w:ind w:left="720"/>
        <w:rPr>
          <w:rFonts w:ascii="Helvetica Neue" w:hAnsi="Helvetica Neue"/>
        </w:rPr>
      </w:pPr>
      <m:oMath>
        <m:r>
          <w:rPr>
            <w:rFonts w:ascii="Cambria Math" w:hAnsi="Cambria Math"/>
          </w:rPr>
          <m:t>logit</m:t>
        </m:r>
        <m:d>
          <m:dPr>
            <m:ctrlPr>
              <w:rPr>
                <w:rFonts w:ascii="Cambria Math" w:hAnsi="Cambria Math"/>
                <w:i/>
                <w:iCs/>
              </w:rPr>
            </m:ctrlPr>
          </m:dPr>
          <m:e>
            <m:r>
              <w:rPr>
                <w:rFonts w:ascii="Cambria Math" w:hAnsi="Cambria Math"/>
              </w:rPr>
              <m:t>P</m:t>
            </m:r>
            <m:d>
              <m:dPr>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ij,t</m:t>
                    </m:r>
                  </m:sub>
                </m:sSub>
                <m:r>
                  <w:rPr>
                    <w:rFonts w:ascii="Cambria Math" w:hAnsi="Cambria Math"/>
                  </w:rPr>
                  <m:t>=1</m:t>
                </m:r>
              </m:e>
              <m:e>
                <m:sSubSup>
                  <m:sSubSupPr>
                    <m:ctrlPr>
                      <w:rPr>
                        <w:rFonts w:ascii="Cambria Math" w:hAnsi="Cambria Math"/>
                        <w:i/>
                      </w:rPr>
                    </m:ctrlPr>
                  </m:sSubSupPr>
                  <m:e>
                    <m:r>
                      <w:rPr>
                        <w:rFonts w:ascii="Cambria Math" w:hAnsi="Cambria Math"/>
                      </w:rPr>
                      <m:t xml:space="preserve"> Y</m:t>
                    </m:r>
                  </m:e>
                  <m:sub>
                    <m:r>
                      <w:rPr>
                        <w:rFonts w:ascii="Cambria Math" w:hAnsi="Cambria Math"/>
                      </w:rPr>
                      <m:t>ij,t</m:t>
                    </m:r>
                  </m:sub>
                  <m:sup>
                    <m:r>
                      <w:rPr>
                        <w:rFonts w:ascii="Cambria Math" w:hAnsi="Cambria Math"/>
                      </w:rPr>
                      <m:t>C</m:t>
                    </m:r>
                  </m:sup>
                </m:sSubSup>
              </m:e>
            </m:d>
          </m:e>
        </m:d>
        <m:r>
          <m:rPr>
            <m:nor/>
          </m:rPr>
          <w:rPr>
            <w:rFonts w:ascii="Helvetica Neue" w:hAnsi="Helvetica Neue"/>
          </w:rPr>
          <m:t> = </m:t>
        </m:r>
        <m:sSup>
          <m:sSupPr>
            <m:ctrlPr>
              <w:rPr>
                <w:rFonts w:ascii="Cambria Math" w:hAnsi="Cambria Math"/>
                <w:bCs/>
                <w:i/>
                <w:iCs/>
              </w:rPr>
            </m:ctrlPr>
          </m:sSupPr>
          <m:e>
            <m:sSub>
              <m:sSubPr>
                <m:ctrlPr>
                  <w:rPr>
                    <w:rFonts w:ascii="Cambria Math" w:hAnsi="Cambria Math"/>
                    <w:i/>
                  </w:rPr>
                </m:ctrlPr>
              </m:sSubPr>
              <m:e>
                <m:r>
                  <w:rPr>
                    <w:rFonts w:ascii="Cambria Math" w:hAnsi="Cambria Math"/>
                  </w:rPr>
                  <m:t>θ</m:t>
                </m:r>
              </m:e>
              <m:sub>
                <m:r>
                  <w:rPr>
                    <w:rFonts w:ascii="Cambria Math" w:hAnsi="Cambria Math"/>
                  </w:rPr>
                  <m:t>o</m:t>
                </m:r>
              </m:sub>
            </m:sSub>
          </m:e>
          <m:sup>
            <m:r>
              <w:rPr>
                <w:rFonts w:ascii="Cambria Math" w:hAnsi="Cambria Math"/>
              </w:rPr>
              <m:t>'</m:t>
            </m:r>
          </m:sup>
        </m:sSup>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g</m:t>
                </m:r>
              </m:e>
              <m:sub>
                <m:r>
                  <w:rPr>
                    <w:rFonts w:ascii="Cambria Math" w:hAnsi="Cambria Math"/>
                  </w:rPr>
                  <m:t>o</m:t>
                </m:r>
              </m:sub>
            </m:sSub>
            <m:d>
              <m:dPr>
                <m:ctrlPr>
                  <w:rPr>
                    <w:rFonts w:ascii="Cambria Math" w:hAnsi="Cambria Math"/>
                    <w:bCs/>
                    <w:i/>
                    <w:iCs/>
                    <w:lang w:val="el-GR"/>
                  </w:rPr>
                </m:ctrlPr>
              </m:dPr>
              <m:e>
                <m:r>
                  <w:rPr>
                    <w:rFonts w:ascii="Cambria Math" w:hAnsi="Cambria Math"/>
                  </w:rPr>
                  <m:t>y</m:t>
                </m:r>
              </m:e>
            </m:d>
          </m:e>
        </m:d>
      </m:oMath>
      <w:r w:rsidRPr="0024409C">
        <w:rPr>
          <w:rFonts w:ascii="Helvetica Neue" w:hAnsi="Helvetica Neue"/>
        </w:rPr>
        <w:tab/>
        <w:t>One-time contact existence</w:t>
      </w:r>
    </w:p>
    <w:p w14:paraId="53EF53B8" w14:textId="77777777" w:rsidR="009B3BB0" w:rsidRPr="0024409C" w:rsidRDefault="009B3BB0" w:rsidP="009B3BB0">
      <w:pPr>
        <w:spacing w:before="120" w:line="360" w:lineRule="auto"/>
        <w:rPr>
          <w:rFonts w:ascii="Helvetica Neue" w:eastAsiaTheme="minorEastAsia" w:hAnsi="Helvetica Neue"/>
        </w:rPr>
      </w:pPr>
      <w:r w:rsidRPr="0024409C">
        <w:rPr>
          <w:rFonts w:ascii="Helvetica Neue" w:hAnsi="Helvetica Neue"/>
          <w:iCs/>
        </w:rPr>
        <w:t>where:</w:t>
      </w:r>
      <w:r w:rsidRPr="0024409C">
        <w:rPr>
          <w:rFonts w:ascii="Helvetica Neue" w:hAnsi="Helvetica Neue"/>
        </w:rPr>
        <w:tab/>
      </w:r>
    </w:p>
    <w:p w14:paraId="1F6BABF6" w14:textId="77777777" w:rsidR="009B3BB0" w:rsidRPr="0024409C" w:rsidRDefault="00B86D4F" w:rsidP="009B3BB0">
      <w:pPr>
        <w:pStyle w:val="ListParagraph"/>
        <w:numPr>
          <w:ilvl w:val="0"/>
          <w:numId w:val="28"/>
        </w:numPr>
        <w:spacing w:line="360" w:lineRule="auto"/>
        <w:rPr>
          <w:rFonts w:ascii="Helvetica Neue" w:eastAsiaTheme="minorEastAsia" w:hAnsi="Helvetica Neue"/>
          <w:iCs/>
        </w:rPr>
      </w:pPr>
      <m:oMath>
        <m:sSub>
          <m:sSubPr>
            <m:ctrlPr>
              <w:rPr>
                <w:rFonts w:ascii="Cambria Math" w:hAnsi="Cambria Math"/>
                <w:i/>
                <w:iCs/>
              </w:rPr>
            </m:ctrlPr>
          </m:sSubPr>
          <m:e>
            <m:r>
              <w:rPr>
                <w:rFonts w:ascii="Cambria Math" w:hAnsi="Cambria Math"/>
              </w:rPr>
              <m:t>Y</m:t>
            </m:r>
          </m:e>
          <m:sub>
            <m:r>
              <w:rPr>
                <w:rFonts w:ascii="Cambria Math" w:hAnsi="Cambria Math"/>
              </w:rPr>
              <m:t>ij,t</m:t>
            </m:r>
          </m:sub>
        </m:sSub>
      </m:oMath>
      <w:r w:rsidR="009B3BB0" w:rsidRPr="0024409C">
        <w:rPr>
          <w:rFonts w:ascii="Helvetica Neue" w:eastAsiaTheme="minorEastAsia" w:hAnsi="Helvetica Neue"/>
          <w:iCs/>
        </w:rPr>
        <w:t xml:space="preserve"> = the relational status of persons </w:t>
      </w:r>
      <w:proofErr w:type="spellStart"/>
      <w:r w:rsidR="009B3BB0" w:rsidRPr="0024409C">
        <w:rPr>
          <w:rFonts w:ascii="Helvetica Neue" w:eastAsiaTheme="minorEastAsia" w:hAnsi="Helvetica Neue"/>
          <w:i/>
          <w:iCs/>
        </w:rPr>
        <w:t>i</w:t>
      </w:r>
      <w:proofErr w:type="spellEnd"/>
      <w:r w:rsidR="009B3BB0" w:rsidRPr="0024409C">
        <w:rPr>
          <w:rFonts w:ascii="Helvetica Neue" w:eastAsiaTheme="minorEastAsia" w:hAnsi="Helvetica Neue"/>
          <w:iCs/>
        </w:rPr>
        <w:t xml:space="preserve"> and </w:t>
      </w:r>
      <w:r w:rsidR="009B3BB0" w:rsidRPr="0024409C">
        <w:rPr>
          <w:rFonts w:ascii="Helvetica Neue" w:eastAsiaTheme="minorEastAsia" w:hAnsi="Helvetica Neue"/>
          <w:i/>
          <w:iCs/>
        </w:rPr>
        <w:t>j</w:t>
      </w:r>
      <w:r w:rsidR="009B3BB0" w:rsidRPr="0024409C">
        <w:rPr>
          <w:rFonts w:ascii="Helvetica Neue" w:eastAsiaTheme="minorEastAsia" w:hAnsi="Helvetica Neue"/>
          <w:iCs/>
        </w:rPr>
        <w:t xml:space="preserve"> at time </w:t>
      </w:r>
      <w:r w:rsidR="009B3BB0" w:rsidRPr="0024409C">
        <w:rPr>
          <w:rFonts w:ascii="Helvetica Neue" w:eastAsiaTheme="minorEastAsia" w:hAnsi="Helvetica Neue"/>
          <w:i/>
          <w:iCs/>
        </w:rPr>
        <w:t>t</w:t>
      </w:r>
      <w:r w:rsidR="009B3BB0" w:rsidRPr="0024409C">
        <w:rPr>
          <w:rFonts w:ascii="Helvetica Neue" w:eastAsiaTheme="minorEastAsia" w:hAnsi="Helvetica Neue"/>
          <w:iCs/>
        </w:rPr>
        <w:t xml:space="preserve"> (1 = in relationship/contact, 0 = not)</w:t>
      </w:r>
    </w:p>
    <w:p w14:paraId="00B0C859" w14:textId="77777777" w:rsidR="009B3BB0" w:rsidRPr="0024409C" w:rsidRDefault="00B86D4F" w:rsidP="009B3BB0">
      <w:pPr>
        <w:pStyle w:val="ListParagraph"/>
        <w:numPr>
          <w:ilvl w:val="0"/>
          <w:numId w:val="28"/>
        </w:numPr>
        <w:spacing w:line="360" w:lineRule="auto"/>
        <w:rPr>
          <w:rFonts w:ascii="Helvetica Neue" w:eastAsiaTheme="minorEastAsia" w:hAnsi="Helvetica Neue"/>
          <w:i/>
        </w:rPr>
      </w:pPr>
      <m:oMath>
        <m:sSubSup>
          <m:sSubSupPr>
            <m:ctrlPr>
              <w:rPr>
                <w:rFonts w:ascii="Cambria Math" w:hAnsi="Cambria Math"/>
                <w:i/>
              </w:rPr>
            </m:ctrlPr>
          </m:sSubSupPr>
          <m:e>
            <m:r>
              <w:rPr>
                <w:rFonts w:ascii="Cambria Math" w:hAnsi="Cambria Math"/>
              </w:rPr>
              <m:t>Y</m:t>
            </m:r>
          </m:e>
          <m:sub>
            <m:r>
              <w:rPr>
                <w:rFonts w:ascii="Cambria Math" w:hAnsi="Cambria Math"/>
              </w:rPr>
              <m:t>ij,t</m:t>
            </m:r>
          </m:sub>
          <m:sup>
            <m:r>
              <w:rPr>
                <w:rFonts w:ascii="Cambria Math" w:hAnsi="Cambria Math"/>
              </w:rPr>
              <m:t>C</m:t>
            </m:r>
          </m:sup>
        </m:sSubSup>
      </m:oMath>
      <w:r w:rsidR="009B3BB0" w:rsidRPr="0024409C">
        <w:rPr>
          <w:rFonts w:ascii="Helvetica Neue" w:eastAsiaTheme="minorEastAsia" w:hAnsi="Helvetica Neue"/>
        </w:rPr>
        <w:t xml:space="preserve"> = the network complement of </w:t>
      </w:r>
      <w:proofErr w:type="spellStart"/>
      <w:r w:rsidR="009B3BB0" w:rsidRPr="0024409C">
        <w:rPr>
          <w:rFonts w:ascii="Helvetica Neue" w:eastAsiaTheme="minorEastAsia" w:hAnsi="Helvetica Neue"/>
          <w:i/>
        </w:rPr>
        <w:t>i,j</w:t>
      </w:r>
      <w:proofErr w:type="spellEnd"/>
      <w:r w:rsidR="009B3BB0" w:rsidRPr="0024409C">
        <w:rPr>
          <w:rFonts w:ascii="Helvetica Neue" w:eastAsiaTheme="minorEastAsia" w:hAnsi="Helvetica Neue"/>
        </w:rPr>
        <w:t xml:space="preserve"> at time </w:t>
      </w:r>
      <w:r w:rsidR="009B3BB0" w:rsidRPr="0024409C">
        <w:rPr>
          <w:rFonts w:ascii="Helvetica Neue" w:eastAsiaTheme="minorEastAsia" w:hAnsi="Helvetica Neue"/>
          <w:i/>
        </w:rPr>
        <w:t>t</w:t>
      </w:r>
      <w:r w:rsidR="009B3BB0" w:rsidRPr="0024409C">
        <w:rPr>
          <w:rFonts w:ascii="Helvetica Neue" w:eastAsiaTheme="minorEastAsia" w:hAnsi="Helvetica Neue"/>
        </w:rPr>
        <w:t>,</w:t>
      </w:r>
      <w:r w:rsidR="009B3BB0" w:rsidRPr="0024409C">
        <w:rPr>
          <w:rFonts w:ascii="Helvetica Neue" w:eastAsiaTheme="minorEastAsia" w:hAnsi="Helvetica Neue"/>
          <w:i/>
        </w:rPr>
        <w:t xml:space="preserve"> </w:t>
      </w:r>
      <w:r w:rsidR="009B3BB0" w:rsidRPr="0024409C">
        <w:rPr>
          <w:rFonts w:ascii="Helvetica Neue" w:eastAsiaTheme="minorEastAsia" w:hAnsi="Helvetica Neue"/>
        </w:rPr>
        <w:t xml:space="preserve">i.e. all relations in the network other than </w:t>
      </w:r>
      <w:proofErr w:type="spellStart"/>
      <w:r w:rsidR="009B3BB0" w:rsidRPr="0024409C">
        <w:rPr>
          <w:rFonts w:ascii="Helvetica Neue" w:eastAsiaTheme="minorEastAsia" w:hAnsi="Helvetica Neue"/>
          <w:i/>
        </w:rPr>
        <w:t>i,j</w:t>
      </w:r>
      <w:proofErr w:type="spellEnd"/>
    </w:p>
    <w:p w14:paraId="1902B8DB" w14:textId="77777777" w:rsidR="009B3BB0" w:rsidRPr="0024409C" w:rsidRDefault="009B3BB0" w:rsidP="009B3BB0">
      <w:pPr>
        <w:pStyle w:val="ListParagraph"/>
        <w:numPr>
          <w:ilvl w:val="0"/>
          <w:numId w:val="28"/>
        </w:numPr>
        <w:spacing w:line="360" w:lineRule="auto"/>
        <w:rPr>
          <w:rFonts w:ascii="Helvetica Neue" w:hAnsi="Helvetica Neue"/>
        </w:rPr>
      </w:pPr>
      <m:oMath>
        <m:r>
          <w:rPr>
            <w:rFonts w:ascii="Cambria Math" w:hAnsi="Cambria Math"/>
          </w:rPr>
          <m:t>g</m:t>
        </m:r>
        <m:d>
          <m:dPr>
            <m:ctrlPr>
              <w:rPr>
                <w:rFonts w:ascii="Cambria Math" w:hAnsi="Cambria Math"/>
                <w:bCs/>
                <w:i/>
                <w:iCs/>
                <w:lang w:val="el-GR"/>
              </w:rPr>
            </m:ctrlPr>
          </m:dPr>
          <m:e>
            <m:r>
              <w:rPr>
                <w:rFonts w:ascii="Cambria Math" w:hAnsi="Cambria Math"/>
              </w:rPr>
              <m:t>y</m:t>
            </m:r>
          </m:e>
        </m:d>
      </m:oMath>
      <w:r w:rsidRPr="0024409C">
        <w:rPr>
          <w:rFonts w:ascii="Helvetica Neue" w:hAnsi="Helvetica Neue"/>
          <w:bCs/>
        </w:rPr>
        <w:t xml:space="preserve"> </w:t>
      </w:r>
      <w:r w:rsidRPr="0024409C">
        <w:rPr>
          <w:rFonts w:ascii="Helvetica Neue" w:hAnsi="Helvetica Neue"/>
        </w:rPr>
        <w:t xml:space="preserve">= vector of network statistics in each model </w:t>
      </w:r>
    </w:p>
    <w:p w14:paraId="187A57B8" w14:textId="77777777" w:rsidR="009B3BB0" w:rsidRPr="0024409C" w:rsidRDefault="009B3BB0" w:rsidP="009B3BB0">
      <w:pPr>
        <w:pStyle w:val="ListParagraph"/>
        <w:numPr>
          <w:ilvl w:val="0"/>
          <w:numId w:val="28"/>
        </w:numPr>
        <w:spacing w:line="360" w:lineRule="auto"/>
        <w:rPr>
          <w:rFonts w:ascii="Helvetica Neue" w:hAnsi="Helvetica Neue"/>
        </w:rPr>
      </w:pPr>
      <m:oMath>
        <m:r>
          <w:rPr>
            <w:rFonts w:ascii="Cambria Math" w:hAnsi="Cambria Math"/>
          </w:rPr>
          <m:t>θ</m:t>
        </m:r>
      </m:oMath>
      <w:r w:rsidRPr="0024409C">
        <w:rPr>
          <w:rFonts w:ascii="Helvetica Neue" w:hAnsi="Helvetica Neue"/>
          <w:bCs/>
          <w:i/>
          <w:iCs/>
        </w:rPr>
        <w:t xml:space="preserve"> </w:t>
      </w:r>
      <w:r w:rsidRPr="0024409C">
        <w:rPr>
          <w:rFonts w:ascii="Helvetica Neue" w:hAnsi="Helvetica Neue"/>
        </w:rPr>
        <w:t>= vector of parameters in the formation model</w:t>
      </w:r>
    </w:p>
    <w:p w14:paraId="2883E8A0" w14:textId="77777777" w:rsidR="009B3BB0" w:rsidRPr="0024409C" w:rsidRDefault="009B3BB0" w:rsidP="009B3BB0">
      <w:pPr>
        <w:spacing w:before="120" w:line="360" w:lineRule="auto"/>
        <w:rPr>
          <w:rFonts w:ascii="Helvetica Neue" w:hAnsi="Helvetica Neue"/>
        </w:rPr>
      </w:pPr>
      <w:r w:rsidRPr="0024409C">
        <w:rPr>
          <w:rFonts w:ascii="Helvetica Neue" w:hAnsi="Helvetica Neue"/>
        </w:rPr>
        <w:t xml:space="preserve">For </w:t>
      </w:r>
      <m:oMath>
        <m:r>
          <w:rPr>
            <w:rFonts w:ascii="Cambria Math" w:hAnsi="Cambria Math"/>
          </w:rPr>
          <m:t>g</m:t>
        </m:r>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bCs/>
          <w:iCs/>
        </w:rPr>
        <w:t xml:space="preserve"> and </w:t>
      </w:r>
      <m:oMath>
        <m:r>
          <w:rPr>
            <w:rFonts w:ascii="Cambria Math" w:hAnsi="Cambria Math"/>
          </w:rPr>
          <m:t>θ</m:t>
        </m:r>
      </m:oMath>
      <w:r w:rsidRPr="0024409C">
        <w:rPr>
          <w:rFonts w:ascii="Helvetica Neue" w:hAnsi="Helvetica Neue"/>
        </w:rPr>
        <w:t>, the superscript distinguishes the formation model (+), persistence model (-) and existence models (neither). The subscript indicates the main (m), casual (c) and one-time (o) models.</w:t>
      </w:r>
    </w:p>
    <w:p w14:paraId="67801BD9" w14:textId="77777777" w:rsidR="009B3BB0" w:rsidRPr="0024409C" w:rsidRDefault="009B3BB0" w:rsidP="009B3BB0">
      <w:pPr>
        <w:spacing w:before="120" w:line="360" w:lineRule="auto"/>
        <w:rPr>
          <w:rFonts w:ascii="Helvetica Neue" w:hAnsi="Helvetica Neue"/>
        </w:rPr>
      </w:pPr>
      <w:r w:rsidRPr="0024409C">
        <w:rPr>
          <w:rFonts w:ascii="Helvetica Neue" w:hAnsi="Helvetica Neue"/>
        </w:rPr>
        <w:t>The recursive dependence among the relationships renders the model impossible to evaluate using standard techniques; we use Markov chain Monte Carlo (MCMC) methods in order to obtain the maximum likelihood estimates for the</w:t>
      </w:r>
      <w:r w:rsidRPr="0024409C">
        <w:rPr>
          <w:rFonts w:ascii="Helvetica Neue" w:hAnsi="Helvetica Neue"/>
          <w:i/>
        </w:rPr>
        <w:t xml:space="preserve"> </w:t>
      </w:r>
      <m:oMath>
        <m:r>
          <m:rPr>
            <m:sty m:val="bi"/>
          </m:rPr>
          <w:rPr>
            <w:rFonts w:ascii="Cambria Math" w:hAnsi="Cambria Math"/>
          </w:rPr>
          <m:t>θ</m:t>
        </m:r>
      </m:oMath>
      <w:r w:rsidRPr="0024409C">
        <w:rPr>
          <w:rFonts w:ascii="Helvetica Neue" w:hAnsi="Helvetica Neue"/>
        </w:rPr>
        <w:t xml:space="preserve"> vectors given the </w:t>
      </w:r>
      <m:oMath>
        <m:r>
          <m:rPr>
            <m:sty m:val="bi"/>
          </m:rPr>
          <w:rPr>
            <w:rFonts w:ascii="Cambria Math" w:hAnsi="Cambria Math"/>
          </w:rPr>
          <m:t>g</m:t>
        </m:r>
        <m:d>
          <m:dPr>
            <m:ctrlPr>
              <w:rPr>
                <w:rFonts w:ascii="Cambria Math" w:hAnsi="Cambria Math"/>
                <w:b/>
                <w:bCs/>
                <w:i/>
                <w:iCs/>
                <w:lang w:val="el-GR"/>
              </w:rPr>
            </m:ctrlPr>
          </m:dPr>
          <m:e>
            <m:r>
              <m:rPr>
                <m:sty m:val="bi"/>
              </m:rPr>
              <w:rPr>
                <w:rFonts w:ascii="Cambria Math" w:hAnsi="Cambria Math"/>
              </w:rPr>
              <m:t>y</m:t>
            </m:r>
          </m:e>
        </m:d>
      </m:oMath>
      <w:r w:rsidRPr="0024409C">
        <w:rPr>
          <w:rFonts w:ascii="Helvetica Neue" w:hAnsi="Helvetica Neue"/>
          <w:b/>
          <w:bCs/>
        </w:rPr>
        <w:t xml:space="preserve"> </w:t>
      </w:r>
      <w:r w:rsidRPr="0024409C">
        <w:rPr>
          <w:rFonts w:ascii="Helvetica Neue" w:hAnsi="Helvetica Neue"/>
        </w:rPr>
        <w:t>vectors.</w:t>
      </w:r>
    </w:p>
    <w:p w14:paraId="38B95499" w14:textId="56317649" w:rsidR="009B3BB0" w:rsidRPr="0024409C" w:rsidRDefault="009B3BB0" w:rsidP="009B3BB0">
      <w:pPr>
        <w:spacing w:before="120" w:line="360" w:lineRule="auto"/>
        <w:rPr>
          <w:rFonts w:ascii="Helvetica Neue" w:eastAsiaTheme="minorEastAsia" w:hAnsi="Helvetica Neue"/>
        </w:rPr>
      </w:pPr>
      <w:r w:rsidRPr="0024409C">
        <w:rPr>
          <w:rFonts w:ascii="Helvetica Neue" w:eastAsiaTheme="minorEastAsia" w:hAnsi="Helvetica Neue"/>
        </w:rPr>
        <w:t xml:space="preserve">Specific model statistics are listed below. Together these sets allow us to retain all of the network features listed in Section </w:t>
      </w:r>
      <w:r w:rsidR="00777511" w:rsidRPr="0024409C">
        <w:rPr>
          <w:rFonts w:ascii="Helvetica Neue" w:eastAsiaTheme="minorEastAsia" w:hAnsi="Helvetica Neue"/>
        </w:rPr>
        <w:t>2</w:t>
      </w:r>
      <w:r w:rsidRPr="0024409C">
        <w:rPr>
          <w:rFonts w:ascii="Helvetica Neue" w:eastAsiaTheme="minorEastAsia" w:hAnsi="Helvetica Neue"/>
        </w:rPr>
        <w:t>.1. It is important to note that, although the statistics are expressed here in terms of number of relationships and enter into the estimation model in this form, the simulation model is then paramet</w:t>
      </w:r>
      <w:r w:rsidR="00F97CA3" w:rsidRPr="0024409C">
        <w:rPr>
          <w:rFonts w:ascii="Helvetica Neue" w:eastAsiaTheme="minorEastAsia" w:hAnsi="Helvetica Neue"/>
        </w:rPr>
        <w:t>e</w:t>
      </w:r>
      <w:r w:rsidRPr="0024409C">
        <w:rPr>
          <w:rFonts w:ascii="Helvetica Neue" w:eastAsiaTheme="minorEastAsia" w:hAnsi="Helvetica Neue"/>
        </w:rPr>
        <w:t xml:space="preserve">rized using the resulting </w:t>
      </w:r>
      <m:oMath>
        <m:r>
          <w:rPr>
            <w:rFonts w:ascii="Cambria Math" w:hAnsi="Cambria Math"/>
          </w:rPr>
          <m:t>θ</m:t>
        </m:r>
      </m:oMath>
      <w:r w:rsidRPr="0024409C">
        <w:rPr>
          <w:rFonts w:ascii="Helvetica Neue" w:eastAsiaTheme="minorEastAsia" w:hAnsi="Helvetica Neue"/>
        </w:rPr>
        <w:t xml:space="preserve"> coefficients. This means that, as population size and composition changes, it is not the absolute number of relationships of different kinds that will be preserved, but the relative numbers (e.g. the mean </w:t>
      </w:r>
      <w:r w:rsidRPr="0024409C">
        <w:rPr>
          <w:rFonts w:ascii="Helvetica Neue" w:eastAsiaTheme="minorEastAsia" w:hAnsi="Helvetica Neue"/>
        </w:rPr>
        <w:lastRenderedPageBreak/>
        <w:t>number of relationships per person). Similar conversions hold for the other statistics (e.g. the mean age difference per relationship is preserved, not the sum across all relationships).</w:t>
      </w:r>
    </w:p>
    <w:p w14:paraId="38EF3E02" w14:textId="77777777" w:rsidR="009B3BB0" w:rsidRPr="0024409C" w:rsidRDefault="009B3BB0" w:rsidP="009B3BB0">
      <w:pPr>
        <w:spacing w:before="180" w:line="360" w:lineRule="auto"/>
        <w:ind w:left="994" w:hanging="994"/>
        <w:rPr>
          <w:rFonts w:ascii="Helvetica Neue" w:eastAsiaTheme="minorEastAsia" w:hAnsi="Helvetica Neue"/>
          <w:u w:val="single"/>
        </w:rPr>
      </w:pPr>
      <w:r w:rsidRPr="0024409C">
        <w:rPr>
          <w:rFonts w:ascii="Helvetica Neue" w:eastAsiaTheme="minorEastAsia" w:hAnsi="Helvetica Neue"/>
          <w:u w:val="single"/>
        </w:rPr>
        <w:t xml:space="preserve">Main partner formation model statistics: </w:t>
      </w:r>
      <m:oMath>
        <m:sSubSup>
          <m:sSubSupPr>
            <m:ctrlPr>
              <w:rPr>
                <w:rFonts w:ascii="Cambria Math" w:hAnsi="Cambria Math"/>
                <w:bCs/>
                <w:iCs/>
                <w:u w:val="single"/>
              </w:rPr>
            </m:ctrlPr>
          </m:sSubSupPr>
          <m:e>
            <m:r>
              <m:rPr>
                <m:sty m:val="p"/>
              </m:rPr>
              <w:rPr>
                <w:rFonts w:ascii="Cambria Math" w:hAnsi="Cambria Math"/>
                <w:u w:val="single"/>
              </w:rPr>
              <m:t>g</m:t>
            </m:r>
          </m:e>
          <m:sub>
            <m:r>
              <m:rPr>
                <m:sty m:val="p"/>
              </m:rPr>
              <w:rPr>
                <w:rFonts w:ascii="Cambria Math" w:hAnsi="Cambria Math"/>
                <w:u w:val="single"/>
              </w:rPr>
              <m:t>m</m:t>
            </m:r>
          </m:sub>
          <m:sup>
            <m:r>
              <m:rPr>
                <m:sty m:val="p"/>
              </m:rPr>
              <w:rPr>
                <w:rFonts w:ascii="Cambria Math" w:hAnsi="Cambria Math"/>
                <w:u w:val="single"/>
              </w:rPr>
              <m:t>+</m:t>
            </m:r>
          </m:sup>
        </m:sSubSup>
        <m:d>
          <m:dPr>
            <m:ctrlPr>
              <w:rPr>
                <w:rFonts w:ascii="Cambria Math" w:hAnsi="Cambria Math"/>
                <w:bCs/>
                <w:iCs/>
                <w:u w:val="single"/>
                <w:lang w:val="el-GR"/>
              </w:rPr>
            </m:ctrlPr>
          </m:dPr>
          <m:e>
            <m:r>
              <m:rPr>
                <m:sty m:val="p"/>
              </m:rPr>
              <w:rPr>
                <w:rFonts w:ascii="Cambria Math" w:hAnsi="Cambria Math"/>
                <w:u w:val="single"/>
              </w:rPr>
              <m:t>y</m:t>
            </m:r>
          </m:e>
        </m:d>
      </m:oMath>
      <w:r w:rsidRPr="0024409C">
        <w:rPr>
          <w:rFonts w:ascii="Helvetica Neue" w:eastAsiaTheme="minorEastAsia" w:hAnsi="Helvetica Neue"/>
          <w:bCs/>
          <w:iCs/>
          <w:u w:val="single"/>
        </w:rPr>
        <w:t xml:space="preserve"> vector:</w:t>
      </w:r>
    </w:p>
    <w:p w14:paraId="4D2AB70E" w14:textId="77777777" w:rsidR="009B3BB0" w:rsidRPr="0024409C" w:rsidRDefault="00B86D4F" w:rsidP="009B3BB0">
      <w:pPr>
        <w:pStyle w:val="ListParagraph"/>
        <w:numPr>
          <w:ilvl w:val="0"/>
          <w:numId w:val="31"/>
        </w:numPr>
        <w:spacing w:line="360" w:lineRule="auto"/>
        <w:ind w:left="720"/>
        <w:rPr>
          <w:rFonts w:ascii="Helvetica Neue"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m1</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hAnsi="Helvetica Neue"/>
        </w:rPr>
        <w:t xml:space="preserve"> </w:t>
      </w:r>
      <w:r w:rsidR="009B3BB0" w:rsidRPr="0024409C">
        <w:rPr>
          <w:rFonts w:ascii="Helvetica Neue" w:eastAsiaTheme="minorEastAsia" w:hAnsi="Helvetica Neue"/>
        </w:rPr>
        <w:t>= number of main partnerships</w:t>
      </w:r>
    </w:p>
    <w:p w14:paraId="7ABD763D" w14:textId="77777777" w:rsidR="009B3BB0" w:rsidRPr="0024409C" w:rsidRDefault="00B86D4F" w:rsidP="009B3BB0">
      <w:pPr>
        <w:pStyle w:val="ListParagraph"/>
        <w:numPr>
          <w:ilvl w:val="0"/>
          <w:numId w:val="31"/>
        </w:numPr>
        <w:spacing w:line="360" w:lineRule="auto"/>
        <w:ind w:left="720"/>
        <w:rPr>
          <w:rFonts w:ascii="Helvetica Neue"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m2</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hAnsi="Helvetica Neue"/>
        </w:rPr>
        <w:t xml:space="preserve"> </w:t>
      </w:r>
      <w:r w:rsidR="009B3BB0" w:rsidRPr="0024409C">
        <w:rPr>
          <w:rFonts w:ascii="Helvetica Neue" w:eastAsiaTheme="minorEastAsia" w:hAnsi="Helvetica Neue"/>
        </w:rPr>
        <w:t>= number of men with 2+ main partners</w:t>
      </w:r>
    </w:p>
    <w:p w14:paraId="516E006A" w14:textId="77777777" w:rsidR="009B3BB0" w:rsidRPr="0024409C" w:rsidRDefault="00B86D4F" w:rsidP="009B3BB0">
      <w:pPr>
        <w:pStyle w:val="ListParagraph"/>
        <w:numPr>
          <w:ilvl w:val="0"/>
          <w:numId w:val="31"/>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m3</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main partnerships for men with 1 casual partner</w:t>
      </w:r>
    </w:p>
    <w:p w14:paraId="0412BEE6" w14:textId="77777777" w:rsidR="009B3BB0" w:rsidRPr="0024409C" w:rsidRDefault="00B86D4F" w:rsidP="009B3BB0">
      <w:pPr>
        <w:pStyle w:val="ListParagraph"/>
        <w:numPr>
          <w:ilvl w:val="0"/>
          <w:numId w:val="31"/>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m4</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main partnerships for men with 2 casual partners</w:t>
      </w:r>
    </w:p>
    <w:p w14:paraId="5E322F9B" w14:textId="77777777" w:rsidR="009B3BB0" w:rsidRPr="0024409C" w:rsidRDefault="00B86D4F" w:rsidP="009B3BB0">
      <w:pPr>
        <w:pStyle w:val="ListParagraph"/>
        <w:numPr>
          <w:ilvl w:val="0"/>
          <w:numId w:val="31"/>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m5</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sum of the absolute difference in the square root of partners’ ages across main partnerships</w:t>
      </w:r>
    </w:p>
    <w:p w14:paraId="46593409" w14:textId="77777777" w:rsidR="009B3BB0" w:rsidRPr="0024409C" w:rsidRDefault="00B86D4F" w:rsidP="009B3BB0">
      <w:pPr>
        <w:pStyle w:val="ListParagraph"/>
        <w:numPr>
          <w:ilvl w:val="0"/>
          <w:numId w:val="31"/>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m6</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main partnerships between men who were both exclusively insertive</w:t>
      </w:r>
    </w:p>
    <w:p w14:paraId="672E183B" w14:textId="77777777" w:rsidR="009B3BB0" w:rsidRPr="0024409C" w:rsidRDefault="00B86D4F" w:rsidP="009B3BB0">
      <w:pPr>
        <w:pStyle w:val="ListParagraph"/>
        <w:numPr>
          <w:ilvl w:val="0"/>
          <w:numId w:val="31"/>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m7</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main partnerships between men who were both exclusively receptive</w:t>
      </w:r>
    </w:p>
    <w:p w14:paraId="6E647CE7" w14:textId="7EBF5036" w:rsidR="009B3BB0" w:rsidRPr="0024409C" w:rsidRDefault="009B3BB0" w:rsidP="009B3BB0">
      <w:pPr>
        <w:spacing w:before="120" w:line="360" w:lineRule="auto"/>
        <w:rPr>
          <w:rFonts w:ascii="Helvetica Neue" w:eastAsiaTheme="minorEastAsia" w:hAnsi="Helvetica Neue"/>
        </w:rPr>
      </w:pPr>
      <w:r w:rsidRPr="0024409C">
        <w:rPr>
          <w:rFonts w:ascii="Helvetica Neue" w:eastAsiaTheme="minorEastAsia" w:hAnsi="Helvetica Neue"/>
        </w:rPr>
        <w:t>There are structural zero</w:t>
      </w:r>
      <w:r w:rsidR="00D811D5" w:rsidRPr="0024409C">
        <w:rPr>
          <w:rFonts w:ascii="Helvetica Neue" w:eastAsiaTheme="minorEastAsia" w:hAnsi="Helvetica Neue"/>
        </w:rPr>
        <w:t>e</w:t>
      </w:r>
      <w:r w:rsidRPr="0024409C">
        <w:rPr>
          <w:rFonts w:ascii="Helvetica Neue" w:eastAsiaTheme="minorEastAsia" w:hAnsi="Helvetica Neue"/>
        </w:rPr>
        <w:t xml:space="preserve">s as coefficient constraints for the terms </w:t>
      </w:r>
      <m:oMath>
        <m:sSubSup>
          <m:sSubSupPr>
            <m:ctrlPr>
              <w:rPr>
                <w:rFonts w:ascii="Cambria Math" w:hAnsi="Cambria Math"/>
                <w:bCs/>
                <w:i/>
                <w:iCs/>
              </w:rPr>
            </m:ctrlPr>
          </m:sSubSupPr>
          <m:e>
            <m:r>
              <w:rPr>
                <w:rFonts w:ascii="Cambria Math" w:hAnsi="Cambria Math"/>
              </w:rPr>
              <m:t>g</m:t>
            </m:r>
          </m:e>
          <m:sub>
            <m:r>
              <w:rPr>
                <w:rFonts w:ascii="Cambria Math" w:hAnsi="Cambria Math"/>
              </w:rPr>
              <m:t>m2</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bCs/>
          <w:iCs/>
          <w:lang w:val="el-GR"/>
        </w:rPr>
        <w:t xml:space="preserve">, </w:t>
      </w:r>
      <m:oMath>
        <m:sSubSup>
          <m:sSubSupPr>
            <m:ctrlPr>
              <w:rPr>
                <w:rFonts w:ascii="Cambria Math" w:hAnsi="Cambria Math"/>
                <w:bCs/>
                <w:i/>
                <w:iCs/>
              </w:rPr>
            </m:ctrlPr>
          </m:sSubSupPr>
          <m:e>
            <m:r>
              <w:rPr>
                <w:rFonts w:ascii="Cambria Math" w:hAnsi="Cambria Math"/>
              </w:rPr>
              <m:t>g</m:t>
            </m:r>
          </m:e>
          <m:sub>
            <m:r>
              <w:rPr>
                <w:rFonts w:ascii="Cambria Math" w:hAnsi="Cambria Math"/>
              </w:rPr>
              <m:t>m6</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rPr>
        <w:t xml:space="preserve">, </w:t>
      </w:r>
      <m:oMath>
        <m:sSubSup>
          <m:sSubSupPr>
            <m:ctrlPr>
              <w:rPr>
                <w:rFonts w:ascii="Cambria Math" w:hAnsi="Cambria Math"/>
                <w:bCs/>
                <w:i/>
                <w:iCs/>
              </w:rPr>
            </m:ctrlPr>
          </m:sSubSupPr>
          <m:e>
            <m:r>
              <w:rPr>
                <w:rFonts w:ascii="Cambria Math" w:hAnsi="Cambria Math"/>
              </w:rPr>
              <m:t>g</m:t>
            </m:r>
          </m:e>
          <m:sub>
            <m:r>
              <w:rPr>
                <w:rFonts w:ascii="Cambria Math" w:hAnsi="Cambria Math"/>
              </w:rPr>
              <m:t>m7</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rPr>
        <w:t>. This means that the logit values for their coefficients are set to negative infinity to ensure that no partnerships of these types occur.</w:t>
      </w:r>
    </w:p>
    <w:p w14:paraId="20189238" w14:textId="77777777" w:rsidR="009B3BB0" w:rsidRPr="0024409C" w:rsidRDefault="009B3BB0" w:rsidP="009B3BB0">
      <w:pPr>
        <w:spacing w:before="180" w:line="360" w:lineRule="auto"/>
        <w:rPr>
          <w:rFonts w:ascii="Helvetica Neue" w:eastAsiaTheme="minorEastAsia" w:hAnsi="Helvetica Neue"/>
          <w:u w:val="single"/>
        </w:rPr>
      </w:pPr>
      <w:r w:rsidRPr="0024409C">
        <w:rPr>
          <w:rFonts w:ascii="Helvetica Neue" w:eastAsiaTheme="minorEastAsia" w:hAnsi="Helvetica Neue"/>
          <w:u w:val="single"/>
        </w:rPr>
        <w:t xml:space="preserve">Main partner persistence model terms: </w:t>
      </w:r>
      <m:oMath>
        <m:sSubSup>
          <m:sSubSupPr>
            <m:ctrlPr>
              <w:rPr>
                <w:rFonts w:ascii="Cambria Math" w:hAnsi="Cambria Math"/>
                <w:bCs/>
                <w:iCs/>
                <w:u w:val="single"/>
              </w:rPr>
            </m:ctrlPr>
          </m:sSubSupPr>
          <m:e>
            <m:r>
              <m:rPr>
                <m:sty m:val="p"/>
              </m:rPr>
              <w:rPr>
                <w:rFonts w:ascii="Cambria Math" w:hAnsi="Cambria Math"/>
                <w:u w:val="single"/>
              </w:rPr>
              <m:t>g</m:t>
            </m:r>
          </m:e>
          <m:sub>
            <m:r>
              <m:rPr>
                <m:sty m:val="p"/>
              </m:rPr>
              <w:rPr>
                <w:rFonts w:ascii="Cambria Math" w:hAnsi="Cambria Math"/>
                <w:u w:val="single"/>
              </w:rPr>
              <m:t>m</m:t>
            </m:r>
          </m:sub>
          <m:sup>
            <m:r>
              <m:rPr>
                <m:sty m:val="p"/>
              </m:rPr>
              <w:rPr>
                <w:rFonts w:ascii="Cambria Math" w:hAnsi="Cambria Math"/>
                <w:u w:val="single"/>
              </w:rPr>
              <m:t>-</m:t>
            </m:r>
          </m:sup>
        </m:sSubSup>
        <m:d>
          <m:dPr>
            <m:ctrlPr>
              <w:rPr>
                <w:rFonts w:ascii="Cambria Math" w:hAnsi="Cambria Math"/>
                <w:bCs/>
                <w:iCs/>
                <w:u w:val="single"/>
                <w:lang w:val="el-GR"/>
              </w:rPr>
            </m:ctrlPr>
          </m:dPr>
          <m:e>
            <m:r>
              <m:rPr>
                <m:sty m:val="p"/>
              </m:rPr>
              <w:rPr>
                <w:rFonts w:ascii="Cambria Math" w:hAnsi="Cambria Math"/>
                <w:u w:val="single"/>
              </w:rPr>
              <m:t>y</m:t>
            </m:r>
          </m:e>
        </m:d>
      </m:oMath>
      <w:r w:rsidRPr="0024409C">
        <w:rPr>
          <w:rFonts w:ascii="Helvetica Neue" w:eastAsiaTheme="minorEastAsia" w:hAnsi="Helvetica Neue"/>
          <w:bCs/>
          <w:iCs/>
          <w:u w:val="single"/>
        </w:rPr>
        <w:t xml:space="preserve"> vector:</w:t>
      </w:r>
    </w:p>
    <w:p w14:paraId="69AE4230" w14:textId="77777777" w:rsidR="009B3BB0" w:rsidRPr="0024409C" w:rsidRDefault="00B86D4F" w:rsidP="009B3BB0">
      <w:pPr>
        <w:pStyle w:val="ListParagraph"/>
        <w:numPr>
          <w:ilvl w:val="0"/>
          <w:numId w:val="32"/>
        </w:numPr>
        <w:spacing w:line="360" w:lineRule="auto"/>
        <w:ind w:left="720"/>
        <w:rPr>
          <w:rFonts w:ascii="Helvetica Neue"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m1</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hAnsi="Helvetica Neue"/>
        </w:rPr>
        <w:t xml:space="preserve"> </w:t>
      </w:r>
      <w:r w:rsidR="009B3BB0" w:rsidRPr="0024409C">
        <w:rPr>
          <w:rFonts w:ascii="Helvetica Neue" w:eastAsiaTheme="minorEastAsia" w:hAnsi="Helvetica Neue"/>
        </w:rPr>
        <w:t>= number of main partnerships</w:t>
      </w:r>
    </w:p>
    <w:p w14:paraId="5D2E0F17" w14:textId="77777777" w:rsidR="009B3BB0" w:rsidRPr="0024409C" w:rsidRDefault="009B3BB0" w:rsidP="009B3BB0">
      <w:pPr>
        <w:spacing w:before="180" w:line="360" w:lineRule="auto"/>
        <w:rPr>
          <w:rFonts w:ascii="Helvetica Neue" w:eastAsiaTheme="minorEastAsia" w:hAnsi="Helvetica Neue"/>
          <w:u w:val="single"/>
        </w:rPr>
      </w:pPr>
      <w:r w:rsidRPr="0024409C">
        <w:rPr>
          <w:rFonts w:ascii="Helvetica Neue" w:eastAsiaTheme="minorEastAsia" w:hAnsi="Helvetica Neue"/>
          <w:u w:val="single"/>
        </w:rPr>
        <w:t xml:space="preserve">Casual partner formation model terms: </w:t>
      </w:r>
      <m:oMath>
        <m:sSubSup>
          <m:sSubSupPr>
            <m:ctrlPr>
              <w:rPr>
                <w:rFonts w:ascii="Cambria Math" w:hAnsi="Cambria Math"/>
                <w:bCs/>
                <w:iCs/>
                <w:u w:val="single"/>
              </w:rPr>
            </m:ctrlPr>
          </m:sSubSupPr>
          <m:e>
            <m:r>
              <m:rPr>
                <m:sty m:val="p"/>
              </m:rPr>
              <w:rPr>
                <w:rFonts w:ascii="Cambria Math" w:hAnsi="Cambria Math"/>
                <w:u w:val="single"/>
              </w:rPr>
              <m:t>g</m:t>
            </m:r>
          </m:e>
          <m:sub>
            <m:r>
              <m:rPr>
                <m:sty m:val="p"/>
              </m:rPr>
              <w:rPr>
                <w:rFonts w:ascii="Cambria Math" w:hAnsi="Cambria Math"/>
                <w:u w:val="single"/>
              </w:rPr>
              <m:t>c</m:t>
            </m:r>
          </m:sub>
          <m:sup>
            <m:r>
              <m:rPr>
                <m:sty m:val="p"/>
              </m:rPr>
              <w:rPr>
                <w:rFonts w:ascii="Cambria Math" w:hAnsi="Cambria Math"/>
                <w:u w:val="single"/>
              </w:rPr>
              <m:t>+</m:t>
            </m:r>
          </m:sup>
        </m:sSubSup>
        <m:d>
          <m:dPr>
            <m:ctrlPr>
              <w:rPr>
                <w:rFonts w:ascii="Cambria Math" w:hAnsi="Cambria Math"/>
                <w:bCs/>
                <w:iCs/>
                <w:u w:val="single"/>
                <w:lang w:val="el-GR"/>
              </w:rPr>
            </m:ctrlPr>
          </m:dPr>
          <m:e>
            <m:r>
              <m:rPr>
                <m:sty m:val="p"/>
              </m:rPr>
              <w:rPr>
                <w:rFonts w:ascii="Cambria Math" w:hAnsi="Cambria Math"/>
                <w:u w:val="single"/>
              </w:rPr>
              <m:t>y</m:t>
            </m:r>
          </m:e>
        </m:d>
      </m:oMath>
      <w:r w:rsidRPr="0024409C">
        <w:rPr>
          <w:rFonts w:ascii="Helvetica Neue" w:eastAsiaTheme="minorEastAsia" w:hAnsi="Helvetica Neue"/>
          <w:bCs/>
          <w:iCs/>
          <w:u w:val="single"/>
        </w:rPr>
        <w:t xml:space="preserve"> vector:</w:t>
      </w:r>
    </w:p>
    <w:p w14:paraId="4B05D586" w14:textId="77777777" w:rsidR="009B3BB0" w:rsidRPr="0024409C" w:rsidRDefault="00B86D4F" w:rsidP="009B3BB0">
      <w:pPr>
        <w:pStyle w:val="ListParagraph"/>
        <w:numPr>
          <w:ilvl w:val="0"/>
          <w:numId w:val="33"/>
        </w:numPr>
        <w:spacing w:line="360" w:lineRule="auto"/>
        <w:ind w:left="720"/>
        <w:rPr>
          <w:rFonts w:ascii="Helvetica Neue"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c1</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hAnsi="Helvetica Neue"/>
        </w:rPr>
        <w:t xml:space="preserve"> </w:t>
      </w:r>
      <w:r w:rsidR="009B3BB0" w:rsidRPr="0024409C">
        <w:rPr>
          <w:rFonts w:ascii="Helvetica Neue" w:eastAsiaTheme="minorEastAsia" w:hAnsi="Helvetica Neue"/>
        </w:rPr>
        <w:t>= number of casual partnerships</w:t>
      </w:r>
    </w:p>
    <w:p w14:paraId="39DD4C4C" w14:textId="77777777" w:rsidR="009B3BB0" w:rsidRPr="0024409C" w:rsidRDefault="00B86D4F" w:rsidP="009B3BB0">
      <w:pPr>
        <w:pStyle w:val="ListParagraph"/>
        <w:numPr>
          <w:ilvl w:val="0"/>
          <w:numId w:val="33"/>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c2</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casual partnerships for men with 1 main partner</w:t>
      </w:r>
    </w:p>
    <w:p w14:paraId="79C4D88C" w14:textId="77777777" w:rsidR="009B3BB0" w:rsidRPr="0024409C" w:rsidRDefault="00B86D4F" w:rsidP="009B3BB0">
      <w:pPr>
        <w:pStyle w:val="ListParagraph"/>
        <w:numPr>
          <w:ilvl w:val="0"/>
          <w:numId w:val="33"/>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c3</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bCs/>
          <w:iCs/>
        </w:rPr>
        <w:t xml:space="preserve"> </w:t>
      </w:r>
      <w:r w:rsidR="009B3BB0" w:rsidRPr="0024409C">
        <w:rPr>
          <w:rFonts w:ascii="Helvetica Neue" w:eastAsiaTheme="minorEastAsia" w:hAnsi="Helvetica Neue"/>
        </w:rPr>
        <w:t>= number of men with 2 casual partners</w:t>
      </w:r>
    </w:p>
    <w:p w14:paraId="0FB46401" w14:textId="77777777" w:rsidR="009B3BB0" w:rsidRPr="0024409C" w:rsidRDefault="00B86D4F" w:rsidP="009B3BB0">
      <w:pPr>
        <w:pStyle w:val="ListParagraph"/>
        <w:numPr>
          <w:ilvl w:val="0"/>
          <w:numId w:val="33"/>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c4</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bCs/>
          <w:iCs/>
        </w:rPr>
        <w:t xml:space="preserve"> </w:t>
      </w:r>
      <w:r w:rsidR="009B3BB0" w:rsidRPr="0024409C">
        <w:rPr>
          <w:rFonts w:ascii="Helvetica Neue" w:eastAsiaTheme="minorEastAsia" w:hAnsi="Helvetica Neue"/>
        </w:rPr>
        <w:t>= number of men with 3+ casual partners</w:t>
      </w:r>
    </w:p>
    <w:p w14:paraId="166D38A2" w14:textId="77777777" w:rsidR="009B3BB0" w:rsidRPr="0024409C" w:rsidRDefault="00B86D4F" w:rsidP="009B3BB0">
      <w:pPr>
        <w:pStyle w:val="ListParagraph"/>
        <w:numPr>
          <w:ilvl w:val="0"/>
          <w:numId w:val="33"/>
        </w:numPr>
        <w:spacing w:line="360" w:lineRule="auto"/>
        <w:ind w:left="72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c5</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sum of the absolute difference in the square root of partners’ ages across casual partnerships</w:t>
      </w:r>
    </w:p>
    <w:p w14:paraId="77225027" w14:textId="77777777" w:rsidR="009B3BB0" w:rsidRPr="0024409C" w:rsidRDefault="00B86D4F" w:rsidP="009B3BB0">
      <w:pPr>
        <w:pStyle w:val="ListParagraph"/>
        <w:numPr>
          <w:ilvl w:val="0"/>
          <w:numId w:val="33"/>
        </w:numPr>
        <w:spacing w:line="360" w:lineRule="auto"/>
        <w:ind w:firstLine="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m6</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casual partnerships between men who were both exclusively insertive</w:t>
      </w:r>
    </w:p>
    <w:p w14:paraId="7A69D5EF" w14:textId="77777777" w:rsidR="009B3BB0" w:rsidRPr="0024409C" w:rsidRDefault="00B86D4F" w:rsidP="009B3BB0">
      <w:pPr>
        <w:pStyle w:val="ListParagraph"/>
        <w:numPr>
          <w:ilvl w:val="0"/>
          <w:numId w:val="33"/>
        </w:numPr>
        <w:spacing w:line="360" w:lineRule="auto"/>
        <w:ind w:firstLine="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m7</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casual partnerships between men who were both exclusively receptive</w:t>
      </w:r>
    </w:p>
    <w:p w14:paraId="49413613" w14:textId="6E733B15" w:rsidR="009B3BB0" w:rsidRPr="0024409C" w:rsidRDefault="009B3BB0" w:rsidP="009B3BB0">
      <w:pPr>
        <w:spacing w:before="120" w:line="360" w:lineRule="auto"/>
        <w:rPr>
          <w:rFonts w:ascii="Helvetica Neue" w:eastAsiaTheme="minorEastAsia" w:hAnsi="Helvetica Neue"/>
        </w:rPr>
      </w:pPr>
      <w:r w:rsidRPr="0024409C">
        <w:rPr>
          <w:rFonts w:ascii="Helvetica Neue" w:eastAsiaTheme="minorEastAsia" w:hAnsi="Helvetica Neue"/>
        </w:rPr>
        <w:lastRenderedPageBreak/>
        <w:t>There are structural zero</w:t>
      </w:r>
      <w:r w:rsidR="0096740D" w:rsidRPr="0024409C">
        <w:rPr>
          <w:rFonts w:ascii="Helvetica Neue" w:eastAsiaTheme="minorEastAsia" w:hAnsi="Helvetica Neue"/>
        </w:rPr>
        <w:t>e</w:t>
      </w:r>
      <w:r w:rsidRPr="0024409C">
        <w:rPr>
          <w:rFonts w:ascii="Helvetica Neue" w:eastAsiaTheme="minorEastAsia" w:hAnsi="Helvetica Neue"/>
        </w:rPr>
        <w:t xml:space="preserve">s as coefficient constraints for the terms </w:t>
      </w:r>
      <m:oMath>
        <m:sSubSup>
          <m:sSubSupPr>
            <m:ctrlPr>
              <w:rPr>
                <w:rFonts w:ascii="Cambria Math" w:hAnsi="Cambria Math"/>
                <w:bCs/>
                <w:i/>
                <w:iCs/>
              </w:rPr>
            </m:ctrlPr>
          </m:sSubSupPr>
          <m:e>
            <m:r>
              <w:rPr>
                <w:rFonts w:ascii="Cambria Math" w:hAnsi="Cambria Math"/>
              </w:rPr>
              <m:t>g</m:t>
            </m:r>
          </m:e>
          <m:sub>
            <m:r>
              <w:rPr>
                <w:rFonts w:ascii="Cambria Math" w:hAnsi="Cambria Math"/>
              </w:rPr>
              <m:t>m4</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bCs/>
          <w:iCs/>
          <w:lang w:val="el-GR"/>
        </w:rPr>
        <w:t xml:space="preserve">, </w:t>
      </w:r>
      <m:oMath>
        <m:sSubSup>
          <m:sSubSupPr>
            <m:ctrlPr>
              <w:rPr>
                <w:rFonts w:ascii="Cambria Math" w:hAnsi="Cambria Math"/>
                <w:bCs/>
                <w:i/>
                <w:iCs/>
              </w:rPr>
            </m:ctrlPr>
          </m:sSubSupPr>
          <m:e>
            <m:r>
              <w:rPr>
                <w:rFonts w:ascii="Cambria Math" w:hAnsi="Cambria Math"/>
              </w:rPr>
              <m:t>g</m:t>
            </m:r>
          </m:e>
          <m:sub>
            <m:r>
              <w:rPr>
                <w:rFonts w:ascii="Cambria Math" w:hAnsi="Cambria Math"/>
              </w:rPr>
              <m:t>m6</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rPr>
        <w:t xml:space="preserve">, </w:t>
      </w:r>
      <m:oMath>
        <m:sSubSup>
          <m:sSubSupPr>
            <m:ctrlPr>
              <w:rPr>
                <w:rFonts w:ascii="Cambria Math" w:hAnsi="Cambria Math"/>
                <w:bCs/>
                <w:i/>
                <w:iCs/>
              </w:rPr>
            </m:ctrlPr>
          </m:sSubSupPr>
          <m:e>
            <m:r>
              <w:rPr>
                <w:rFonts w:ascii="Cambria Math" w:hAnsi="Cambria Math"/>
              </w:rPr>
              <m:t>g</m:t>
            </m:r>
          </m:e>
          <m:sub>
            <m:r>
              <w:rPr>
                <w:rFonts w:ascii="Cambria Math" w:hAnsi="Cambria Math"/>
              </w:rPr>
              <m:t>m7</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rPr>
        <w:t>. This means that the logit values for their coefficients are set to negative infinity to ensure that no partnerships of these types occur.</w:t>
      </w:r>
    </w:p>
    <w:p w14:paraId="65C4414E" w14:textId="77777777" w:rsidR="009B3BB0" w:rsidRPr="0024409C" w:rsidRDefault="009B3BB0" w:rsidP="009B3BB0">
      <w:pPr>
        <w:spacing w:before="180" w:line="360" w:lineRule="auto"/>
        <w:rPr>
          <w:rFonts w:ascii="Helvetica Neue" w:eastAsiaTheme="minorEastAsia" w:hAnsi="Helvetica Neue"/>
          <w:u w:val="single"/>
        </w:rPr>
      </w:pPr>
      <w:r w:rsidRPr="0024409C">
        <w:rPr>
          <w:rFonts w:ascii="Helvetica Neue" w:eastAsiaTheme="minorEastAsia" w:hAnsi="Helvetica Neue"/>
          <w:u w:val="single"/>
        </w:rPr>
        <w:t>Casual partner persistence model terms:</w:t>
      </w:r>
      <m:oMath>
        <m:r>
          <m:rPr>
            <m:sty m:val="p"/>
          </m:rPr>
          <w:rPr>
            <w:rFonts w:ascii="Cambria Math" w:hAnsi="Cambria Math"/>
            <w:u w:val="single"/>
          </w:rPr>
          <m:t xml:space="preserve"> </m:t>
        </m:r>
        <m:sSubSup>
          <m:sSubSupPr>
            <m:ctrlPr>
              <w:rPr>
                <w:rFonts w:ascii="Cambria Math" w:hAnsi="Cambria Math"/>
                <w:bCs/>
                <w:iCs/>
                <w:u w:val="single"/>
              </w:rPr>
            </m:ctrlPr>
          </m:sSubSupPr>
          <m:e>
            <m:r>
              <m:rPr>
                <m:sty m:val="p"/>
              </m:rPr>
              <w:rPr>
                <w:rFonts w:ascii="Cambria Math" w:hAnsi="Cambria Math"/>
                <w:u w:val="single"/>
              </w:rPr>
              <m:t>g</m:t>
            </m:r>
          </m:e>
          <m:sub>
            <m:r>
              <m:rPr>
                <m:sty m:val="p"/>
              </m:rPr>
              <w:rPr>
                <w:rFonts w:ascii="Cambria Math" w:hAnsi="Cambria Math"/>
                <w:u w:val="single"/>
              </w:rPr>
              <m:t>c</m:t>
            </m:r>
          </m:sub>
          <m:sup>
            <m:r>
              <m:rPr>
                <m:sty m:val="p"/>
              </m:rPr>
              <w:rPr>
                <w:rFonts w:ascii="Cambria Math" w:hAnsi="Cambria Math"/>
                <w:u w:val="single"/>
              </w:rPr>
              <m:t>-</m:t>
            </m:r>
          </m:sup>
        </m:sSubSup>
        <m:d>
          <m:dPr>
            <m:ctrlPr>
              <w:rPr>
                <w:rFonts w:ascii="Cambria Math" w:hAnsi="Cambria Math"/>
                <w:bCs/>
                <w:iCs/>
                <w:u w:val="single"/>
                <w:lang w:val="el-GR"/>
              </w:rPr>
            </m:ctrlPr>
          </m:dPr>
          <m:e>
            <m:r>
              <m:rPr>
                <m:sty m:val="p"/>
              </m:rPr>
              <w:rPr>
                <w:rFonts w:ascii="Cambria Math" w:hAnsi="Cambria Math"/>
                <w:u w:val="single"/>
              </w:rPr>
              <m:t>y</m:t>
            </m:r>
          </m:e>
        </m:d>
      </m:oMath>
      <w:r w:rsidRPr="0024409C">
        <w:rPr>
          <w:rFonts w:ascii="Helvetica Neue" w:eastAsiaTheme="minorEastAsia" w:hAnsi="Helvetica Neue"/>
          <w:bCs/>
          <w:iCs/>
          <w:u w:val="single"/>
        </w:rPr>
        <w:t xml:space="preserve"> vector:</w:t>
      </w:r>
    </w:p>
    <w:p w14:paraId="350A3556" w14:textId="77777777" w:rsidR="009B3BB0" w:rsidRPr="0024409C" w:rsidRDefault="00B86D4F" w:rsidP="009B3BB0">
      <w:pPr>
        <w:pStyle w:val="ListParagraph"/>
        <w:numPr>
          <w:ilvl w:val="0"/>
          <w:numId w:val="30"/>
        </w:numPr>
        <w:spacing w:line="360" w:lineRule="auto"/>
        <w:ind w:left="720"/>
        <w:rPr>
          <w:rFonts w:ascii="Helvetica Neue"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c1</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hAnsi="Helvetica Neue"/>
        </w:rPr>
        <w:t xml:space="preserve"> </w:t>
      </w:r>
      <w:r w:rsidR="009B3BB0" w:rsidRPr="0024409C">
        <w:rPr>
          <w:rFonts w:ascii="Helvetica Neue" w:eastAsiaTheme="minorEastAsia" w:hAnsi="Helvetica Neue"/>
        </w:rPr>
        <w:t>= number of casual partnerships</w:t>
      </w:r>
    </w:p>
    <w:p w14:paraId="63AD0293" w14:textId="77777777" w:rsidR="009B3BB0" w:rsidRPr="0024409C" w:rsidRDefault="009B3BB0" w:rsidP="009B3BB0">
      <w:pPr>
        <w:spacing w:before="180" w:line="360" w:lineRule="auto"/>
        <w:rPr>
          <w:rFonts w:ascii="Helvetica Neue" w:eastAsiaTheme="minorEastAsia" w:hAnsi="Helvetica Neue"/>
          <w:u w:val="single"/>
        </w:rPr>
      </w:pPr>
      <w:r w:rsidRPr="0024409C">
        <w:rPr>
          <w:rFonts w:ascii="Helvetica Neue" w:eastAsiaTheme="minorEastAsia" w:hAnsi="Helvetica Neue"/>
          <w:u w:val="single"/>
        </w:rPr>
        <w:t>One-time contact existence model terms:</w:t>
      </w:r>
      <m:oMath>
        <m:r>
          <w:rPr>
            <w:rFonts w:ascii="Cambria Math" w:eastAsiaTheme="minorEastAsia" w:hAnsi="Cambria Math"/>
            <w:u w:val="single"/>
          </w:rPr>
          <m:t xml:space="preserve"> </m:t>
        </m:r>
        <m:sSub>
          <m:sSubPr>
            <m:ctrlPr>
              <w:rPr>
                <w:rFonts w:ascii="Cambria Math" w:hAnsi="Cambria Math"/>
                <w:u w:val="single"/>
              </w:rPr>
            </m:ctrlPr>
          </m:sSubPr>
          <m:e>
            <m:r>
              <m:rPr>
                <m:sty m:val="p"/>
              </m:rPr>
              <w:rPr>
                <w:rFonts w:ascii="Cambria Math" w:hAnsi="Cambria Math"/>
                <w:u w:val="single"/>
              </w:rPr>
              <m:t>g</m:t>
            </m:r>
          </m:e>
          <m:sub>
            <m:r>
              <m:rPr>
                <m:sty m:val="p"/>
              </m:rPr>
              <w:rPr>
                <w:rFonts w:ascii="Cambria Math" w:hAnsi="Cambria Math"/>
                <w:u w:val="single"/>
              </w:rPr>
              <m:t>o</m:t>
            </m:r>
          </m:sub>
        </m:sSub>
        <m:d>
          <m:dPr>
            <m:ctrlPr>
              <w:rPr>
                <w:rFonts w:ascii="Cambria Math" w:hAnsi="Cambria Math"/>
                <w:bCs/>
                <w:iCs/>
                <w:u w:val="single"/>
                <w:lang w:val="el-GR"/>
              </w:rPr>
            </m:ctrlPr>
          </m:dPr>
          <m:e>
            <m:r>
              <m:rPr>
                <m:sty m:val="p"/>
              </m:rPr>
              <w:rPr>
                <w:rFonts w:ascii="Cambria Math" w:hAnsi="Cambria Math"/>
                <w:u w:val="single"/>
              </w:rPr>
              <m:t>y</m:t>
            </m:r>
          </m:e>
        </m:d>
      </m:oMath>
      <w:r w:rsidRPr="0024409C">
        <w:rPr>
          <w:rFonts w:ascii="Helvetica Neue" w:eastAsiaTheme="minorEastAsia" w:hAnsi="Helvetica Neue"/>
          <w:bCs/>
          <w:iCs/>
          <w:u w:val="single"/>
        </w:rPr>
        <w:t xml:space="preserve"> vector:</w:t>
      </w:r>
    </w:p>
    <w:p w14:paraId="7F48B58A"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o1</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number of one-time contacts</w:t>
      </w:r>
    </w:p>
    <w:p w14:paraId="23695DCE"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o2</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with 0 main and 1 casual partnership</w:t>
      </w:r>
    </w:p>
    <w:p w14:paraId="1C406641"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o3</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with 0 main and 2 casual partnerships</w:t>
      </w:r>
    </w:p>
    <w:p w14:paraId="6D9F8ADA"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o4</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with 1 main and 0 casual partnerships</w:t>
      </w:r>
    </w:p>
    <w:p w14:paraId="1C9EB2BA"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o5</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with 1 main and 1 casual partnership</w:t>
      </w:r>
    </w:p>
    <w:p w14:paraId="0F3B41D8"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o6</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with 1 main and 2 casual partnerships</w:t>
      </w:r>
    </w:p>
    <w:p w14:paraId="6F59BEC0"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o7</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in risk quintile 1</w:t>
      </w:r>
    </w:p>
    <w:p w14:paraId="60F7D04C"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o8</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in risk quintile 2</w:t>
      </w:r>
    </w:p>
    <w:p w14:paraId="1DFED9E4"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o9</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in risk quintile 4</w:t>
      </w:r>
    </w:p>
    <w:p w14:paraId="54F9B0FB" w14:textId="77777777" w:rsidR="009B3BB0" w:rsidRPr="0024409C" w:rsidRDefault="00B86D4F" w:rsidP="009B3BB0">
      <w:pPr>
        <w:pStyle w:val="ListParagraph"/>
        <w:numPr>
          <w:ilvl w:val="0"/>
          <w:numId w:val="29"/>
        </w:numPr>
        <w:spacing w:line="360" w:lineRule="auto"/>
        <w:ind w:left="720"/>
        <w:rPr>
          <w:rFonts w:ascii="Helvetica Neue" w:eastAsia="Times New Roman" w:hAnsi="Helvetica Neue"/>
          <w:color w:val="000000"/>
        </w:rPr>
      </w:pPr>
      <m:oMath>
        <m:sSub>
          <m:sSubPr>
            <m:ctrlPr>
              <w:rPr>
                <w:rFonts w:ascii="Cambria Math" w:hAnsi="Cambria Math"/>
                <w:bCs/>
                <w:i/>
                <w:iCs/>
              </w:rPr>
            </m:ctrlPr>
          </m:sSubPr>
          <m:e>
            <m:r>
              <w:rPr>
                <w:rFonts w:ascii="Cambria Math" w:hAnsi="Cambria Math"/>
              </w:rPr>
              <m:t>g</m:t>
            </m:r>
          </m:e>
          <m:sub>
            <m:r>
              <w:rPr>
                <w:rFonts w:ascii="Cambria Math" w:hAnsi="Cambria Math"/>
              </w:rPr>
              <m:t>o10</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imes New Roman" w:hAnsi="Helvetica Neue"/>
          <w:bCs/>
          <w:iCs/>
        </w:rPr>
        <w:t xml:space="preserve"> </w:t>
      </w:r>
      <w:r w:rsidR="009B3BB0" w:rsidRPr="0024409C">
        <w:rPr>
          <w:rFonts w:ascii="Helvetica Neue" w:eastAsia="Times New Roman" w:hAnsi="Helvetica Neue"/>
          <w:color w:val="000000"/>
        </w:rPr>
        <w:t>= total # of one-time contacts for men in risk quintile 5</w:t>
      </w:r>
    </w:p>
    <w:p w14:paraId="0A076D05" w14:textId="77777777" w:rsidR="009B3BB0" w:rsidRPr="0024409C" w:rsidRDefault="00B86D4F" w:rsidP="009B3BB0">
      <w:pPr>
        <w:pStyle w:val="ListParagraph"/>
        <w:numPr>
          <w:ilvl w:val="0"/>
          <w:numId w:val="29"/>
        </w:numPr>
        <w:spacing w:line="360" w:lineRule="auto"/>
        <w:ind w:left="720"/>
        <w:rPr>
          <w:rFonts w:ascii="Helvetica Neue" w:eastAsiaTheme="minorEastAsia" w:hAnsi="Helvetica Neue"/>
        </w:rPr>
      </w:pPr>
      <m:oMath>
        <m:sSub>
          <m:sSubPr>
            <m:ctrlPr>
              <w:rPr>
                <w:rFonts w:ascii="Cambria Math" w:hAnsi="Cambria Math"/>
                <w:bCs/>
                <w:i/>
                <w:iCs/>
              </w:rPr>
            </m:ctrlPr>
          </m:sSubPr>
          <m:e>
            <m:r>
              <w:rPr>
                <w:rFonts w:ascii="Cambria Math" w:hAnsi="Cambria Math"/>
              </w:rPr>
              <m:t>g</m:t>
            </m:r>
          </m:e>
          <m:sub>
            <m:r>
              <w:rPr>
                <w:rFonts w:ascii="Cambria Math" w:hAnsi="Cambria Math"/>
              </w:rPr>
              <m:t>o11</m:t>
            </m:r>
          </m:sub>
        </m:sSub>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sum of the absolute difference in the square root of partners’ ages across one-time contacts</w:t>
      </w:r>
    </w:p>
    <w:p w14:paraId="59EE1881" w14:textId="77777777" w:rsidR="009B3BB0" w:rsidRPr="0024409C" w:rsidRDefault="00B86D4F" w:rsidP="009B3BB0">
      <w:pPr>
        <w:pStyle w:val="ListParagraph"/>
        <w:numPr>
          <w:ilvl w:val="0"/>
          <w:numId w:val="29"/>
        </w:numPr>
        <w:spacing w:line="360" w:lineRule="auto"/>
        <w:ind w:firstLine="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m12</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one-time contacts between men who were both exclusively insertive</w:t>
      </w:r>
    </w:p>
    <w:p w14:paraId="1E2EF5D7" w14:textId="77777777" w:rsidR="009B3BB0" w:rsidRPr="0024409C" w:rsidRDefault="00B86D4F" w:rsidP="009B3BB0">
      <w:pPr>
        <w:pStyle w:val="ListParagraph"/>
        <w:numPr>
          <w:ilvl w:val="0"/>
          <w:numId w:val="29"/>
        </w:numPr>
        <w:spacing w:line="360" w:lineRule="auto"/>
        <w:ind w:firstLine="0"/>
        <w:rPr>
          <w:rFonts w:ascii="Helvetica Neue" w:eastAsiaTheme="minorEastAsia" w:hAnsi="Helvetica Neue"/>
        </w:rPr>
      </w:pPr>
      <m:oMath>
        <m:sSubSup>
          <m:sSubSupPr>
            <m:ctrlPr>
              <w:rPr>
                <w:rFonts w:ascii="Cambria Math" w:hAnsi="Cambria Math"/>
                <w:bCs/>
                <w:i/>
                <w:iCs/>
              </w:rPr>
            </m:ctrlPr>
          </m:sSubSupPr>
          <m:e>
            <m:r>
              <w:rPr>
                <w:rFonts w:ascii="Cambria Math" w:hAnsi="Cambria Math"/>
              </w:rPr>
              <m:t>g</m:t>
            </m:r>
          </m:e>
          <m:sub>
            <m:r>
              <w:rPr>
                <w:rFonts w:ascii="Cambria Math" w:hAnsi="Cambria Math"/>
              </w:rPr>
              <m:t>m13</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009B3BB0" w:rsidRPr="0024409C">
        <w:rPr>
          <w:rFonts w:ascii="Helvetica Neue" w:eastAsiaTheme="minorEastAsia" w:hAnsi="Helvetica Neue"/>
        </w:rPr>
        <w:t xml:space="preserve"> = number of one-time contacts between men who were both exclusively receptive</w:t>
      </w:r>
    </w:p>
    <w:p w14:paraId="0A99FEF1" w14:textId="55AE8B64" w:rsidR="009B3BB0" w:rsidRPr="0024409C" w:rsidRDefault="009B3BB0" w:rsidP="009B3BB0">
      <w:pPr>
        <w:spacing w:before="120" w:line="360" w:lineRule="auto"/>
        <w:rPr>
          <w:rFonts w:ascii="Helvetica Neue" w:eastAsiaTheme="minorEastAsia" w:hAnsi="Helvetica Neue"/>
        </w:rPr>
      </w:pPr>
      <w:r w:rsidRPr="0024409C">
        <w:rPr>
          <w:rFonts w:ascii="Helvetica Neue" w:eastAsiaTheme="minorEastAsia" w:hAnsi="Helvetica Neue"/>
        </w:rPr>
        <w:t>There are structural zero</w:t>
      </w:r>
      <w:r w:rsidR="0096740D" w:rsidRPr="0024409C">
        <w:rPr>
          <w:rFonts w:ascii="Helvetica Neue" w:eastAsiaTheme="minorEastAsia" w:hAnsi="Helvetica Neue"/>
        </w:rPr>
        <w:t>e</w:t>
      </w:r>
      <w:r w:rsidRPr="0024409C">
        <w:rPr>
          <w:rFonts w:ascii="Helvetica Neue" w:eastAsiaTheme="minorEastAsia" w:hAnsi="Helvetica Neue"/>
        </w:rPr>
        <w:t xml:space="preserve">s as coefficient constraints for the terms </w:t>
      </w:r>
      <m:oMath>
        <m:sSubSup>
          <m:sSubSupPr>
            <m:ctrlPr>
              <w:rPr>
                <w:rFonts w:ascii="Cambria Math" w:hAnsi="Cambria Math"/>
                <w:bCs/>
                <w:i/>
                <w:iCs/>
              </w:rPr>
            </m:ctrlPr>
          </m:sSubSupPr>
          <m:e>
            <m:r>
              <w:rPr>
                <w:rFonts w:ascii="Cambria Math" w:hAnsi="Cambria Math"/>
              </w:rPr>
              <m:t>g</m:t>
            </m:r>
          </m:e>
          <m:sub>
            <m:r>
              <w:rPr>
                <w:rFonts w:ascii="Cambria Math" w:hAnsi="Cambria Math"/>
              </w:rPr>
              <m:t>m12</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bCs/>
          <w:iCs/>
          <w:lang w:val="el-GR"/>
        </w:rPr>
        <w:t xml:space="preserve">, </w:t>
      </w:r>
      <m:oMath>
        <m:sSubSup>
          <m:sSubSupPr>
            <m:ctrlPr>
              <w:rPr>
                <w:rFonts w:ascii="Cambria Math" w:hAnsi="Cambria Math"/>
                <w:bCs/>
                <w:i/>
                <w:iCs/>
              </w:rPr>
            </m:ctrlPr>
          </m:sSubSupPr>
          <m:e>
            <m:r>
              <w:rPr>
                <w:rFonts w:ascii="Cambria Math" w:hAnsi="Cambria Math"/>
              </w:rPr>
              <m:t>g</m:t>
            </m:r>
          </m:e>
          <m:sub>
            <m:r>
              <w:rPr>
                <w:rFonts w:ascii="Cambria Math" w:hAnsi="Cambria Math"/>
              </w:rPr>
              <m:t>m13</m:t>
            </m:r>
          </m:sub>
          <m:sup>
            <m:r>
              <w:rPr>
                <w:rFonts w:ascii="Cambria Math" w:hAnsi="Cambria Math"/>
              </w:rPr>
              <m:t>+</m:t>
            </m:r>
          </m:sup>
        </m:sSubSup>
        <m:d>
          <m:dPr>
            <m:ctrlPr>
              <w:rPr>
                <w:rFonts w:ascii="Cambria Math" w:hAnsi="Cambria Math"/>
                <w:bCs/>
                <w:i/>
                <w:iCs/>
                <w:lang w:val="el-GR"/>
              </w:rPr>
            </m:ctrlPr>
          </m:dPr>
          <m:e>
            <m:r>
              <w:rPr>
                <w:rFonts w:ascii="Cambria Math" w:hAnsi="Cambria Math"/>
              </w:rPr>
              <m:t>y</m:t>
            </m:r>
          </m:e>
        </m:d>
      </m:oMath>
      <w:r w:rsidRPr="0024409C">
        <w:rPr>
          <w:rFonts w:ascii="Helvetica Neue" w:eastAsiaTheme="minorEastAsia" w:hAnsi="Helvetica Neue"/>
        </w:rPr>
        <w:t>. This means that the logit values for their coefficients are set to negative infinity to ensure that no partnerships of these types occur.</w:t>
      </w:r>
    </w:p>
    <w:p w14:paraId="50D6221D" w14:textId="08B25B69" w:rsidR="009B3BB0" w:rsidRPr="0024409C" w:rsidRDefault="009B3BB0" w:rsidP="009B3BB0">
      <w:pPr>
        <w:spacing w:before="120" w:line="360" w:lineRule="auto"/>
        <w:rPr>
          <w:rFonts w:ascii="Helvetica Neue" w:eastAsiaTheme="minorEastAsia" w:hAnsi="Helvetica Neue"/>
        </w:rPr>
      </w:pPr>
      <w:r w:rsidRPr="0024409C">
        <w:rPr>
          <w:rFonts w:ascii="Helvetica Neue" w:eastAsiaTheme="minorEastAsia" w:hAnsi="Helvetica Neue"/>
        </w:rPr>
        <w:t xml:space="preserve">Our method of converting the statistics laid out in Section </w:t>
      </w:r>
      <w:r w:rsidR="00EF3A1F" w:rsidRPr="0024409C">
        <w:rPr>
          <w:rFonts w:ascii="Helvetica Neue" w:eastAsiaTheme="minorEastAsia" w:hAnsi="Helvetica Neue"/>
        </w:rPr>
        <w:t>2</w:t>
      </w:r>
      <w:r w:rsidRPr="0024409C">
        <w:rPr>
          <w:rFonts w:ascii="Helvetica Neue" w:eastAsiaTheme="minorEastAsia" w:hAnsi="Helvetica Neue"/>
        </w:rPr>
        <w:t>.1 into our fully specified network models consists of the following steps:</w:t>
      </w:r>
    </w:p>
    <w:p w14:paraId="41E7A613"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Construct a cross-sectional network of 10,000 men with no relationships.</w:t>
      </w:r>
    </w:p>
    <w:p w14:paraId="6EDB042F" w14:textId="69F84644"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 xml:space="preserve">Assign men sexual roles based on frequencies listed in Section </w:t>
      </w:r>
      <w:r w:rsidR="00C6598D" w:rsidRPr="0024409C">
        <w:rPr>
          <w:rFonts w:ascii="Helvetica Neue" w:eastAsiaTheme="minorEastAsia" w:hAnsi="Helvetica Neue"/>
        </w:rPr>
        <w:t>2</w:t>
      </w:r>
      <w:r w:rsidRPr="0024409C">
        <w:rPr>
          <w:rFonts w:ascii="Helvetica Neue" w:eastAsiaTheme="minorEastAsia" w:hAnsi="Helvetica Neue"/>
        </w:rPr>
        <w:t>.1.</w:t>
      </w:r>
      <w:r w:rsidR="009D6954" w:rsidRPr="0024409C">
        <w:rPr>
          <w:rFonts w:ascii="Helvetica Neue" w:eastAsiaTheme="minorEastAsia" w:hAnsi="Helvetica Neue"/>
        </w:rPr>
        <w:t>5</w:t>
      </w:r>
      <w:r w:rsidRPr="0024409C">
        <w:rPr>
          <w:rFonts w:ascii="Helvetica Neue" w:eastAsiaTheme="minorEastAsia" w:hAnsi="Helvetica Neue"/>
        </w:rPr>
        <w:t>, as well as one-time risk quintiles (20% of the men per quintile).</w:t>
      </w:r>
    </w:p>
    <w:p w14:paraId="633C84BF"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lastRenderedPageBreak/>
        <w:t>Calculate the target statistics (i.e., the expected count of each statistic at any given moment in time) associated with the terms in the formation model (for the main and casual partnerships) and in the existence model (for one-time contacts).</w:t>
      </w:r>
    </w:p>
    <w:p w14:paraId="23BD6F07"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Assign each node a place-holder main and casual degree (number of on-going partnerships) that is consistent degree matrices, and store these numbers as a nodal attribute. (Note: this does not actually require individuals to be paired up into the partnerships represented by those degrees).</w:t>
      </w:r>
    </w:p>
    <w:p w14:paraId="355918A4"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For the main and casual networks, use the mean relational durations to calculate the parameters of the persistence model, using closed-form solutions, given that the models are dyadic-independent (each relationship’s persistence probability is independent of all others).</w:t>
      </w:r>
    </w:p>
    <w:p w14:paraId="36130ECA"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For the main and casual networks, estimate the coefficients for the formation model that represent the maximum likelihood estimates for the expected cross-sectional network structure.</w:t>
      </w:r>
    </w:p>
    <w:p w14:paraId="142B329A" w14:textId="77777777" w:rsidR="009B3BB0" w:rsidRPr="0024409C" w:rsidRDefault="009B3BB0" w:rsidP="009B3BB0">
      <w:pPr>
        <w:pStyle w:val="ListParagraph"/>
        <w:numPr>
          <w:ilvl w:val="0"/>
          <w:numId w:val="24"/>
        </w:numPr>
        <w:spacing w:line="360" w:lineRule="auto"/>
        <w:contextualSpacing w:val="0"/>
        <w:rPr>
          <w:rFonts w:ascii="Helvetica Neue" w:eastAsiaTheme="minorEastAsia" w:hAnsi="Helvetica Neue"/>
        </w:rPr>
      </w:pPr>
      <w:r w:rsidRPr="0024409C">
        <w:rPr>
          <w:rFonts w:ascii="Helvetica Neue" w:eastAsiaTheme="minorEastAsia" w:hAnsi="Helvetica Neue"/>
        </w:rPr>
        <w:t>For the one-off network, estimate the coefficients for the existence model that represent the maximum likelihood estimates for the expected cross-sectional network structure.</w:t>
      </w:r>
    </w:p>
    <w:p w14:paraId="584101E7" w14:textId="4DB76256" w:rsidR="009B3BB0" w:rsidRPr="0024409C" w:rsidRDefault="009B3BB0" w:rsidP="009B3BB0">
      <w:pPr>
        <w:spacing w:before="180" w:line="360" w:lineRule="auto"/>
        <w:rPr>
          <w:rFonts w:ascii="Helvetica Neue" w:eastAsiaTheme="minorEastAsia" w:hAnsi="Helvetica Neue"/>
        </w:rPr>
      </w:pPr>
      <w:r w:rsidRPr="0024409C">
        <w:rPr>
          <w:rFonts w:ascii="Helvetica Neue" w:eastAsiaTheme="minorEastAsia" w:hAnsi="Helvetica Neue"/>
        </w:rPr>
        <w:t xml:space="preserve">Steps 5–7 occur within the </w:t>
      </w:r>
      <w:proofErr w:type="spellStart"/>
      <w:r w:rsidRPr="0024409C">
        <w:rPr>
          <w:rFonts w:ascii="Helvetica Neue" w:eastAsiaTheme="minorEastAsia" w:hAnsi="Helvetica Neue"/>
          <w:i/>
        </w:rPr>
        <w:t>Statnet</w:t>
      </w:r>
      <w:proofErr w:type="spellEnd"/>
      <w:r w:rsidRPr="0024409C">
        <w:rPr>
          <w:rFonts w:ascii="Helvetica Neue" w:eastAsiaTheme="minorEastAsia" w:hAnsi="Helvetica Neue"/>
        </w:rPr>
        <w:t xml:space="preserve"> software, and use the ERGM and STERGM methods therein. They are made most efficient by the use of an approximation in Step 6.</w:t>
      </w:r>
      <w:r w:rsidRPr="0024409C">
        <w:rPr>
          <w:rFonts w:ascii="Helvetica Neue" w:eastAsiaTheme="minorEastAsia" w:hAnsi="Helvetica Neue"/>
          <w:noProof/>
          <w:vertAlign w:val="superscript"/>
        </w:rPr>
        <w:fldChar w:fldCharType="begin" w:fldLock="1"/>
      </w:r>
      <w:r w:rsidR="00AD1715">
        <w:rPr>
          <w:rFonts w:ascii="Helvetica Neue" w:eastAsiaTheme="minorEastAsia" w:hAnsi="Helvetica Neue"/>
          <w:noProof/>
          <w:vertAlign w:val="superscript"/>
        </w:rPr>
        <w:instrText>ADDIN CSL_CITATION { "citationItems" : [ { "id" : "ITEM-1", "itemData" : { "abstract" : "There has been a great deal of interest recently in the modeling and simulation of dynamic networks, i.e., networks that change over time. One promising model is the separable temporal exponential-family random graph model (ERGM) of Krivitsky and Handcock, which treats the formation and dissolution of ties in parallel at each time step as independent ERGMs. However, the computational cost of fitting these models can be substantial, particularly for large, sparse networks. Fitting cross-sectional models for observations of a network at a single point in time, while still a non-negligible computational burden, is much easier. This paper examines model fitting when the available data consist of independent measures of cross-sectional network structure and the duration of relationships under the assumption of stationarity. We introduce a simple approximation to the dynamic parameters for sparse networks with relationships of moderate or long duration and show that the approximation method works best in precisely those cases where parameter estimation is most likely to fail-networks with very little change at each time step. We consider a variety of cases: Bernoulli formation and dissolution of ties, independent-tie formation and Bernoulli dissolution, independent-tie formation and dissolution, and dependent-tie formation models.", "author" : [ { "dropping-particle" : "", "family" : "Carnegie", "given" : "Nicole Bohme", "non-dropping-particle" : "", "parse-names" : false, "suffix" : "" }, { "dropping-particle" : "", "family" : "Krivitsky", "given" : "Pavel N.", "non-dropping-particle" : "", "parse-names" : false, "suffix" : "" }, { "dropping-particle" : "", "family" : "Hunter", "given" : "David R.", "non-dropping-particle" : "", "parse-names" : false, "suffix" : "" }, { "dropping-particle" : "", "family" : "Goodreau", "given" : "Steven M.", "non-dropping-particle" : "", "parse-names" : false, "suffix" : "" } ], "container-title" : "Journal of Computational and Graphical Statistics", "id" : "ITEM-1", "issue" : "2", "issued" : { "date-parts" : [ [ "2015", "4" ] ] }, "page" : "502-519", "title" : "An Approximation Method for Improving Dynamic Network Model Fitting", "type" : "article-journal", "volume" : "24" }, "uris" : [ "http://www.mendeley.com/documents/?uuid=befd815c-9d9b-3a0d-822d-c1ff4434d403", "http://www.mendeley.com/documents/?uuid=c6225d97-4dee-425e-85a1-a50232648d79" ] } ], "mendeley" : { "formattedCitation" : "&lt;sup&gt;10&lt;/sup&gt;", "plainTextFormattedCitation" : "10", "previouslyFormattedCitation" : "&lt;sup&gt;10&lt;/sup&gt;" }, "properties" : { "noteIndex" : 0 }, "schema" : "https://github.com/citation-style-language/schema/raw/master/csl-citation.json" }</w:instrText>
      </w:r>
      <w:r w:rsidRPr="0024409C">
        <w:rPr>
          <w:rFonts w:ascii="Helvetica Neue" w:eastAsiaTheme="minorEastAsia" w:hAnsi="Helvetica Neue"/>
          <w:noProof/>
          <w:vertAlign w:val="superscript"/>
        </w:rPr>
        <w:fldChar w:fldCharType="separate"/>
      </w:r>
      <w:r w:rsidR="00E52119" w:rsidRPr="0024409C">
        <w:rPr>
          <w:rFonts w:ascii="Helvetica Neue" w:eastAsiaTheme="minorEastAsia" w:hAnsi="Helvetica Neue"/>
          <w:noProof/>
          <w:vertAlign w:val="superscript"/>
        </w:rPr>
        <w:t>10</w:t>
      </w:r>
      <w:r w:rsidRPr="0024409C">
        <w:rPr>
          <w:rFonts w:ascii="Helvetica Neue" w:eastAsiaTheme="minorEastAsia" w:hAnsi="Helvetica Neue"/>
          <w:noProof/>
          <w:vertAlign w:val="superscript"/>
        </w:rPr>
        <w:fldChar w:fldCharType="end"/>
      </w:r>
      <w:r w:rsidRPr="0024409C">
        <w:rPr>
          <w:rFonts w:ascii="Helvetica Neue" w:eastAsiaTheme="minorEastAsia" w:hAnsi="Helvetica Neue"/>
        </w:rPr>
        <w:t xml:space="preserve"> </w:t>
      </w:r>
      <w:r w:rsidRPr="0024409C">
        <w:rPr>
          <w:rFonts w:ascii="Helvetica Neue" w:hAnsi="Helvetica Neue"/>
        </w:rPr>
        <w:t xml:space="preserve">During the subsequent model simulation, we use the method of </w:t>
      </w:r>
      <w:proofErr w:type="spellStart"/>
      <w:r w:rsidRPr="0024409C">
        <w:rPr>
          <w:rFonts w:ascii="Helvetica Neue" w:hAnsi="Helvetica Neue"/>
        </w:rPr>
        <w:t>Krivitsky</w:t>
      </w:r>
      <w:proofErr w:type="spellEnd"/>
      <w:r w:rsidRPr="0024409C">
        <w:rPr>
          <w:rFonts w:ascii="Helvetica Neue" w:hAnsi="Helvetica Neue"/>
        </w:rPr>
        <w:t xml:space="preserve"> et al.</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"Exponential-family random graph models (ERGMs) provide a principled way to model and simulate features common in human social networks, such as propensities for homophily and friend-of-a-friend triad closure. We show that, without adjustment, ERGMs preserve density as network size increases. Density invariance is often not appropriate for social networks. We suggest a simple modification based on an offset which instead preserves the mean degree and accommodates changes in network composition asymptotically. We demonstrate that this approach allows ERGMs to be applied to the important situation of egocentrically sampled data. We analyze data from the National Health and Social Life Survey (NHSLS).", "author" : [ { "dropping-particle" : "", "family" : "Krivitsky", "given" : "Pavel N.", "non-dropping-particle" : "", "parse-names" : false, "suffix" : "" }, { "dropping-particle" : "", "family" : "Handcock", "given" : "Mark S.", "non-dropping-particle" : "", "parse-names" : false, "suffix" : "" }, { "dropping-particle" : "", "family" : "Morris", "given" : "Martina", "non-dropping-particle" : "", "parse-names" : false, "suffix" : "" } ], "container-title" : "Statistical Methodology", "id" : "ITEM-1", "issue" : "4", "issued" : { "date-parts" : [ [ "2011", "7" ] ] }, "page" : "319-339", "title" : "Adjusting for network size and composition effects in exponential-family random graph models", "type" : "article-journal", "volume" : "8" }, "uris" : [ "http://www.mendeley.com/documents/?uuid=39ccfd64-8249-4786-8d48-2ecc82321a26" ] } ], "mendeley" : { "formattedCitation" : "&lt;sup&gt;11&lt;/sup&gt;", "plainTextFormattedCitation" : "11", "previouslyFormattedCitation" : "&lt;sup&gt;11&lt;/sup&gt;"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11</w:t>
      </w:r>
      <w:r w:rsidRPr="0024409C">
        <w:rPr>
          <w:rFonts w:ascii="Helvetica Neue" w:hAnsi="Helvetica Neue"/>
          <w:noProof/>
          <w:vertAlign w:val="superscript"/>
        </w:rPr>
        <w:fldChar w:fldCharType="end"/>
      </w:r>
      <w:r w:rsidRPr="0024409C">
        <w:rPr>
          <w:rFonts w:ascii="Helvetica Neue" w:hAnsi="Helvetica Neue"/>
        </w:rPr>
        <w:t xml:space="preserve"> to adjust the coefficient for the first term in each model at each time step, in order to preserve the same expected mean degree (relationships per person) over time in the face of changing network size and nodal composition.</w:t>
      </w:r>
      <w:r w:rsidRPr="0024409C">
        <w:rPr>
          <w:rFonts w:ascii="Helvetica Neue" w:eastAsiaTheme="minorEastAsia" w:hAnsi="Helvetica Neue"/>
        </w:rPr>
        <w:t xml:space="preserve"> </w:t>
      </w:r>
      <w:r w:rsidRPr="0024409C">
        <w:rPr>
          <w:rFonts w:ascii="Helvetica Neue" w:hAnsi="Helvetica Neue"/>
        </w:rPr>
        <w:t xml:space="preserve">At all stages of the project, simulated partnership networks were checked to ensure that they indeed retained the expected cross-sectional structure and relational durations throughout the simulations. </w:t>
      </w:r>
    </w:p>
    <w:p w14:paraId="1325D69F" w14:textId="0EC42C5C" w:rsidR="009B3BB0" w:rsidRPr="0024409C" w:rsidRDefault="00273CDD" w:rsidP="002232EA">
      <w:pPr>
        <w:pStyle w:val="Heading1"/>
        <w:spacing w:before="300"/>
        <w:rPr>
          <w:rFonts w:ascii="Helvetica Neue" w:hAnsi="Helvetica Neue"/>
          <w:sz w:val="24"/>
          <w:szCs w:val="24"/>
        </w:rPr>
      </w:pPr>
      <w:bookmarkStart w:id="8" w:name="_Toc522270400"/>
      <w:r w:rsidRPr="0024409C">
        <w:rPr>
          <w:rFonts w:ascii="Helvetica Neue" w:hAnsi="Helvetica Neue"/>
          <w:sz w:val="24"/>
          <w:szCs w:val="24"/>
        </w:rPr>
        <w:t>3</w:t>
      </w:r>
      <w:r w:rsidR="009B3BB0" w:rsidRPr="0024409C">
        <w:rPr>
          <w:rFonts w:ascii="Helvetica Neue" w:hAnsi="Helvetica Neue"/>
          <w:sz w:val="24"/>
          <w:szCs w:val="24"/>
        </w:rPr>
        <w:tab/>
        <w:t>BEHAVIOR WITHIN SEXUAL PARTNERSHIPS</w:t>
      </w:r>
      <w:bookmarkEnd w:id="8"/>
    </w:p>
    <w:p w14:paraId="2DA73F52" w14:textId="63A36458" w:rsidR="009B3BB0" w:rsidRPr="0024409C" w:rsidRDefault="009B3BB0" w:rsidP="009B3BB0">
      <w:pPr>
        <w:spacing w:line="360" w:lineRule="auto"/>
        <w:rPr>
          <w:rFonts w:ascii="Helvetica Neue" w:hAnsi="Helvetica Neue"/>
        </w:rPr>
      </w:pPr>
      <w:r w:rsidRPr="0024409C">
        <w:rPr>
          <w:rFonts w:ascii="Helvetica Neue" w:hAnsi="Helvetica Neue"/>
        </w:rPr>
        <w:t>We model four phenomena consecutively within relationships at each time step: HIV+ status disclosure, number of anal sex acts, condom use per sex ac</w:t>
      </w:r>
      <w:r w:rsidR="00DF0087" w:rsidRPr="0024409C">
        <w:rPr>
          <w:rFonts w:ascii="Helvetica Neue" w:hAnsi="Helvetica Neue"/>
        </w:rPr>
        <w:t>t, and sexual role per sex act.</w:t>
      </w:r>
    </w:p>
    <w:p w14:paraId="0434F10D" w14:textId="0C76BBFC" w:rsidR="009B3BB0" w:rsidRPr="0024409C" w:rsidRDefault="00273CDD" w:rsidP="009B3BB0">
      <w:pPr>
        <w:pStyle w:val="Heading2"/>
        <w:rPr>
          <w:rFonts w:ascii="Helvetica Neue" w:hAnsi="Helvetica Neue"/>
          <w:szCs w:val="22"/>
        </w:rPr>
      </w:pPr>
      <w:bookmarkStart w:id="9" w:name="_Toc522270401"/>
      <w:r w:rsidRPr="0024409C">
        <w:rPr>
          <w:rFonts w:ascii="Helvetica Neue" w:hAnsi="Helvetica Neue"/>
          <w:szCs w:val="22"/>
        </w:rPr>
        <w:t>3</w:t>
      </w:r>
      <w:r w:rsidR="009B3BB0" w:rsidRPr="0024409C">
        <w:rPr>
          <w:rFonts w:ascii="Helvetica Neue" w:hAnsi="Helvetica Neue"/>
          <w:szCs w:val="22"/>
        </w:rPr>
        <w:t xml:space="preserve">.1 </w:t>
      </w:r>
      <w:r w:rsidR="009B3BB0" w:rsidRPr="0024409C">
        <w:rPr>
          <w:rFonts w:ascii="Helvetica Neue" w:hAnsi="Helvetica Neue"/>
          <w:szCs w:val="22"/>
        </w:rPr>
        <w:tab/>
        <w:t>Disclosure</w:t>
      </w:r>
      <w:bookmarkEnd w:id="9"/>
    </w:p>
    <w:p w14:paraId="51437DC6" w14:textId="2E26316E" w:rsidR="009B3BB0" w:rsidRPr="0024409C" w:rsidRDefault="009B3BB0" w:rsidP="002C1E8A">
      <w:pPr>
        <w:spacing w:after="180" w:line="360" w:lineRule="auto"/>
        <w:rPr>
          <w:rFonts w:ascii="Helvetica Neue" w:hAnsi="Helvetica Neue"/>
        </w:rPr>
      </w:pPr>
      <w:r w:rsidRPr="0024409C">
        <w:rPr>
          <w:rFonts w:ascii="Helvetica Neue" w:hAnsi="Helvetica Neue"/>
        </w:rPr>
        <w:t>We model the process by which someone who knows he is HIV-positive discloses this fact to partners of a</w:t>
      </w:r>
      <w:r w:rsidR="004F1DC1" w:rsidRPr="0024409C">
        <w:rPr>
          <w:rFonts w:ascii="Helvetica Neue" w:hAnsi="Helvetica Neue"/>
        </w:rPr>
        <w:t xml:space="preserve">ll types. </w:t>
      </w:r>
      <w:r w:rsidRPr="0024409C">
        <w:rPr>
          <w:rFonts w:ascii="Helvetica Neue" w:hAnsi="Helvetica Neue"/>
        </w:rPr>
        <w:t>Disclosure affects subsequent decision-making around condom use.</w:t>
      </w:r>
      <w:r w:rsidR="004F1DC1" w:rsidRPr="0024409C">
        <w:rPr>
          <w:rFonts w:ascii="Helvetica Neue" w:hAnsi="Helvetica Neue"/>
        </w:rPr>
        <w:t xml:space="preserve"> </w:t>
      </w:r>
      <w:r w:rsidRPr="0024409C">
        <w:rPr>
          <w:rFonts w:ascii="Helvetica Neue" w:hAnsi="Helvetica Neue"/>
        </w:rPr>
        <w:t xml:space="preserve">We </w:t>
      </w:r>
      <w:r w:rsidRPr="0024409C">
        <w:rPr>
          <w:rFonts w:ascii="Helvetica Neue" w:hAnsi="Helvetica Neue"/>
        </w:rPr>
        <w:lastRenderedPageBreak/>
        <w:t xml:space="preserve">do not explicitly model other forms of serostatus discussion, since our source data do not include these; our behavioral estimates in the absence of HIV+ disclosure marginalize over those cases in which men disclose as concordant negative </w:t>
      </w:r>
      <w:r w:rsidR="00567DA0" w:rsidRPr="0024409C">
        <w:rPr>
          <w:rFonts w:ascii="Helvetica Neue" w:hAnsi="Helvetica Neue"/>
        </w:rPr>
        <w:t>or</w:t>
      </w:r>
      <w:r w:rsidRPr="0024409C">
        <w:rPr>
          <w:rFonts w:ascii="Helvetica Neue" w:hAnsi="Helvetica Neue"/>
        </w:rPr>
        <w:t xml:space="preserve"> do not discuss at all. Disclosure may occur at the point of a relation commencing (if HIV+ status is already known) or it may occur at the point of diagnosis, in the case of on-going relationships. In the former case, disclosure of HIV+ status was determined from the combined dyadic dataset using the HIV status of the respondent and their response to the question, “Did you and this partner share both of your HIV statuses before you first had sex?” In the latter case, we did not have data and assumed it to be universal.</w:t>
      </w:r>
    </w:p>
    <w:tbl>
      <w:tblPr>
        <w:tblStyle w:val="PlainTable21"/>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1136"/>
      </w:tblGrid>
      <w:tr w:rsidR="009B3BB0" w:rsidRPr="0024409C" w14:paraId="10FA78E5" w14:textId="77777777" w:rsidTr="00A2582E">
        <w:trPr>
          <w:cnfStyle w:val="100000000000" w:firstRow="1" w:lastRow="0" w:firstColumn="0" w:lastColumn="0" w:oddVBand="0" w:evenVBand="0" w:oddHBand="0"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5731" w:type="dxa"/>
            <w:shd w:val="clear" w:color="auto" w:fill="D9D9D9" w:themeFill="background1" w:themeFillShade="D9"/>
            <w:vAlign w:val="center"/>
          </w:tcPr>
          <w:p w14:paraId="253CEA6D" w14:textId="77777777" w:rsidR="009B3BB0" w:rsidRPr="0024409C" w:rsidRDefault="009B3BB0" w:rsidP="00A2582E">
            <w:pPr>
              <w:rPr>
                <w:rFonts w:ascii="Helvetica Neue" w:hAnsi="Helvetica Neue"/>
                <w:sz w:val="18"/>
                <w:szCs w:val="20"/>
              </w:rPr>
            </w:pPr>
            <w:r w:rsidRPr="0024409C">
              <w:rPr>
                <w:rFonts w:ascii="Helvetica Neue" w:hAnsi="Helvetica Neue"/>
                <w:sz w:val="18"/>
                <w:szCs w:val="20"/>
              </w:rPr>
              <w:t>Probability of Disclosure of HIV+ Status</w:t>
            </w:r>
          </w:p>
        </w:tc>
        <w:tc>
          <w:tcPr>
            <w:tcW w:w="1110" w:type="dxa"/>
            <w:shd w:val="clear" w:color="auto" w:fill="D9D9D9" w:themeFill="background1" w:themeFillShade="D9"/>
            <w:vAlign w:val="center"/>
          </w:tcPr>
          <w:p w14:paraId="2CFA14BE" w14:textId="77777777" w:rsidR="009B3BB0" w:rsidRPr="0024409C" w:rsidRDefault="009B3BB0" w:rsidP="00A2582E">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sz w:val="18"/>
                <w:szCs w:val="20"/>
              </w:rPr>
            </w:pPr>
            <w:r w:rsidRPr="0024409C">
              <w:rPr>
                <w:rFonts w:ascii="Helvetica Neue" w:hAnsi="Helvetica Neue"/>
                <w:sz w:val="18"/>
                <w:szCs w:val="20"/>
              </w:rPr>
              <w:t>Probability</w:t>
            </w:r>
          </w:p>
        </w:tc>
      </w:tr>
      <w:tr w:rsidR="009B3BB0" w:rsidRPr="0024409C" w14:paraId="7DD884E2" w14:textId="77777777" w:rsidTr="00A2582E">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5731" w:type="dxa"/>
            <w:vAlign w:val="center"/>
          </w:tcPr>
          <w:p w14:paraId="73FCA1AF" w14:textId="77777777" w:rsidR="009B3BB0" w:rsidRPr="0024409C" w:rsidRDefault="009B3BB0" w:rsidP="00A2582E">
            <w:pPr>
              <w:rPr>
                <w:rFonts w:ascii="Helvetica Neue" w:hAnsi="Helvetica Neue"/>
                <w:b w:val="0"/>
                <w:sz w:val="18"/>
                <w:szCs w:val="20"/>
              </w:rPr>
            </w:pPr>
            <w:r w:rsidRPr="0024409C">
              <w:rPr>
                <w:rFonts w:ascii="Helvetica Neue" w:hAnsi="Helvetica Neue"/>
                <w:b w:val="0"/>
                <w:sz w:val="18"/>
                <w:szCs w:val="20"/>
              </w:rPr>
              <w:t xml:space="preserve">   to new main partner at outset of relationship</w:t>
            </w:r>
          </w:p>
        </w:tc>
        <w:tc>
          <w:tcPr>
            <w:tcW w:w="1110" w:type="dxa"/>
            <w:vAlign w:val="center"/>
          </w:tcPr>
          <w:p w14:paraId="3DD3B521" w14:textId="77777777" w:rsidR="009B3BB0" w:rsidRPr="0024409C" w:rsidRDefault="009B3BB0" w:rsidP="00A2582E">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sz w:val="18"/>
                <w:szCs w:val="20"/>
              </w:rPr>
            </w:pPr>
            <w:r w:rsidRPr="0024409C">
              <w:rPr>
                <w:rFonts w:ascii="Helvetica Neue" w:hAnsi="Helvetica Neue"/>
                <w:sz w:val="18"/>
                <w:szCs w:val="20"/>
              </w:rPr>
              <w:t>78.7%</w:t>
            </w:r>
          </w:p>
        </w:tc>
      </w:tr>
      <w:tr w:rsidR="009B3BB0" w:rsidRPr="0024409C" w14:paraId="1E906653" w14:textId="77777777" w:rsidTr="00A2582E">
        <w:trPr>
          <w:trHeight w:val="389"/>
          <w:jc w:val="center"/>
        </w:trPr>
        <w:tc>
          <w:tcPr>
            <w:cnfStyle w:val="001000000000" w:firstRow="0" w:lastRow="0" w:firstColumn="1" w:lastColumn="0" w:oddVBand="0" w:evenVBand="0" w:oddHBand="0" w:evenHBand="0" w:firstRowFirstColumn="0" w:firstRowLastColumn="0" w:lastRowFirstColumn="0" w:lastRowLastColumn="0"/>
            <w:tcW w:w="5731" w:type="dxa"/>
            <w:vAlign w:val="center"/>
          </w:tcPr>
          <w:p w14:paraId="766EC065" w14:textId="77777777" w:rsidR="009B3BB0" w:rsidRPr="0024409C" w:rsidRDefault="009B3BB0" w:rsidP="00A2582E">
            <w:pPr>
              <w:rPr>
                <w:rFonts w:ascii="Helvetica Neue" w:hAnsi="Helvetica Neue"/>
                <w:b w:val="0"/>
                <w:sz w:val="18"/>
                <w:szCs w:val="20"/>
              </w:rPr>
            </w:pPr>
            <w:r w:rsidRPr="0024409C">
              <w:rPr>
                <w:rFonts w:ascii="Helvetica Neue" w:hAnsi="Helvetica Neue"/>
                <w:b w:val="0"/>
                <w:sz w:val="18"/>
                <w:szCs w:val="20"/>
              </w:rPr>
              <w:t xml:space="preserve">   to new casual partner at outset of relationship</w:t>
            </w:r>
          </w:p>
        </w:tc>
        <w:tc>
          <w:tcPr>
            <w:tcW w:w="1110" w:type="dxa"/>
            <w:vAlign w:val="center"/>
          </w:tcPr>
          <w:p w14:paraId="11D7CAEB" w14:textId="77777777" w:rsidR="009B3BB0" w:rsidRPr="0024409C" w:rsidRDefault="009B3BB0" w:rsidP="00A2582E">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sz w:val="18"/>
                <w:szCs w:val="20"/>
              </w:rPr>
            </w:pPr>
            <w:r w:rsidRPr="0024409C">
              <w:rPr>
                <w:rFonts w:ascii="Helvetica Neue" w:hAnsi="Helvetica Neue"/>
                <w:sz w:val="18"/>
                <w:szCs w:val="20"/>
              </w:rPr>
              <w:t>67.8%</w:t>
            </w:r>
          </w:p>
        </w:tc>
      </w:tr>
      <w:tr w:rsidR="009B3BB0" w:rsidRPr="0024409C" w14:paraId="0F3DC8C8" w14:textId="77777777" w:rsidTr="00A2582E">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5731" w:type="dxa"/>
            <w:vAlign w:val="center"/>
          </w:tcPr>
          <w:p w14:paraId="24B24689" w14:textId="77777777" w:rsidR="009B3BB0" w:rsidRPr="0024409C" w:rsidRDefault="009B3BB0" w:rsidP="00A2582E">
            <w:pPr>
              <w:rPr>
                <w:rFonts w:ascii="Helvetica Neue" w:hAnsi="Helvetica Neue"/>
                <w:b w:val="0"/>
                <w:sz w:val="18"/>
                <w:szCs w:val="20"/>
              </w:rPr>
            </w:pPr>
            <w:r w:rsidRPr="0024409C">
              <w:rPr>
                <w:rFonts w:ascii="Helvetica Neue" w:hAnsi="Helvetica Neue"/>
                <w:b w:val="0"/>
                <w:sz w:val="18"/>
                <w:szCs w:val="20"/>
              </w:rPr>
              <w:t xml:space="preserve">   to one-time contact</w:t>
            </w:r>
          </w:p>
        </w:tc>
        <w:tc>
          <w:tcPr>
            <w:tcW w:w="1110" w:type="dxa"/>
            <w:vAlign w:val="center"/>
          </w:tcPr>
          <w:p w14:paraId="6648BB14" w14:textId="77777777" w:rsidR="009B3BB0" w:rsidRPr="0024409C" w:rsidRDefault="009B3BB0" w:rsidP="00A2582E">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sz w:val="18"/>
                <w:szCs w:val="20"/>
              </w:rPr>
            </w:pPr>
            <w:r w:rsidRPr="0024409C">
              <w:rPr>
                <w:rFonts w:ascii="Helvetica Neue" w:hAnsi="Helvetica Neue"/>
                <w:sz w:val="18"/>
                <w:szCs w:val="20"/>
              </w:rPr>
              <w:t>56.8%</w:t>
            </w:r>
          </w:p>
        </w:tc>
      </w:tr>
      <w:tr w:rsidR="009B3BB0" w:rsidRPr="0024409C" w14:paraId="36A70DF4" w14:textId="77777777" w:rsidTr="00A2582E">
        <w:trPr>
          <w:trHeight w:val="389"/>
          <w:jc w:val="center"/>
        </w:trPr>
        <w:tc>
          <w:tcPr>
            <w:cnfStyle w:val="001000000000" w:firstRow="0" w:lastRow="0" w:firstColumn="1" w:lastColumn="0" w:oddVBand="0" w:evenVBand="0" w:oddHBand="0" w:evenHBand="0" w:firstRowFirstColumn="0" w:firstRowLastColumn="0" w:lastRowFirstColumn="0" w:lastRowLastColumn="0"/>
            <w:tcW w:w="5731" w:type="dxa"/>
            <w:vAlign w:val="center"/>
          </w:tcPr>
          <w:p w14:paraId="504C6451" w14:textId="77777777" w:rsidR="009B3BB0" w:rsidRPr="0024409C" w:rsidRDefault="009B3BB0" w:rsidP="00A2582E">
            <w:pPr>
              <w:rPr>
                <w:rFonts w:ascii="Helvetica Neue" w:hAnsi="Helvetica Neue"/>
                <w:b w:val="0"/>
                <w:sz w:val="18"/>
                <w:szCs w:val="20"/>
              </w:rPr>
            </w:pPr>
            <w:r w:rsidRPr="0024409C">
              <w:rPr>
                <w:rFonts w:ascii="Helvetica Neue" w:hAnsi="Helvetica Neue"/>
                <w:b w:val="0"/>
                <w:sz w:val="18"/>
                <w:szCs w:val="20"/>
              </w:rPr>
              <w:t xml:space="preserve">   to ongoing partner if diagnosis occurs during relationship</w:t>
            </w:r>
          </w:p>
        </w:tc>
        <w:tc>
          <w:tcPr>
            <w:tcW w:w="1110" w:type="dxa"/>
            <w:vAlign w:val="center"/>
          </w:tcPr>
          <w:p w14:paraId="1DB15217" w14:textId="77777777" w:rsidR="009B3BB0" w:rsidRPr="0024409C" w:rsidRDefault="009B3BB0" w:rsidP="00A2582E">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sz w:val="18"/>
                <w:szCs w:val="20"/>
              </w:rPr>
            </w:pPr>
            <w:r w:rsidRPr="0024409C">
              <w:rPr>
                <w:rFonts w:ascii="Helvetica Neue" w:hAnsi="Helvetica Neue"/>
                <w:sz w:val="18"/>
                <w:szCs w:val="20"/>
              </w:rPr>
              <w:t>100%</w:t>
            </w:r>
          </w:p>
        </w:tc>
      </w:tr>
    </w:tbl>
    <w:p w14:paraId="41CF1C10" w14:textId="08FDA1D1" w:rsidR="009B3BB0" w:rsidRPr="0024409C" w:rsidRDefault="00273CDD" w:rsidP="009B3BB0">
      <w:pPr>
        <w:pStyle w:val="Heading2"/>
        <w:spacing w:before="300"/>
        <w:rPr>
          <w:rFonts w:ascii="Helvetica Neue" w:hAnsi="Helvetica Neue"/>
          <w:szCs w:val="22"/>
        </w:rPr>
      </w:pPr>
      <w:bookmarkStart w:id="10" w:name="_Toc522270402"/>
      <w:r w:rsidRPr="0024409C">
        <w:rPr>
          <w:rFonts w:ascii="Helvetica Neue" w:hAnsi="Helvetica Neue"/>
          <w:szCs w:val="22"/>
        </w:rPr>
        <w:t>3</w:t>
      </w:r>
      <w:r w:rsidR="009B3BB0" w:rsidRPr="0024409C">
        <w:rPr>
          <w:rFonts w:ascii="Helvetica Neue" w:hAnsi="Helvetica Neue"/>
          <w:szCs w:val="22"/>
        </w:rPr>
        <w:t xml:space="preserve">.2 </w:t>
      </w:r>
      <w:r w:rsidR="009B3BB0" w:rsidRPr="0024409C">
        <w:rPr>
          <w:rFonts w:ascii="Helvetica Neue" w:hAnsi="Helvetica Neue"/>
          <w:szCs w:val="22"/>
        </w:rPr>
        <w:tab/>
        <w:t>Number of AI Acts</w:t>
      </w:r>
      <w:bookmarkEnd w:id="10"/>
    </w:p>
    <w:p w14:paraId="41746429" w14:textId="77777777" w:rsidR="009B3BB0" w:rsidRPr="0024409C" w:rsidRDefault="009B3BB0" w:rsidP="009B3BB0">
      <w:pPr>
        <w:spacing w:after="180" w:line="360" w:lineRule="auto"/>
        <w:rPr>
          <w:rFonts w:ascii="Helvetica Neue" w:hAnsi="Helvetica Neue"/>
        </w:rPr>
      </w:pPr>
      <w:r w:rsidRPr="0024409C">
        <w:rPr>
          <w:rFonts w:ascii="Helvetica Neue" w:hAnsi="Helvetica Neue"/>
        </w:rPr>
        <w:t xml:space="preserve">The number of anal sex acts per week for each ongoing relationship is determined from a Poisson draw, with mean specific to the relational type. For one-time contacts, the number is set deterministically to 1 for the time step in which it occurs. </w:t>
      </w:r>
    </w:p>
    <w:tbl>
      <w:tblPr>
        <w:tblStyle w:val="TableGrid"/>
        <w:tblW w:w="4770" w:type="dxa"/>
        <w:jc w:val="center"/>
        <w:tblLook w:val="04A0" w:firstRow="1" w:lastRow="0" w:firstColumn="1" w:lastColumn="0" w:noHBand="0" w:noVBand="1"/>
      </w:tblPr>
      <w:tblGrid>
        <w:gridCol w:w="3420"/>
        <w:gridCol w:w="1350"/>
      </w:tblGrid>
      <w:tr w:rsidR="009B3BB0" w:rsidRPr="0024409C" w14:paraId="56637996" w14:textId="77777777" w:rsidTr="00A2582E">
        <w:trPr>
          <w:trHeight w:val="389"/>
          <w:jc w:val="center"/>
        </w:trPr>
        <w:tc>
          <w:tcPr>
            <w:tcW w:w="3420" w:type="dxa"/>
            <w:shd w:val="clear" w:color="auto" w:fill="D9D9D9" w:themeFill="background1" w:themeFillShade="D9"/>
            <w:vAlign w:val="center"/>
          </w:tcPr>
          <w:p w14:paraId="29334446" w14:textId="77777777" w:rsidR="009B3BB0" w:rsidRPr="0024409C" w:rsidRDefault="009B3BB0" w:rsidP="00A2582E">
            <w:pPr>
              <w:rPr>
                <w:rFonts w:ascii="Helvetica Neue" w:hAnsi="Helvetica Neue"/>
                <w:b/>
                <w:sz w:val="18"/>
              </w:rPr>
            </w:pPr>
            <w:r w:rsidRPr="0024409C">
              <w:rPr>
                <w:rFonts w:ascii="Helvetica Neue" w:hAnsi="Helvetica Neue"/>
                <w:b/>
                <w:sz w:val="18"/>
              </w:rPr>
              <w:t>AI Acts/Week/Partnership</w:t>
            </w:r>
          </w:p>
        </w:tc>
        <w:tc>
          <w:tcPr>
            <w:tcW w:w="1350" w:type="dxa"/>
            <w:shd w:val="clear" w:color="auto" w:fill="D9D9D9" w:themeFill="background1" w:themeFillShade="D9"/>
            <w:vAlign w:val="center"/>
          </w:tcPr>
          <w:p w14:paraId="2ECF00EE"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Frequency</w:t>
            </w:r>
          </w:p>
        </w:tc>
      </w:tr>
      <w:tr w:rsidR="009B3BB0" w:rsidRPr="0024409C" w14:paraId="15512C1D" w14:textId="77777777" w:rsidTr="00A2582E">
        <w:trPr>
          <w:trHeight w:val="389"/>
          <w:jc w:val="center"/>
        </w:trPr>
        <w:tc>
          <w:tcPr>
            <w:tcW w:w="3420" w:type="dxa"/>
            <w:vAlign w:val="center"/>
          </w:tcPr>
          <w:p w14:paraId="413C4223" w14:textId="77777777" w:rsidR="009B3BB0" w:rsidRPr="0024409C" w:rsidRDefault="009B3BB0" w:rsidP="00A2582E">
            <w:pPr>
              <w:rPr>
                <w:rFonts w:ascii="Helvetica Neue" w:hAnsi="Helvetica Neue"/>
                <w:sz w:val="18"/>
              </w:rPr>
            </w:pPr>
            <w:r w:rsidRPr="0024409C">
              <w:rPr>
                <w:rFonts w:ascii="Helvetica Neue" w:hAnsi="Helvetica Neue"/>
                <w:sz w:val="18"/>
              </w:rPr>
              <w:t>Main partnerships</w:t>
            </w:r>
          </w:p>
        </w:tc>
        <w:tc>
          <w:tcPr>
            <w:tcW w:w="1350" w:type="dxa"/>
            <w:vAlign w:val="center"/>
          </w:tcPr>
          <w:p w14:paraId="3FC21FF7" w14:textId="77777777" w:rsidR="009B3BB0" w:rsidRPr="0024409C" w:rsidRDefault="009B3BB0" w:rsidP="00A2582E">
            <w:pPr>
              <w:jc w:val="center"/>
              <w:rPr>
                <w:rFonts w:ascii="Helvetica Neue" w:hAnsi="Helvetica Neue"/>
                <w:sz w:val="18"/>
              </w:rPr>
            </w:pPr>
            <w:r w:rsidRPr="0024409C">
              <w:rPr>
                <w:rFonts w:ascii="Helvetica Neue" w:hAnsi="Helvetica Neue"/>
                <w:sz w:val="18"/>
              </w:rPr>
              <w:t>1.54</w:t>
            </w:r>
          </w:p>
        </w:tc>
      </w:tr>
      <w:tr w:rsidR="009B3BB0" w:rsidRPr="0024409C" w14:paraId="4E732DAD" w14:textId="77777777" w:rsidTr="00A2582E">
        <w:trPr>
          <w:trHeight w:val="389"/>
          <w:jc w:val="center"/>
        </w:trPr>
        <w:tc>
          <w:tcPr>
            <w:tcW w:w="3420" w:type="dxa"/>
            <w:vAlign w:val="center"/>
          </w:tcPr>
          <w:p w14:paraId="6615FECB" w14:textId="77777777" w:rsidR="009B3BB0" w:rsidRPr="0024409C" w:rsidRDefault="009B3BB0" w:rsidP="00A2582E">
            <w:pPr>
              <w:rPr>
                <w:rFonts w:ascii="Helvetica Neue" w:hAnsi="Helvetica Neue"/>
                <w:sz w:val="18"/>
              </w:rPr>
            </w:pPr>
            <w:r w:rsidRPr="0024409C">
              <w:rPr>
                <w:rFonts w:ascii="Helvetica Neue" w:hAnsi="Helvetica Neue"/>
                <w:sz w:val="18"/>
              </w:rPr>
              <w:t>Casual partnerships</w:t>
            </w:r>
          </w:p>
        </w:tc>
        <w:tc>
          <w:tcPr>
            <w:tcW w:w="1350" w:type="dxa"/>
            <w:vAlign w:val="center"/>
          </w:tcPr>
          <w:p w14:paraId="74DC9CAA" w14:textId="77777777" w:rsidR="009B3BB0" w:rsidRPr="0024409C" w:rsidRDefault="009B3BB0" w:rsidP="00A2582E">
            <w:pPr>
              <w:jc w:val="center"/>
              <w:rPr>
                <w:rFonts w:ascii="Helvetica Neue" w:hAnsi="Helvetica Neue"/>
                <w:sz w:val="18"/>
              </w:rPr>
            </w:pPr>
            <w:r w:rsidRPr="0024409C">
              <w:rPr>
                <w:rFonts w:ascii="Helvetica Neue" w:hAnsi="Helvetica Neue"/>
                <w:sz w:val="18"/>
              </w:rPr>
              <w:t>0.96</w:t>
            </w:r>
          </w:p>
        </w:tc>
      </w:tr>
    </w:tbl>
    <w:p w14:paraId="33AC32DF" w14:textId="043B5600" w:rsidR="009B3BB0" w:rsidRPr="0024409C" w:rsidRDefault="009B3BB0" w:rsidP="009B3BB0">
      <w:pPr>
        <w:spacing w:before="240" w:line="360" w:lineRule="auto"/>
        <w:rPr>
          <w:rFonts w:ascii="Helvetica Neue" w:hAnsi="Helvetica Neue"/>
        </w:rPr>
      </w:pPr>
      <w:r w:rsidRPr="0024409C">
        <w:rPr>
          <w:rFonts w:ascii="Helvetica Neue" w:hAnsi="Helvetica Neue"/>
        </w:rPr>
        <w:t xml:space="preserve">These rates were calculated based on the two Atlanta studies, derived from questions asking </w:t>
      </w:r>
      <w:r w:rsidR="00E62A7A" w:rsidRPr="0024409C">
        <w:rPr>
          <w:rFonts w:ascii="Helvetica Neue" w:hAnsi="Helvetica Neue"/>
        </w:rPr>
        <w:t xml:space="preserve">about </w:t>
      </w:r>
      <w:r w:rsidRPr="0024409C">
        <w:rPr>
          <w:rFonts w:ascii="Helvetica Neue" w:hAnsi="Helvetica Neue"/>
        </w:rPr>
        <w:t>the number of coital acts per partnership during the recall periods.</w:t>
      </w:r>
      <w:r w:rsidRPr="0024409C">
        <w:rPr>
          <w:rFonts w:ascii="Helvetica Neue" w:hAnsi="Helvetica Neue"/>
          <w:noProof/>
          <w:vertAlign w:val="superscript"/>
        </w:rPr>
        <w:t>10,11</w:t>
      </w:r>
      <w:r w:rsidR="00140356" w:rsidRPr="0024409C">
        <w:rPr>
          <w:rFonts w:ascii="Helvetica Neue" w:hAnsi="Helvetica Neue"/>
        </w:rPr>
        <w:t xml:space="preserve"> </w:t>
      </w:r>
      <w:r w:rsidRPr="0024409C">
        <w:rPr>
          <w:rFonts w:ascii="Helvetica Neue" w:hAnsi="Helvetica Neue"/>
        </w:rPr>
        <w:t>These were then rescaled from the length of the recall period into the weekly rates listed in the table above.</w:t>
      </w:r>
    </w:p>
    <w:p w14:paraId="70285380" w14:textId="53BA1642" w:rsidR="009B3BB0" w:rsidRPr="0024409C" w:rsidRDefault="00273CDD" w:rsidP="009B3BB0">
      <w:pPr>
        <w:pStyle w:val="Heading2"/>
        <w:rPr>
          <w:rFonts w:ascii="Helvetica Neue" w:hAnsi="Helvetica Neue"/>
          <w:szCs w:val="22"/>
        </w:rPr>
      </w:pPr>
      <w:bookmarkStart w:id="11" w:name="_Toc522270403"/>
      <w:r w:rsidRPr="0024409C">
        <w:rPr>
          <w:rFonts w:ascii="Helvetica Neue" w:hAnsi="Helvetica Neue"/>
          <w:szCs w:val="22"/>
        </w:rPr>
        <w:t>3</w:t>
      </w:r>
      <w:r w:rsidR="007A6506" w:rsidRPr="0024409C">
        <w:rPr>
          <w:rFonts w:ascii="Helvetica Neue" w:hAnsi="Helvetica Neue"/>
          <w:szCs w:val="22"/>
        </w:rPr>
        <w:t xml:space="preserve">.3 </w:t>
      </w:r>
      <w:r w:rsidR="007A6506" w:rsidRPr="0024409C">
        <w:rPr>
          <w:rFonts w:ascii="Helvetica Neue" w:hAnsi="Helvetica Neue"/>
          <w:szCs w:val="22"/>
        </w:rPr>
        <w:tab/>
        <w:t>Condom U</w:t>
      </w:r>
      <w:r w:rsidR="009B3BB0" w:rsidRPr="0024409C">
        <w:rPr>
          <w:rFonts w:ascii="Helvetica Neue" w:hAnsi="Helvetica Neue"/>
          <w:szCs w:val="22"/>
        </w:rPr>
        <w:t>se</w:t>
      </w:r>
      <w:bookmarkEnd w:id="11"/>
    </w:p>
    <w:p w14:paraId="56184212" w14:textId="2385E587" w:rsidR="009B3BB0" w:rsidRPr="0024409C" w:rsidRDefault="009B3BB0" w:rsidP="009B3BB0">
      <w:pPr>
        <w:spacing w:line="360" w:lineRule="auto"/>
        <w:rPr>
          <w:rFonts w:ascii="Helvetica Neue" w:hAnsi="Helvetica Neue"/>
        </w:rPr>
      </w:pPr>
      <w:r w:rsidRPr="0024409C">
        <w:rPr>
          <w:rFonts w:ascii="Helvetica Neue" w:hAnsi="Helvetica Neue"/>
        </w:rPr>
        <w:t>We conducted logistic regressions to identify the significant predictors of condom use within HIV-discordant relationships (whether diagnosed or not) in our data. Respondents were asked if they had had unprotected anal sex with each partner during the recall periods.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"ISSN" : "10472797", "abstract" : "PURPOSE To describe factors associated with racial disparities in HIV (human immunodeficiency virus) incidence among men who have sex with men (MSM) in the United States. METHODS In a longitudinal cohort of black and white HIV-negative MSM in Atlanta, HIV incidence rates were compared by race. Incidence hazard ratios (HRs) between black and white MSM were estimated with an age-scaled Cox proportional hazards model. A change-in-estimate approach was used to understand mediating time-independent and -dependent factors that accounted for the elevated HR. RESULTS Thirty-two incident HIV infections occurred among 260 black and 302 white MSM during 843 person-years (PY) of follow-up. HIV incidence was higher among black MSM (6.5/100 PY; 95% confidence interval [CI]: 4.2\u20139.7) than white MSM (1.7/100 PY; CI: 0.7\u20133.3) and highest among young (18\u201324 years) black MSM (10.9/100 PY; CI: 6.2\u201317.6). The unadjusted hazard of HIV infection for black MSM was 2.9 (CI: 1.3\u20136.4) times that of white MSM; adjustment for health insurance status and partner race explained effectively all of the racial disparity. CONCLUSIONS Relative to white MSM in Atlanta, black MSM, particularly young black MSM, experienced higher HIV incidence that was not attributable to individual risk behaviors. In a setting where partner pool risk is a driver of disparities, it is also important to maximize care and treatment for HIV-positive MSM.", "author" : [ { "dropping-particle" : "", "family" : "Sullivan", "given" : "Patrick S.", "non-dropping-particle" : "", "parse-names" : false, "suffix" : "" }, { "dropping-particle" : "", "family" : "Rosenberg", "given" : "Eli S.", "non-dropping-particle" : "", "parse-names" : false, "suffix" : "" }, { "dropping-particle" : "", "family" : "Sanchez", "given" : "Travis H.", "non-dropping-particle" : "", "parse-names" : false, "suffix" : "" }, { "dropping-particle" : "", "family" : "Kelley", "given" : "Colleen F.", "non-dropping-particle" : "", "parse-names" : false, "suffix" : "" }, { "dropping-particle" : "", "family" : "Luisi", "given" : "Nicole", "non-dropping-particle" : "", "parse-names" : false, "suffix" : "" }, { "dropping-particle" : "", "family" : "Cooper", "given" : "Hannah L.", "non-dropping-particle" : "", "parse-names" : false, "suffix" : "" }, { "dropping-particle" : "", "family" : "Diclemente", "given" : "Ralph J.", "non-dropping-particle" : "", "parse-names" : false, "suffix" : "" }, { "dropping-particle" : "", "family" : "Wingood", "given" : "Gina M.", "non-dropping-particle" : "", "parse-names" : false, "suffix" : "" }, { "dropping-particle" : "", "family" : "Frew", "given" : "Paula M.", "non-dropping-particle" : "", "parse-names" : false, "suffix" : "" }, { "dropping-particle" : "", "family" : "Salazar", "given" : "Laura F.", "non-dropping-particle" : "", "parse-names" : false, "suffix" : "" }, { "dropping-particle" : "", "family" : "Rio", "given" : "Carlos", "non-dropping-particle" : "del", "parse-names" : false, "suffix" : "" }, { "dropping-particle" : "", "family" : "Mulligan", "given" : "Mark J.", "non-dropping-particle" : "", "parse-names" : false, "suffix" : "" }, { "dropping-particle" : "", "family" : "Peterson", "given" : "John L.", "non-dropping-particle" : "", "parse-names" : false, "suffix" : "" } ], "container-title" : "Ann Epidemiol", "id" : "ITEM-1", "issue" : "6", "issued" : { "date-parts" : [ [ "2015" ] ] }, "page" : "445-454", "title" : "Explaining racial disparities in HIV incidence in black and white men who have sex with men in Atlanta, GA: a prospective observational cohort study", "type" : "article-journal", "volume" : "25" }, "uris" : [ "http://www.mendeley.com/documents/?uuid=0ca47ab6-493a-43f9-b1d0-48e2041b9866" ] }, { "id" : "ITEM-2", "itemData" : { "author" : [ { "dropping-particle" : "", "family" : "Grey", "given" : "Jeremy Alexander", "non-dropping-particle" : "", "parse-names" : false, "suffix" : "" }, { "dropping-particle" : "", "family" : "Rothenberg", "given" : "Richard B.", "non-dropping-particle" : "", "parse-names" : false, "suffix" : "" }, { "dropping-particle" : "", "family" : "Sullivan", "given" : "Patrick Sean", "non-dropping-particle" : "", "parse-names" : false, "suffix" : "" }, { "dropping-particle" : "", "family" : "Rosenberg", "given" : "Eli Samuel", "non-dropping-particle" : "", "parse-names" : false, "suffix" : "" }, { "dropping-particle" : "", "family" : "Zhu", "given" : "Y", "non-dropping-particle" : "", "parse-names" : false, "suffix" : "" }, { "dropping-particle" : "", "family" : "Weiss", "given" : "RE", "non-dropping-particle" : "", "parse-names" : false, "suffix" : "" }, { "dropping-particle" : "", "family" : "Balaji", "given" : "AB", "non-dropping-particle" : "", "parse-names" : false, "suffix" : "" }, { "dropping-particle" : "", "family" : "Bowles", "given" : "KE", "non-dropping-particle" : "", "parse-names" : false, "suffix" : "" }, { "dropping-particle" : "", "family" : "Le", "given" : "BC", "non-dropping-particle" : "", "parse-names" : false, "suffix" : "" }, { "dropping-particle" : "", "family" : "Paz-Bailey", "given" : "G", "non-dropping-particle" : "", "parse-names" : false, "suffix" : "" }, { "dropping-particle" : "", "family" : "Oster", "given" : "AM", "non-dropping-particle" : "", "parse-names" : false, "suffix" : "" }, { "dropping-particle" : "", "family" : "Millett", "given" : "GA", "non-dropping-particle" : "", "parse-names" : false, "suffix" : "" }, { "dropping-particle" : "", "family" : "Flores", "given" : "SA", "non-dropping-particle" : "", "parse-names" : false, "suffix" : "" }, { "dropping-particle" : "", "family" : "Peterson", "given" : "JL", "non-dropping-particle" : "", "parse-names" : false, "suffix" : "" }, { "dropping-particle" : "", "family" : "Bakeman", "given" : "R", "non-dropping-particle" : "", "parse-names" : false, "suffix" : "" }, { "dropping-particle" : "", "family" : "Millett", "given" : "GA", "non-dropping-particle" : "", "parse-names" : false, "suffix" : "" }, { "dropping-particle" : "", "family" : "Peterson", "given" : "JL", "non-dropping-particle" : "", "parse-names" : false, "suffix" : "" }, { "dropping-particle" : "", "family" : "Flores", "given" : "SA", "non-dropping-particle" : "", "parse-names" : false, "suffix" : "" }, { "dropping-particle" : "", "family" : "Hart", "given" : "TA", "non-dropping-particle" : "", "parse-names" : false, "suffix" : "" }, { "dropping-particle" : "", "family" : "Jeffries", "given" : "W", "non-dropping-particle" : "", "parse-names" : false, "suffix" : "" }, { "dropping-particle" : "", "family" : "Wilson", "given" : "PA", "non-dropping-particle" : "", "parse-names" : false, "suffix" : "" }, { "dropping-particle" : "", "family" : "Millett", "given" : "GA", "non-dropping-particle" : "", "parse-names" : false, "suffix" : "" }, { "dropping-particle" : "", "family" : "Peterson", "given" : "JL", "non-dropping-particle" : "", "parse-names" : false, "suffix" : "" }, { "dropping-particle" : "", "family" : "Wolitski", "given" : "RJ", "non-dropping-particle" : "", "parse-names" : false, "suffix" : "" }, { "dropping-particle" : "", "family" : "Stall", "given" : "R", "non-dropping-particle" : "", "parse-names" : false, "suffix" : "" }, { "dropping-particle" : "", "family" : "Oster", "given" : "AM", "non-dropping-particle" : "", "parse-names" : false, "suffix" : "" }, { "dropping-particle" : "", "family" : "Wiegand", "given" : "RE", "non-dropping-particle" : "", "parse-names" : false, "suffix" : "" }, { "dropping-particle" : "", "family" : "Sionean", "given" : "C", "non-dropping-particle" : "", "parse-names" : false, "suffix" : "" }, { "dropping-particle" : "", "family" : "Miles", "given" : "IJ", "non-dropping-particle" : "", "parse-names" : false, "suffix" : "" }, { "dropping-particle" : "", "family" : "Thomas", "given" : "PE", "non-dropping-particle" : "", "parse-names" : false, "suffix" : "" }, { "dropping-particle" : "", "family" : "Melendez-Morales", "given" : "L", "non-dropping-particle" : "", "parse-names" : false, "suffix" : "" }, { "dropping-particle" : "", "family" : "Maulsby", "given" : "C", "non-dropping-particle" : "", "parse-names" : false, "suffix" : "" }, { "dropping-particle" : "", "family" : "Millett", "given" : "G", "non-dropping-particle" : "", "parse-names" : false, "suffix" : "" }, { "dropping-particle" : "", "family" : "Lindsey", "given" : "K", "non-dropping-particle" : "", "parse-names" : false, "suffix" : "" }, { "dropping-particle" : "", "family" : "Kelley", "given" : "R", "non-dropping-particle" : "", "parse-names" : false, "suffix" : "" }, { "dropping-particle" : "", "family" : "Johnson", "given" : "K", "non-dropping-particle" : "", "parse-names" : false, "suffix" : "" }, { "dropping-particle" : "", "family" : "Montoya", "given" : "D", "non-dropping-particle" : "", "parse-names" : false, "suffix" : "" }, { "dropping-particle" : "", "family" : "Mustanski", "given" : "B", "non-dropping-particle" : "", "parse-names" : false, "suffix" : "" }, { "dropping-particle" : "", "family" : "Newcomb", "given" : "ME", "non-dropping-particle" : "", "parse-names" : false, "suffix" : "" }, { "dropping-particle" : "", "family" : "Laumann", "given" : "EO", "non-dropping-particle" : "", "parse-names" : false, "suffix" : "" }, { "dropping-particle" : "", "family" : "Youm", "given" : "Y", "non-dropping-particle" : "", "parse-names" : false, "suffix" : "" }, { "dropping-particle" : "", "family" : "Blower", "given" : "SM", "non-dropping-particle" : "", "parse-names" : false, "suffix" : "" }, { "dropping-particle" : "", "family" : "Service", "given" : "SK", "non-dropping-particle" : "", "parse-names" : false, "suffix" : "" }, { "dropping-particle" : "", "family" : "Osmond", "given" : "D", "non-dropping-particle" : "", "parse-names" : false, "suffix" : "" }, { "dropping-particle" : "", "family" : "Service", "given" : "SK", "non-dropping-particle" : "", "parse-names" : false, "suffix" : "" }, { "dropping-particle" : "", "family" : "Blower", "given" : "SM", "non-dropping-particle" : "", "parse-names" : false, "suffix" : "" }, { "dropping-particle" : "", "family" : "Service", "given" : "SK", "non-dropping-particle" : "", "parse-names" : false, "suffix" : "" }, { "dropping-particle" : "", "family" : "Blower", "given" : "SM", "non-dropping-particle" : "", "parse-names" : false, "suffix" : "" }, { "dropping-particle" : "", "family" : "Sullivan", "given" : "PS", "non-dropping-particle" : "", "parse-names" : false, "suffix" : "" }, { "dropping-particle" : "", "family" : "Khosropour", "given" : "CM", "non-dropping-particle" : "", "parse-names" : false, "suffix" : "" }, { "dropping-particle" : "", "family" : "Luisi", "given" : "N", "non-dropping-particle" : "", "parse-names" : false, "suffix" : "" }, { "dropping-particle" : "", "family" : "Amsden", "given" : "M", "non-dropping-particle" : "", "parse-names" : false, "suffix" : "" }, { "dropping-particle" : "", "family" : "Coggia", "given" : "T", "non-dropping-particle" : "", "parse-names" : false, "suffix" : "" }, { "dropping-particle" : "", "family" : "Wingood", "given" : "G", "non-dropping-particle" : "", "parse-names" : false, "suffix" : "" }, { "dropping-particle" : "", "family" : "Khosropour", "given" : "CM", "non-dropping-particle" : "", "parse-names" : false, "suffix" : "" }, { "dropping-particle" : "", "family" : "Sullivan", "given" : "PS", "non-dropping-particle" : "", "parse-names" : false, "suffix" : "" }, { "dropping-particle" : "", "family" : "Kelley", "given" : "CF", "non-dropping-particle" : "", "parse-names" : false, "suffix" : "" }, { "dropping-particle" : "", "family" : "Rosenberg", "given" : "ES", "non-dropping-particle" : "", "parse-names" : false, "suffix" : "" }, { "dropping-particle" : "", "family" : "O'Hara", "given" : "BM", "non-dropping-particle" : "", "parse-names" : false, "suffix" : "" }, { "dropping-particle" : "", "family" : "Frew", "given" : "PM", "non-dropping-particle" : "", "parse-names" : false, "suffix" : "" }, { "dropping-particle" : "", "family" : "Sanchez", "given" : "T", "non-dropping-particle" : "", "parse-names" : false, "suffix" : "" }, { "dropping-particle" : "", "family" : "Peterson", "given" : "JL", "non-dropping-particle" : "", "parse-names" : false, "suffix" : "" }, { "dropping-particle" : "", "family" : "Sullivan", "given" : "PS", "non-dropping-particle" : "", "parse-names" : false, "suffix" : "" }, { "dropping-particle" : "", "family" : "Peterson", "given" : "JR", "non-dropping-particle" : "", "parse-names" : false, "suffix" : "" }, { "dropping-particle" : "", "family" : "Rosenberg", "given" : "ES", "non-dropping-particle" : "", "parse-names" : false, "suffix" : "" }, { "dropping-particle" : "", "family" : "Kelley", "given" : "C", "non-dropping-particle" : "", "parse-names" : false, "suffix" : "" }, { "dropping-particle" : "", "family" : "Cooper", "given" : "H", "non-dropping-particle" : "", "parse-names" : false, "suffix" : "" }, { "dropping-particle" : "", "family" : "Vaughan", "given" : "A", "non-dropping-particle" : "", "parse-names" : false, "suffix" : "" }, { "dropping-particle" : "", "family" : "Rosenberg", "given" : "ES", "non-dropping-particle" : "", "parse-names" : false, "suffix" : "" }, { "dropping-particle" : "", "family" : "Staple", "given" : "T", "non-dropping-particle" : "", "parse-names" : false, "suffix" : "" }, { "dropping-particle" : "", "family" : "Rothenberg", "given" : "R", "non-dropping-particle" : "", "parse-names" : false, "suffix" : "" }, { "dropping-particle" : "", "family" : "Sullivan", "given" : "P", "non-dropping-particle" : "", "parse-names" : false, "suffix" : "" }, { "dropping-particle" : "", "family" : "MacKellar", "given" : "DA", "non-dropping-particle" : "", "parse-names" : false, "suffix" : "" }, { "dropping-particle" : "", "family" : "Gallagher", "given" : "KM", "non-dropping-particle" : "", "parse-names" : false, "suffix" : "" }, { "dropping-particle" : "", "family" : "Finlayson", "given" : "T", "non-dropping-particle" : "", "parse-names" : false, "suffix" : "" }, { "dropping-particle" : "", "family" : "Sanchez", "given" : "T", "non-dropping-particle" : "", "parse-names" : false, "suffix" : "" }, { "dropping-particle" : "", "family" : "Lansky", "given" : "A", "non-dropping-particle" : "", "parse-names" : false, "suffix" : "" }, { "dropping-particle" : "", "family" : "Sullivan", "given" : "PS", "non-dropping-particle" : "", "parse-names" : false, "suffix" : "" }, { "dropping-particle" : "", "family" : "Rosenberg", "given" : "ES", "non-dropping-particle" : "", "parse-names" : false, "suffix" : "" }, { "dropping-particle" : "", "family" : "Rothenberg", "given" : "RB", "non-dropping-particle" : "", "parse-names" : false, "suffix" : "" }, { "dropping-particle" : "", "family" : "Kleinbaum", "given" : "DG", "non-dropping-particle" : "", "parse-names" : false, "suffix" : "" }, { "dropping-particle" : "", "family" : "Stephenson", "given" : "RB", "non-dropping-particle" : "", "parse-names" : false, "suffix" : "" }, { "dropping-particle" : "", "family" : "Sullivan", "given" : "PS", "non-dropping-particle" : "", "parse-names" : false, "suffix" : "" }, { "dropping-particle" : "", "family" : "Aral", "given" : "SO", "non-dropping-particle" : "", "parse-names" : false, "suffix" : "" }, { "dropping-particle" : "", "family" : "Lin", "given" : "LI", "non-dropping-particle" : "", "parse-names" : false, "suffix" : "" }, { "dropping-particle" : "", "family" : "Morris", "given" : "M", "non-dropping-particle" : "", "parse-names" : false, "suffix" : "" }, { "dropping-particle" : "", "family" : "Finlayson", "given" : "TJ", "non-dropping-particle" : "", "parse-names" : false, "suffix" : "" }, { "dropping-particle" : "", "family" : "Le", "given" : "B", "non-dropping-particle" : "", "parse-names" : false, "suffix" : "" }, { "dropping-particle" : "", "family" : "Smith", "given" : "A", "non-dropping-particle" : "", "parse-names" : false, "suffix" : "" }, { "dropping-particle" : "", "family" : "Bowles", "given" : "K", "non-dropping-particle" : "", "parse-names" : false, "suffix" : "" }, { "dropping-particle" : "", "family" : "Cribbin", "given" : "M", "non-dropping-particle" : "", "parse-names" : false, "suffix" : "" }, { "dropping-particle" : "", "family" : "Miles", "given" : "I", "non-dropping-particle" : "", "parse-names" : false, "suffix" : "" }, { "dropping-particle" : "", "family" : "Wejnert", "given" : "C", "non-dropping-particle" : "", "parse-names" : false, "suffix" : "" }, { "dropping-particle" : "", "family" : "Le", "given" : "B", "non-dropping-particle" : "", "parse-names" : false, "suffix" : "" }, { "dropping-particle" : "", "family" : "Rose", "given" : "CE", "non-dropping-particle" : "", "parse-names" : false, "suffix" : "" }, { "dropping-particle" : "", "family" : "Oster", "given" : "AM", "non-dropping-particle" : "", "parse-names" : false, "suffix" : "" }, { "dropping-particle" : "", "family" : "Smith", "given" : "AJ", "non-dropping-particle" : "", "parse-names" : false, "suffix" : "" }, { "dropping-particle" : "", "family" : "Zhu", "given" : "J", "non-dropping-particle" : "", "parse-names" : false, "suffix" : "" }, { "dropping-particle" : "", "family" : "Hurt", "given" : "CB", "non-dropping-particle" : "", "parse-names" : false, "suffix" : "" }, { "dropping-particle" : "", "family" : "Matthews", "given" : "DD", "non-dropping-particle" : "", "parse-names" : false, "suffix" : "" }, { "dropping-particle" : "", "family" : "Calabria", "given" : "MS", "non-dropping-particle" : "", "parse-names" : false, "suffix" : "" }, { "dropping-particle" : "", "family" : "Green", "given" : "KA", "non-dropping-particle" : "", "parse-names" : false, "suffix" : "" }, { "dropping-particle" : "", "family" : "Adimora", "given" : "AA", "non-dropping-particle" : "", "parse-names" : false, "suffix" : "" }, { "dropping-particle" : "", "family" : "Golin", "given" : "CE", "non-dropping-particle" : "", "parse-names" : false, "suffix" : "" }, { "dropping-particle" : "", "family" : "Berry", "given" : "M", "non-dropping-particle" : "", "parse-names" : false, "suffix" : "" }, { "dropping-particle" : "", "family" : "Raymond", "given" : "HF", "non-dropping-particle" : "", "parse-names" : false, "suffix" : "" }, { "dropping-particle" : "", "family" : "McFarland", "given" : "W", "non-dropping-particle" : "", "parse-names" : false, "suffix" : "" }, { "dropping-particle" : "", "family" : "Garofalo", "given" : "R", "non-dropping-particle" : "", "parse-names" : false, "suffix" : "" }, { "dropping-particle" : "", "family" : "Mustanski", "given" : "B", "non-dropping-particle" : "", "parse-names" : false, "suffix" : "" }, { "dropping-particle" : "", "family" : "Johnson", "given" : "A", "non-dropping-particle" : "", "parse-names" : false, "suffix" : "" }, { "dropping-particle" : "", "family" : "Emerson", "given" : "E", "non-dropping-particle" : "", "parse-names" : false, "suffix" : "" }, { "dropping-particle" : "", "family" : "Kleinbaum", "given" : "DG", "non-dropping-particle" : "", "parse-names" : false, "suffix" : "" }, { "dropping-particle" : "", "family" : "Klein", "given" : "M", "non-dropping-particle" : "", "parse-names" : false, "suffix" : "" }, { "dropping-particle" : "", "family" : "Prestage", "given" : "G", "non-dropping-particle" : "", "parse-names" : false, "suffix" : "" }, { "dropping-particle" : "", "family" : "Jin", "given" : "F", "non-dropping-particle" : "", "parse-names" : false, "suffix" : "" }, { "dropping-particle" : "", "family" : "Bavinton", "given" : "B", "non-dropping-particle" : "", "parse-names" : false, "suffix" : "" }, { "dropping-particle" : "", "family" : "Scott", "given" : "SA", "non-dropping-particle" : "", "parse-names" : false, "suffix" : "" }, { "dropping-particle" : "", "family" : "Hurley", "given" : "M", "non-dropping-particle" : "", "parse-names" : false, "suffix" : "" }, { "dropping-particle" : "", "family" : "Morris", "given" : "M", "non-dropping-particle" : "", "parse-names" : false, "suffix" : "" }, { "dropping-particle" : "", "family" : "Zavisca", "given" : "J", "non-dropping-particle" : "", "parse-names" : false, "suffix" : "" }, { "dropping-particle" : "", "family" : "Dean", "given" : "L", "non-dropping-particle" : "", "parse-names" : false, "suffix" : "" }, { "dropping-particle" : "", "family" : "Jin", "given" : "F", "non-dropping-particle" : "", "parse-names" : false, "suffix" : "" }, { "dropping-particle" : "", "family" : "Grulich", "given" : "AE", "non-dropping-particle" : "", "parse-names" : false, "suffix" : "" }, { "dropping-particle" : "", "family" : "Mao", "given" : "L", "non-dropping-particle" : "", "parse-names" : false, "suffix" : "" }, { "dropping-particle" : "", "family" : "Zablotska", "given" : "I", "non-dropping-particle" : "", "parse-names" : false, "suffix" : "" }, { "dropping-particle" : "", "family" : "O'Dwyer", "given" : "M", "non-dropping-particle" : "", "parse-names" : false, "suffix" : "" }, { "dropping-particle" : "", "family" : "Poynten", "given" : "M", "non-dropping-particle" : "", "parse-names" : false, "suffix" : "" }, { "dropping-particle" : "", "family" : "Joseph", "given" : "HA", "non-dropping-particle" : "", "parse-names" : false, "suffix" : "" }, { "dropping-particle" : "", "family" : "Marks", "given" : "G", "non-dropping-particle" : "", "parse-names" : false, "suffix" : "" }, { "dropping-particle" : "", "family" : "Belcher", "given" : "L", "non-dropping-particle" : "", "parse-names" : false, "suffix" : "" }, { "dropping-particle" : "", "family" : "Millett", "given" : "GA", "non-dropping-particle" : "", "parse-names" : false, "suffix" : "" }, { "dropping-particle" : "", "family" : "Stueve", "given" : "A", "non-dropping-particle" : "", "parse-names" : false, "suffix" : "" }, { "dropping-particle" : "", "family" : "Bingham", "given" : "TA", "non-dropping-particle" : "", "parse-names" : false, "suffix" : "" }, { "dropping-particle" : "", "family" : "Sullivan", "given" : "PS", "non-dropping-particle" : "", "parse-names" : false, "suffix" : "" }, { "dropping-particle" : "", "family" : "Salazar", "given" : "L", "non-dropping-particle" : "", "parse-names" : false, "suffix" : "" }, { "dropping-particle" : "", "family" : "Buchbinder", "given" : "S", "non-dropping-particle" : "", "parse-names" : false, "suffix" : "" }, { "dropping-particle" : "", "family" : "Sanchez", "given" : "TH", "non-dropping-particle" : "", "parse-names" : false, "suffix" : "" }, { "dropping-particle" : "", "family" : "Xia", "given" : "Q", "non-dropping-particle" : "", "parse-names" : false, "suffix" : "" }, { "dropping-particle" : "", "family" : "Molitor", "given" : "F", "non-dropping-particle" : "", "parse-names" : false, "suffix" : "" }, { "dropping-particle" : "", "family" : "Osmond", "given" : "DH", "non-dropping-particle" : "", "parse-names" : false, "suffix" : "" }, { "dropping-particle" : "", "family" : "Tholandi", "given" : "M", "non-dropping-particle" : "", "parse-names" : false, "suffix" : "" }, { "dropping-particle" : "", "family" : "Pollack", "given" : "LM", "non-dropping-particle" : "", "parse-names" : false, "suffix" : "" }, { "dropping-particle" : "", "family" : "Ruiz", "given" : "JD", "non-dropping-particle" : "", "parse-names" : false, "suffix" : "" }, { "dropping-particle" : "", "family" : "Bingham", "given" : "TA", "non-dropping-particle" : "", "parse-names" : false, "suffix" : "" }, { "dropping-particle" : "", "family" : "Harawa", "given" : "NT", "non-dropping-particle" : "", "parse-names" : false, "suffix" : "" }, { "dropping-particle" : "", "family" : "Johnson", "given" : "DF", "non-dropping-particle" : "", "parse-names" : false, "suffix" : "" }, { "dropping-particle" : "", "family" : "Secura", "given" : "GM", "non-dropping-particle" : "", "parse-names" : false, "suffix" : "" }, { "dropping-particle" : "", "family" : "MacKellar", "given" : "DA", "non-dropping-particle" : "", "parse-names" : false, "suffix" : "" }, { "dropping-particle" : "", "family" : "Valleroy", "given" : "LA", "non-dropping-particle" : "", "parse-names" : false, "suffix" : "" }, { "dropping-particle" : "", "family" : "Newcomb", "given" : "ME", "non-dropping-particle" : "", "parse-names" : false, "suffix" : "" }, { "dropping-particle" : "", "family" : "Mustanski", "given" : "B", "non-dropping-particle" : "", "parse-names" : false, "suffix" : "" }, { "dropping-particle" : "", "family" : "Prejean", "given" : "J", "non-dropping-particle" : "", "parse-names" : false, "suffix" : "" }, { "dropping-particle" : "", "family" : "Tang", "given" : "T", "non-dropping-particle" : "", "parse-names" : false, "suffix" : "" }, { "dropping-particle" : "", "family" : "Hall", "given" : "HI", "non-dropping-particle" : "", "parse-names" : false, "suffix" : "" } ], "container-title" : "PLOS ONE", "editor" : [ { "dropping-particle" : "", "family" : "Prestage", "given" : "Garrett", "non-dropping-particle" : "", "parse-names" : false, "suffix" : "" } ], "id" : "ITEM-2", "issue" : "6", "issued" : { "date-parts" : [ [ "2015", "6" ] ] }, "page" : "e0129877", "publisher" : "Public Library of Science", "title" : "Disassortative Age-Mixing Does Not Explain Differences in HIV Prevalence between Young White and Black MSM: Findings from Four Studies", "type" : "article-journal", "volume" : "10" }, "uris" : [ "http://www.mendeley.com/documents/?uuid=d4c91b37-fafc-355c-85f4-29d534e86c56", "http://www.mendeley.com/documents/?uuid=ca240fba-f681-4fba-953d-056423f9cc5f" ] } ], "mendeley" : { "formattedCitation" : "&lt;sup&gt;12,13&lt;/sup&gt;", "plainTextFormattedCitation" : "12,13", "previouslyFormattedCitation" : "&lt;sup&gt;12,13&lt;/sup&gt;"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12,13</w:t>
      </w:r>
      <w:r w:rsidRPr="0024409C">
        <w:rPr>
          <w:rFonts w:ascii="Helvetica Neue" w:hAnsi="Helvetica Neue"/>
          <w:noProof/>
          <w:vertAlign w:val="superscript"/>
        </w:rPr>
        <w:fldChar w:fldCharType="end"/>
      </w:r>
      <w:r w:rsidRPr="0024409C">
        <w:rPr>
          <w:rFonts w:ascii="Helvetica Neue" w:hAnsi="Helvetica Neue"/>
        </w:rPr>
        <w:t xml:space="preserve"> Predictors included the type of relationship, the HIV diagnosis status of the HIV+ partner (i.e. whether or not he himself knew that he was HIV+), and the disclosure status of the HIV+ partner (whether </w:t>
      </w:r>
      <w:r w:rsidRPr="0024409C">
        <w:rPr>
          <w:rFonts w:ascii="Helvetica Neue" w:hAnsi="Helvetica Neue"/>
        </w:rPr>
        <w:lastRenderedPageBreak/>
        <w:t>he had told his partner he was HIV+). Predictors that dropped out of the model included sexual position and perceived monogamy of the partnership.</w:t>
      </w:r>
    </w:p>
    <w:p w14:paraId="32D28063" w14:textId="68E556F1" w:rsidR="00551434" w:rsidRPr="0024409C" w:rsidRDefault="009B3BB0" w:rsidP="009B3BB0">
      <w:pPr>
        <w:spacing w:before="120" w:after="180" w:line="360" w:lineRule="auto"/>
        <w:rPr>
          <w:rFonts w:ascii="Helvetica Neue" w:hAnsi="Helvetica Neue"/>
        </w:rPr>
      </w:pPr>
      <w:r w:rsidRPr="0024409C">
        <w:rPr>
          <w:rFonts w:ascii="Helvetica Neue" w:hAnsi="Helvetica Neue"/>
        </w:rPr>
        <w:t xml:space="preserve">Base model coefficients for the nine race/partnership types were defined as </w:t>
      </w:r>
      <w:proofErr w:type="gramStart"/>
      <w:r w:rsidRPr="0024409C">
        <w:rPr>
          <w:rFonts w:ascii="Helvetica Neue" w:hAnsi="Helvetica Neue"/>
          <w:i/>
        </w:rPr>
        <w:t>logit</w:t>
      </w:r>
      <w:r w:rsidRPr="0024409C">
        <w:rPr>
          <w:rFonts w:ascii="Helvetica Neue" w:hAnsi="Helvetica Neue"/>
        </w:rPr>
        <w:t>(</w:t>
      </w:r>
      <w:proofErr w:type="gramEnd"/>
      <w:r w:rsidR="005968E9" w:rsidRPr="0024409C">
        <w:rPr>
          <w:rFonts w:ascii="Helvetica Neue" w:hAnsi="Helvetica Neue"/>
        </w:rPr>
        <w:t>P(condom use</w:t>
      </w:r>
      <w:r w:rsidR="00E747A6" w:rsidRPr="0024409C">
        <w:rPr>
          <w:rFonts w:ascii="Helvetica Neue" w:hAnsi="Helvetica Neue"/>
        </w:rPr>
        <w:t xml:space="preserve"> </w:t>
      </w:r>
      <w:r w:rsidR="005968E9" w:rsidRPr="0024409C">
        <w:rPr>
          <w:rFonts w:ascii="Helvetica Neue" w:hAnsi="Helvetica Neue"/>
        </w:rPr>
        <w:t>|</w:t>
      </w:r>
      <w:r w:rsidR="00E747A6" w:rsidRPr="0024409C">
        <w:rPr>
          <w:rFonts w:ascii="Helvetica Neue" w:hAnsi="Helvetica Neue"/>
        </w:rPr>
        <w:t xml:space="preserve"> </w:t>
      </w:r>
      <w:r w:rsidR="005968E9" w:rsidRPr="0024409C">
        <w:rPr>
          <w:rFonts w:ascii="Helvetica Neue" w:hAnsi="Helvetica Neue"/>
        </w:rPr>
        <w:t>anal intercourse):</w:t>
      </w:r>
      <w:r w:rsidRPr="0024409C">
        <w:rPr>
          <w:rFonts w:ascii="Helvetica Neue" w:hAnsi="Helvetica Neue"/>
        </w:rPr>
        <w:t xml:space="preserve"> </w:t>
      </w:r>
    </w:p>
    <w:p w14:paraId="414558C2" w14:textId="77777777" w:rsidR="00F258D5" w:rsidRPr="0024409C" w:rsidRDefault="00F258D5" w:rsidP="009B3BB0">
      <w:pPr>
        <w:spacing w:before="120" w:after="180" w:line="360" w:lineRule="auto"/>
        <w:rPr>
          <w:rFonts w:ascii="Helvetica Neue" w:hAnsi="Helvetica Neue"/>
        </w:rPr>
      </w:pPr>
    </w:p>
    <w:tbl>
      <w:tblPr>
        <w:tblStyle w:val="TableGrid"/>
        <w:tblW w:w="3600" w:type="dxa"/>
        <w:jc w:val="center"/>
        <w:tblLook w:val="04A0" w:firstRow="1" w:lastRow="0" w:firstColumn="1" w:lastColumn="0" w:noHBand="0" w:noVBand="1"/>
      </w:tblPr>
      <w:tblGrid>
        <w:gridCol w:w="2250"/>
        <w:gridCol w:w="1350"/>
      </w:tblGrid>
      <w:tr w:rsidR="009B3BB0" w:rsidRPr="0024409C" w14:paraId="5FDD9840" w14:textId="77777777" w:rsidTr="00A2582E">
        <w:trPr>
          <w:trHeight w:val="389"/>
          <w:jc w:val="center"/>
        </w:trPr>
        <w:tc>
          <w:tcPr>
            <w:tcW w:w="2250" w:type="dxa"/>
            <w:shd w:val="clear" w:color="auto" w:fill="D9D9D9" w:themeFill="background1" w:themeFillShade="D9"/>
            <w:vAlign w:val="center"/>
          </w:tcPr>
          <w:p w14:paraId="7F743BB7" w14:textId="77777777" w:rsidR="009B3BB0" w:rsidRPr="0024409C" w:rsidRDefault="009B3BB0" w:rsidP="00A2582E">
            <w:pPr>
              <w:rPr>
                <w:rFonts w:ascii="Helvetica Neue" w:hAnsi="Helvetica Neue"/>
                <w:sz w:val="18"/>
              </w:rPr>
            </w:pPr>
          </w:p>
        </w:tc>
        <w:tc>
          <w:tcPr>
            <w:tcW w:w="1350" w:type="dxa"/>
            <w:shd w:val="clear" w:color="auto" w:fill="D9D9D9" w:themeFill="background1" w:themeFillShade="D9"/>
            <w:vAlign w:val="center"/>
          </w:tcPr>
          <w:p w14:paraId="2923DCE2" w14:textId="77777777" w:rsidR="009B3BB0" w:rsidRPr="0024409C" w:rsidRDefault="009B3BB0" w:rsidP="00A2582E">
            <w:pPr>
              <w:jc w:val="center"/>
              <w:rPr>
                <w:rFonts w:ascii="Helvetica Neue" w:hAnsi="Helvetica Neue"/>
                <w:b/>
                <w:sz w:val="18"/>
              </w:rPr>
            </w:pPr>
            <w:r w:rsidRPr="0024409C">
              <w:rPr>
                <w:rFonts w:ascii="Helvetica Neue" w:hAnsi="Helvetica Neue"/>
                <w:b/>
                <w:sz w:val="18"/>
              </w:rPr>
              <w:t>Coefficient</w:t>
            </w:r>
          </w:p>
        </w:tc>
      </w:tr>
      <w:tr w:rsidR="009B3BB0" w:rsidRPr="0024409C" w14:paraId="46B7D7AD" w14:textId="77777777" w:rsidTr="00A2582E">
        <w:trPr>
          <w:trHeight w:val="389"/>
          <w:jc w:val="center"/>
        </w:trPr>
        <w:tc>
          <w:tcPr>
            <w:tcW w:w="2250" w:type="dxa"/>
            <w:vAlign w:val="center"/>
          </w:tcPr>
          <w:p w14:paraId="5326BA66" w14:textId="77777777" w:rsidR="009B3BB0" w:rsidRPr="0024409C" w:rsidRDefault="009B3BB0" w:rsidP="00A2582E">
            <w:pPr>
              <w:rPr>
                <w:rFonts w:ascii="Helvetica Neue" w:hAnsi="Helvetica Neue"/>
                <w:sz w:val="18"/>
              </w:rPr>
            </w:pPr>
            <w:r w:rsidRPr="0024409C">
              <w:rPr>
                <w:rFonts w:ascii="Helvetica Neue" w:hAnsi="Helvetica Neue"/>
                <w:sz w:val="18"/>
              </w:rPr>
              <w:t>Main partnership</w:t>
            </w:r>
          </w:p>
        </w:tc>
        <w:tc>
          <w:tcPr>
            <w:tcW w:w="1350" w:type="dxa"/>
            <w:vAlign w:val="center"/>
          </w:tcPr>
          <w:p w14:paraId="0FC9AB28" w14:textId="77777777" w:rsidR="009B3BB0" w:rsidRPr="0024409C" w:rsidRDefault="009B3BB0" w:rsidP="00A2582E">
            <w:pPr>
              <w:jc w:val="center"/>
              <w:rPr>
                <w:rFonts w:ascii="Helvetica Neue" w:hAnsi="Helvetica Neue"/>
                <w:sz w:val="18"/>
              </w:rPr>
            </w:pPr>
            <w:r w:rsidRPr="0024409C">
              <w:rPr>
                <w:rFonts w:ascii="Helvetica Neue" w:hAnsi="Helvetica Neue"/>
                <w:sz w:val="18"/>
              </w:rPr>
              <w:t>-1.325</w:t>
            </w:r>
          </w:p>
        </w:tc>
      </w:tr>
      <w:tr w:rsidR="009B3BB0" w:rsidRPr="0024409C" w14:paraId="553BC2AF" w14:textId="77777777" w:rsidTr="00A2582E">
        <w:trPr>
          <w:trHeight w:val="389"/>
          <w:jc w:val="center"/>
        </w:trPr>
        <w:tc>
          <w:tcPr>
            <w:tcW w:w="2250" w:type="dxa"/>
            <w:vAlign w:val="center"/>
          </w:tcPr>
          <w:p w14:paraId="15D9DFE4" w14:textId="77777777" w:rsidR="009B3BB0" w:rsidRPr="0024409C" w:rsidRDefault="009B3BB0" w:rsidP="00A2582E">
            <w:pPr>
              <w:rPr>
                <w:rFonts w:ascii="Helvetica Neue" w:hAnsi="Helvetica Neue"/>
                <w:sz w:val="18"/>
              </w:rPr>
            </w:pPr>
            <w:r w:rsidRPr="0024409C">
              <w:rPr>
                <w:rFonts w:ascii="Helvetica Neue" w:hAnsi="Helvetica Neue"/>
                <w:sz w:val="18"/>
              </w:rPr>
              <w:t>Casual partnership</w:t>
            </w:r>
          </w:p>
        </w:tc>
        <w:tc>
          <w:tcPr>
            <w:tcW w:w="1350" w:type="dxa"/>
            <w:vAlign w:val="center"/>
          </w:tcPr>
          <w:p w14:paraId="626EF1B6" w14:textId="77777777" w:rsidR="009B3BB0" w:rsidRPr="0024409C" w:rsidRDefault="009B3BB0" w:rsidP="00A2582E">
            <w:pPr>
              <w:jc w:val="center"/>
              <w:rPr>
                <w:rFonts w:ascii="Helvetica Neue" w:hAnsi="Helvetica Neue"/>
                <w:sz w:val="18"/>
              </w:rPr>
            </w:pPr>
            <w:r w:rsidRPr="0024409C">
              <w:rPr>
                <w:rFonts w:ascii="Helvetica Neue" w:hAnsi="Helvetica Neue"/>
                <w:sz w:val="18"/>
              </w:rPr>
              <w:t>-1.046</w:t>
            </w:r>
          </w:p>
        </w:tc>
      </w:tr>
      <w:tr w:rsidR="009B3BB0" w:rsidRPr="0024409C" w14:paraId="65D8DF43" w14:textId="77777777" w:rsidTr="00A2582E">
        <w:trPr>
          <w:trHeight w:val="389"/>
          <w:jc w:val="center"/>
        </w:trPr>
        <w:tc>
          <w:tcPr>
            <w:tcW w:w="2250" w:type="dxa"/>
            <w:vAlign w:val="center"/>
          </w:tcPr>
          <w:p w14:paraId="70A89F2B" w14:textId="77777777" w:rsidR="009B3BB0" w:rsidRPr="0024409C" w:rsidRDefault="009B3BB0" w:rsidP="00A2582E">
            <w:pPr>
              <w:rPr>
                <w:rFonts w:ascii="Helvetica Neue" w:hAnsi="Helvetica Neue"/>
                <w:sz w:val="18"/>
              </w:rPr>
            </w:pPr>
            <w:r w:rsidRPr="0024409C">
              <w:rPr>
                <w:rFonts w:ascii="Helvetica Neue" w:hAnsi="Helvetica Neue"/>
                <w:sz w:val="18"/>
              </w:rPr>
              <w:t>One-time contact</w:t>
            </w:r>
          </w:p>
        </w:tc>
        <w:tc>
          <w:tcPr>
            <w:tcW w:w="1350" w:type="dxa"/>
            <w:vAlign w:val="center"/>
          </w:tcPr>
          <w:p w14:paraId="0FEF2E88" w14:textId="77777777" w:rsidR="009B3BB0" w:rsidRPr="0024409C" w:rsidRDefault="009B3BB0" w:rsidP="00A2582E">
            <w:pPr>
              <w:jc w:val="center"/>
              <w:rPr>
                <w:rFonts w:ascii="Helvetica Neue" w:hAnsi="Helvetica Neue"/>
                <w:sz w:val="18"/>
              </w:rPr>
            </w:pPr>
            <w:r w:rsidRPr="0024409C">
              <w:rPr>
                <w:rFonts w:ascii="Helvetica Neue" w:hAnsi="Helvetica Neue"/>
                <w:sz w:val="18"/>
              </w:rPr>
              <w:t>-1.008</w:t>
            </w:r>
          </w:p>
        </w:tc>
      </w:tr>
    </w:tbl>
    <w:p w14:paraId="4BF9EE99" w14:textId="77777777" w:rsidR="009B3BB0" w:rsidRPr="0024409C" w:rsidRDefault="009B3BB0" w:rsidP="009B3BB0">
      <w:pPr>
        <w:spacing w:before="240" w:after="180" w:line="360" w:lineRule="auto"/>
        <w:rPr>
          <w:rFonts w:ascii="Helvetica Neue" w:hAnsi="Helvetica Neue"/>
        </w:rPr>
      </w:pPr>
      <w:r w:rsidRPr="0024409C">
        <w:rPr>
          <w:rFonts w:ascii="Helvetica Neue" w:hAnsi="Helvetica Neue"/>
        </w:rPr>
        <w:t>Note that for these, the reference category is the case in which the HIV+ man is undiagnosed, hence the relatively low values of condom use. Modifiers for these logit coefficients are:</w:t>
      </w:r>
    </w:p>
    <w:tbl>
      <w:tblPr>
        <w:tblStyle w:val="TableGrid"/>
        <w:tblW w:w="3849" w:type="dxa"/>
        <w:jc w:val="center"/>
        <w:tblLook w:val="04A0" w:firstRow="1" w:lastRow="0" w:firstColumn="1" w:lastColumn="0" w:noHBand="0" w:noVBand="1"/>
      </w:tblPr>
      <w:tblGrid>
        <w:gridCol w:w="2696"/>
        <w:gridCol w:w="1153"/>
      </w:tblGrid>
      <w:tr w:rsidR="009B3BB0" w:rsidRPr="0024409C" w14:paraId="0817B394" w14:textId="77777777" w:rsidTr="00A2582E">
        <w:trPr>
          <w:trHeight w:val="389"/>
          <w:jc w:val="center"/>
        </w:trPr>
        <w:tc>
          <w:tcPr>
            <w:tcW w:w="2970" w:type="dxa"/>
            <w:shd w:val="clear" w:color="auto" w:fill="D9D9D9" w:themeFill="background1" w:themeFillShade="D9"/>
            <w:vAlign w:val="center"/>
          </w:tcPr>
          <w:p w14:paraId="4E433494" w14:textId="77777777" w:rsidR="009B3BB0" w:rsidRPr="0024409C" w:rsidRDefault="009B3BB0" w:rsidP="00A2582E">
            <w:pPr>
              <w:ind w:right="342"/>
              <w:rPr>
                <w:rFonts w:ascii="Helvetica Neue" w:hAnsi="Helvetica Neue"/>
                <w:b/>
                <w:sz w:val="18"/>
                <w:szCs w:val="20"/>
              </w:rPr>
            </w:pPr>
            <w:r w:rsidRPr="0024409C">
              <w:rPr>
                <w:rFonts w:ascii="Helvetica Neue" w:hAnsi="Helvetica Neue"/>
                <w:b/>
                <w:sz w:val="18"/>
                <w:szCs w:val="20"/>
              </w:rPr>
              <w:t>Condition</w:t>
            </w:r>
          </w:p>
        </w:tc>
        <w:tc>
          <w:tcPr>
            <w:tcW w:w="879" w:type="dxa"/>
            <w:shd w:val="clear" w:color="auto" w:fill="D9D9D9" w:themeFill="background1" w:themeFillShade="D9"/>
            <w:vAlign w:val="center"/>
          </w:tcPr>
          <w:p w14:paraId="0344F92C" w14:textId="77777777" w:rsidR="009B3BB0" w:rsidRPr="0024409C" w:rsidRDefault="009B3BB0" w:rsidP="00A2582E">
            <w:pPr>
              <w:jc w:val="center"/>
              <w:rPr>
                <w:rFonts w:ascii="Helvetica Neue" w:hAnsi="Helvetica Neue"/>
                <w:b/>
                <w:sz w:val="18"/>
                <w:szCs w:val="20"/>
              </w:rPr>
            </w:pPr>
            <w:r w:rsidRPr="0024409C">
              <w:rPr>
                <w:rFonts w:ascii="Helvetica Neue" w:hAnsi="Helvetica Neue"/>
                <w:b/>
                <w:sz w:val="18"/>
                <w:szCs w:val="20"/>
              </w:rPr>
              <w:t>Coefficient</w:t>
            </w:r>
          </w:p>
        </w:tc>
      </w:tr>
      <w:tr w:rsidR="009B3BB0" w:rsidRPr="0024409C" w14:paraId="026E675B" w14:textId="77777777" w:rsidTr="00A2582E">
        <w:trPr>
          <w:trHeight w:val="389"/>
          <w:jc w:val="center"/>
        </w:trPr>
        <w:tc>
          <w:tcPr>
            <w:tcW w:w="2970" w:type="dxa"/>
            <w:vAlign w:val="center"/>
          </w:tcPr>
          <w:p w14:paraId="1050D6CA" w14:textId="77777777" w:rsidR="009B3BB0" w:rsidRPr="0024409C" w:rsidRDefault="009B3BB0" w:rsidP="00A2582E">
            <w:pPr>
              <w:ind w:right="342"/>
              <w:rPr>
                <w:rFonts w:ascii="Helvetica Neue" w:hAnsi="Helvetica Neue"/>
                <w:sz w:val="18"/>
                <w:szCs w:val="20"/>
              </w:rPr>
            </w:pPr>
            <w:r w:rsidRPr="0024409C">
              <w:rPr>
                <w:rFonts w:ascii="Helvetica Neue" w:hAnsi="Helvetica Neue"/>
                <w:sz w:val="18"/>
                <w:szCs w:val="20"/>
              </w:rPr>
              <w:t>HIV+ diagnosis</w:t>
            </w:r>
          </w:p>
        </w:tc>
        <w:tc>
          <w:tcPr>
            <w:tcW w:w="879" w:type="dxa"/>
            <w:vAlign w:val="center"/>
          </w:tcPr>
          <w:p w14:paraId="084CB953" w14:textId="77777777" w:rsidR="009B3BB0" w:rsidRPr="0024409C" w:rsidRDefault="009B3BB0" w:rsidP="00A2582E">
            <w:pPr>
              <w:jc w:val="center"/>
              <w:rPr>
                <w:rFonts w:ascii="Helvetica Neue" w:hAnsi="Helvetica Neue"/>
                <w:sz w:val="18"/>
                <w:szCs w:val="20"/>
              </w:rPr>
            </w:pPr>
            <w:r w:rsidRPr="0024409C">
              <w:rPr>
                <w:rFonts w:ascii="Helvetica Neue" w:hAnsi="Helvetica Neue"/>
                <w:sz w:val="18"/>
                <w:szCs w:val="20"/>
              </w:rPr>
              <w:t>0.670</w:t>
            </w:r>
          </w:p>
        </w:tc>
      </w:tr>
      <w:tr w:rsidR="009B3BB0" w:rsidRPr="0024409C" w14:paraId="7859658D" w14:textId="77777777" w:rsidTr="00A2582E">
        <w:trPr>
          <w:trHeight w:val="389"/>
          <w:jc w:val="center"/>
        </w:trPr>
        <w:tc>
          <w:tcPr>
            <w:tcW w:w="2970" w:type="dxa"/>
            <w:vAlign w:val="center"/>
          </w:tcPr>
          <w:p w14:paraId="607FC0BF" w14:textId="77777777" w:rsidR="009B3BB0" w:rsidRPr="0024409C" w:rsidRDefault="009B3BB0" w:rsidP="00A2582E">
            <w:pPr>
              <w:ind w:right="342"/>
              <w:rPr>
                <w:rFonts w:ascii="Helvetica Neue" w:hAnsi="Helvetica Neue"/>
                <w:sz w:val="18"/>
                <w:szCs w:val="20"/>
              </w:rPr>
            </w:pPr>
            <w:r w:rsidRPr="0024409C">
              <w:rPr>
                <w:rFonts w:ascii="Helvetica Neue" w:hAnsi="Helvetica Neue"/>
                <w:sz w:val="18"/>
                <w:szCs w:val="20"/>
              </w:rPr>
              <w:t>HIV+ status disclosure</w:t>
            </w:r>
          </w:p>
        </w:tc>
        <w:tc>
          <w:tcPr>
            <w:tcW w:w="879" w:type="dxa"/>
            <w:vAlign w:val="center"/>
          </w:tcPr>
          <w:p w14:paraId="201247CE" w14:textId="77777777" w:rsidR="009B3BB0" w:rsidRPr="0024409C" w:rsidRDefault="009B3BB0" w:rsidP="00A2582E">
            <w:pPr>
              <w:jc w:val="center"/>
              <w:rPr>
                <w:rFonts w:ascii="Helvetica Neue" w:hAnsi="Helvetica Neue"/>
                <w:sz w:val="18"/>
                <w:szCs w:val="20"/>
              </w:rPr>
            </w:pPr>
            <w:r w:rsidRPr="0024409C">
              <w:rPr>
                <w:rFonts w:ascii="Helvetica Neue" w:hAnsi="Helvetica Neue"/>
                <w:sz w:val="18"/>
                <w:szCs w:val="20"/>
              </w:rPr>
              <w:t>0.850</w:t>
            </w:r>
          </w:p>
        </w:tc>
      </w:tr>
    </w:tbl>
    <w:p w14:paraId="1899C983" w14:textId="046C88E6" w:rsidR="009B3BB0" w:rsidRPr="0024409C" w:rsidRDefault="009B3BB0" w:rsidP="009B3BB0">
      <w:pPr>
        <w:spacing w:before="240" w:line="360" w:lineRule="auto"/>
        <w:rPr>
          <w:rFonts w:ascii="Helvetica Neue" w:hAnsi="Helvetica Neue"/>
        </w:rPr>
      </w:pPr>
      <w:r w:rsidRPr="0024409C">
        <w:rPr>
          <w:rFonts w:ascii="Helvetica Neue" w:hAnsi="Helvetica Neue"/>
        </w:rPr>
        <w:t>Together, these values, in combination with the frequencies with which AI occurs in all of the different types of situations,</w:t>
      </w:r>
      <w:r w:rsidR="00D2486C" w:rsidRPr="0024409C">
        <w:rPr>
          <w:rFonts w:ascii="Helvetica Neue" w:hAnsi="Helvetica Neue"/>
        </w:rPr>
        <w:t xml:space="preserve"> impl</w:t>
      </w:r>
      <w:r w:rsidR="00092E55" w:rsidRPr="0024409C">
        <w:rPr>
          <w:rFonts w:ascii="Helvetica Neue" w:hAnsi="Helvetica Neue"/>
        </w:rPr>
        <w:t>y</w:t>
      </w:r>
      <w:r w:rsidRPr="0024409C">
        <w:rPr>
          <w:rFonts w:ascii="Helvetica Neue" w:hAnsi="Helvetica Neue"/>
        </w:rPr>
        <w:t xml:space="preserve"> an overall rate of condom use of approximately 50% across all acts.</w:t>
      </w:r>
      <w:r w:rsidR="00AF456C" w:rsidRPr="0024409C">
        <w:rPr>
          <w:rFonts w:ascii="Helvetica Neue" w:hAnsi="Helvetica Neue"/>
        </w:rPr>
        <w:t xml:space="preserve"> The rates of condom use were assumed to be stable over the course of a given partnership, but condom usage was stochastic at each time step within that partnership.</w:t>
      </w:r>
      <w:r w:rsidR="00EE14D5" w:rsidRPr="0024409C">
        <w:rPr>
          <w:rFonts w:ascii="Helvetica Neue" w:hAnsi="Helvetica Neue"/>
        </w:rPr>
        <w:t xml:space="preserve"> Differential condom usage rates by partnership type may capture effects of lower condom use that may occur in longer-term partnerships, but </w:t>
      </w:r>
      <w:r w:rsidR="008C5199" w:rsidRPr="0024409C">
        <w:rPr>
          <w:rFonts w:ascii="Helvetica Neue" w:hAnsi="Helvetica Neue"/>
        </w:rPr>
        <w:t>subsequent models will extend this model framework to incorporate network-related data to capture temporal trends in condom usage within each type of partnership.</w:t>
      </w:r>
    </w:p>
    <w:p w14:paraId="5ED460A8" w14:textId="5B157B43" w:rsidR="009B3BB0" w:rsidRPr="0024409C" w:rsidRDefault="00273CDD" w:rsidP="009B3BB0">
      <w:pPr>
        <w:pStyle w:val="Heading2"/>
        <w:rPr>
          <w:rFonts w:ascii="Helvetica Neue" w:hAnsi="Helvetica Neue"/>
          <w:szCs w:val="22"/>
        </w:rPr>
      </w:pPr>
      <w:bookmarkStart w:id="12" w:name="_Toc522270404"/>
      <w:r w:rsidRPr="0024409C">
        <w:rPr>
          <w:rFonts w:ascii="Helvetica Neue" w:hAnsi="Helvetica Neue"/>
          <w:szCs w:val="22"/>
        </w:rPr>
        <w:t>3</w:t>
      </w:r>
      <w:r w:rsidR="009B3BB0" w:rsidRPr="0024409C">
        <w:rPr>
          <w:rFonts w:ascii="Helvetica Neue" w:hAnsi="Helvetica Neue"/>
          <w:szCs w:val="22"/>
        </w:rPr>
        <w:t xml:space="preserve">.4 </w:t>
      </w:r>
      <w:r w:rsidR="009B3BB0" w:rsidRPr="0024409C">
        <w:rPr>
          <w:rFonts w:ascii="Helvetica Neue" w:hAnsi="Helvetica Neue"/>
          <w:szCs w:val="22"/>
        </w:rPr>
        <w:tab/>
        <w:t xml:space="preserve">Sexual </w:t>
      </w:r>
      <w:r w:rsidR="007A6506" w:rsidRPr="0024409C">
        <w:rPr>
          <w:rFonts w:ascii="Helvetica Neue" w:hAnsi="Helvetica Neue"/>
          <w:szCs w:val="22"/>
        </w:rPr>
        <w:t>R</w:t>
      </w:r>
      <w:r w:rsidR="009B3BB0" w:rsidRPr="0024409C">
        <w:rPr>
          <w:rFonts w:ascii="Helvetica Neue" w:hAnsi="Helvetica Neue"/>
          <w:szCs w:val="22"/>
        </w:rPr>
        <w:t>ole</w:t>
      </w:r>
      <w:bookmarkEnd w:id="12"/>
    </w:p>
    <w:p w14:paraId="148D0478" w14:textId="0E22BE84" w:rsidR="009B3BB0" w:rsidRPr="0024409C" w:rsidRDefault="009B3BB0" w:rsidP="009B3BB0">
      <w:pPr>
        <w:spacing w:line="360" w:lineRule="auto"/>
        <w:rPr>
          <w:rFonts w:ascii="Helvetica Neue" w:hAnsi="Helvetica Neue"/>
        </w:rPr>
      </w:pPr>
      <w:r w:rsidRPr="0024409C">
        <w:rPr>
          <w:rFonts w:ascii="Helvetica Neue" w:hAnsi="Helvetica Neue"/>
        </w:rPr>
        <w:t xml:space="preserve">Men are assigned an individual sexual role preference (exclusively insertive, exclusively receptive, or versatile) as described in Section </w:t>
      </w:r>
      <w:r w:rsidR="00C5656A" w:rsidRPr="0024409C">
        <w:rPr>
          <w:rFonts w:ascii="Helvetica Neue" w:hAnsi="Helvetica Neue"/>
        </w:rPr>
        <w:t>2</w:t>
      </w:r>
      <w:r w:rsidRPr="0024409C">
        <w:rPr>
          <w:rFonts w:ascii="Helvetica Neue" w:hAnsi="Helvetica Neue"/>
        </w:rPr>
        <w:t>.1.</w:t>
      </w:r>
      <w:r w:rsidR="00FC3BA6" w:rsidRPr="0024409C">
        <w:rPr>
          <w:rFonts w:ascii="Helvetica Neue" w:hAnsi="Helvetica Neue"/>
        </w:rPr>
        <w:t>5</w:t>
      </w:r>
      <w:r w:rsidRPr="0024409C">
        <w:rPr>
          <w:rFonts w:ascii="Helvetica Neue" w:hAnsi="Helvetica Neue"/>
        </w:rPr>
        <w:t xml:space="preserve">. Relationships between two exclusively insertive or two exclusively receptive men are prohibited via the ERGM and STERGM models. Versatile men are further assigned an </w:t>
      </w:r>
      <w:proofErr w:type="spellStart"/>
      <w:r w:rsidRPr="0024409C">
        <w:rPr>
          <w:rFonts w:ascii="Helvetica Neue" w:hAnsi="Helvetica Neue"/>
        </w:rPr>
        <w:t>insertivity</w:t>
      </w:r>
      <w:proofErr w:type="spellEnd"/>
      <w:r w:rsidRPr="0024409C">
        <w:rPr>
          <w:rFonts w:ascii="Helvetica Neue" w:hAnsi="Helvetica Neue"/>
        </w:rPr>
        <w:t xml:space="preserve"> preference drawn from a uniform distribution between 0 and 1. When two versatile men are determined to have an AI act, their sexual positions must be determined (all other combinations have only one feasible combination). One </w:t>
      </w:r>
      <w:r w:rsidRPr="0024409C">
        <w:rPr>
          <w:rFonts w:ascii="Helvetica Neue" w:hAnsi="Helvetica Neue"/>
        </w:rPr>
        <w:lastRenderedPageBreak/>
        <w:t xml:space="preserve">option is for men to engage in intra-event versatility (IEV; i.e. both engage in insertive and receptive AI during the act). The probability of this is 49%, and is derived from the partner-specific role data described in Section </w:t>
      </w:r>
      <w:r w:rsidR="006B3C35" w:rsidRPr="0024409C">
        <w:rPr>
          <w:rFonts w:ascii="Helvetica Neue" w:hAnsi="Helvetica Neue"/>
        </w:rPr>
        <w:t>2</w:t>
      </w:r>
      <w:r w:rsidRPr="0024409C">
        <w:rPr>
          <w:rFonts w:ascii="Helvetica Neue" w:hAnsi="Helvetica Neue"/>
        </w:rPr>
        <w:t>.1.</w:t>
      </w:r>
      <w:r w:rsidR="006B3C35" w:rsidRPr="0024409C">
        <w:rPr>
          <w:rFonts w:ascii="Helvetica Neue" w:hAnsi="Helvetica Neue"/>
        </w:rPr>
        <w:t>5</w:t>
      </w:r>
      <w:r w:rsidRPr="0024409C">
        <w:rPr>
          <w:rFonts w:ascii="Helvetica Neue" w:hAnsi="Helvetica Neue"/>
        </w:rPr>
        <w:t xml:space="preserve">. If IEV does not occur, then each man’s probability of being the insertive partner equals his </w:t>
      </w:r>
      <w:proofErr w:type="spellStart"/>
      <w:r w:rsidRPr="0024409C">
        <w:rPr>
          <w:rFonts w:ascii="Helvetica Neue" w:hAnsi="Helvetica Neue"/>
        </w:rPr>
        <w:t>insertivity</w:t>
      </w:r>
      <w:proofErr w:type="spellEnd"/>
      <w:r w:rsidRPr="0024409C">
        <w:rPr>
          <w:rFonts w:ascii="Helvetica Neue" w:hAnsi="Helvetica Neue"/>
        </w:rPr>
        <w:t xml:space="preserve"> quotient divided by the sum of the two men’s </w:t>
      </w:r>
      <w:proofErr w:type="spellStart"/>
      <w:r w:rsidRPr="0024409C">
        <w:rPr>
          <w:rFonts w:ascii="Helvetica Neue" w:hAnsi="Helvetica Neue"/>
        </w:rPr>
        <w:t>insertivity</w:t>
      </w:r>
      <w:proofErr w:type="spellEnd"/>
      <w:r w:rsidRPr="0024409C">
        <w:rPr>
          <w:rFonts w:ascii="Helvetica Neue" w:hAnsi="Helvetica Neue"/>
        </w:rPr>
        <w:t xml:space="preserve"> quotients.</w:t>
      </w:r>
    </w:p>
    <w:p w14:paraId="40EED7C7" w14:textId="66DD4220" w:rsidR="009B3BB0" w:rsidRPr="0024409C" w:rsidRDefault="00273CDD" w:rsidP="002232EA">
      <w:pPr>
        <w:pStyle w:val="Heading1"/>
        <w:spacing w:before="300"/>
        <w:rPr>
          <w:rFonts w:ascii="Helvetica Neue" w:hAnsi="Helvetica Neue"/>
          <w:sz w:val="24"/>
          <w:szCs w:val="24"/>
        </w:rPr>
      </w:pPr>
      <w:bookmarkStart w:id="13" w:name="_Toc522270405"/>
      <w:r w:rsidRPr="0024409C">
        <w:rPr>
          <w:rFonts w:ascii="Helvetica Neue" w:hAnsi="Helvetica Neue"/>
          <w:sz w:val="24"/>
          <w:szCs w:val="24"/>
        </w:rPr>
        <w:t>4</w:t>
      </w:r>
      <w:r w:rsidR="009B3BB0" w:rsidRPr="0024409C">
        <w:rPr>
          <w:rFonts w:ascii="Helvetica Neue" w:hAnsi="Helvetica Neue"/>
          <w:sz w:val="24"/>
          <w:szCs w:val="24"/>
        </w:rPr>
        <w:tab/>
        <w:t>DEMOGRAPHY</w:t>
      </w:r>
      <w:bookmarkEnd w:id="13"/>
    </w:p>
    <w:p w14:paraId="25D8B60D" w14:textId="0F9380D8"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In this model, there are three demographic processes: entries, exits, and aging. Entries and exits are conceptualized as flows to and from the sexually active population of interest: MSM aged 18 to 40 years old. Entry into this population represents the time at which persons become at risk of infection via male-to-male sexual intercourse, and we model these flows as starting at an age after birth (age 18) and ending at an age potentially before death (age 40).</w:t>
      </w:r>
    </w:p>
    <w:p w14:paraId="05CCDDFA" w14:textId="4A4C119C" w:rsidR="009B3BB0" w:rsidRPr="0024409C" w:rsidRDefault="00273CDD" w:rsidP="009B3BB0">
      <w:pPr>
        <w:pStyle w:val="Heading2"/>
        <w:rPr>
          <w:rFonts w:ascii="Helvetica Neue" w:hAnsi="Helvetica Neue"/>
          <w:szCs w:val="22"/>
        </w:rPr>
      </w:pPr>
      <w:bookmarkStart w:id="14" w:name="_Toc522270406"/>
      <w:r w:rsidRPr="0024409C">
        <w:rPr>
          <w:rFonts w:ascii="Helvetica Neue" w:hAnsi="Helvetica Neue"/>
          <w:szCs w:val="22"/>
        </w:rPr>
        <w:t>4</w:t>
      </w:r>
      <w:r w:rsidR="009B3BB0" w:rsidRPr="0024409C">
        <w:rPr>
          <w:rFonts w:ascii="Helvetica Neue" w:hAnsi="Helvetica Neue"/>
          <w:szCs w:val="22"/>
        </w:rPr>
        <w:t>.1</w:t>
      </w:r>
      <w:r w:rsidR="009B3BB0" w:rsidRPr="0024409C">
        <w:rPr>
          <w:rFonts w:ascii="Helvetica Neue" w:hAnsi="Helvetica Neue"/>
          <w:szCs w:val="22"/>
        </w:rPr>
        <w:tab/>
        <w:t>Entry at Sexual Onset</w:t>
      </w:r>
      <w:bookmarkEnd w:id="14"/>
    </w:p>
    <w:p w14:paraId="1F6C7DB7" w14:textId="77777777"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All persons enter the network at age 18, which was the lower age boundary of our two main source studies. The number of new entries at each time step is based on a fixed rate (3 per 10,000 persons per weekly time step) that keeps the overall network size in a stable state over the time series of the simulations. The model parameter governing this rate was calibrated iteratively in order to generate simulations with a population size at equilibrium, given the inherent variability in population flows related to background mortality, sexual maturation (i.e., reaching the upper age limit of 40), and disease-induced mortality. At each time step, the exact number of men entering the population was simulated by drawing from a Poisson distribution with the rate parameter.</w:t>
      </w:r>
    </w:p>
    <w:p w14:paraId="201F8A4F" w14:textId="63FE54BF" w:rsidR="009B3BB0" w:rsidRPr="0024409C" w:rsidRDefault="00273CDD" w:rsidP="009B3BB0">
      <w:pPr>
        <w:pStyle w:val="Heading2"/>
        <w:rPr>
          <w:rFonts w:ascii="Helvetica Neue" w:hAnsi="Helvetica Neue"/>
          <w:szCs w:val="22"/>
        </w:rPr>
      </w:pPr>
      <w:bookmarkStart w:id="15" w:name="_Toc522270407"/>
      <w:r w:rsidRPr="0024409C">
        <w:rPr>
          <w:rFonts w:ascii="Helvetica Neue" w:hAnsi="Helvetica Neue"/>
          <w:szCs w:val="22"/>
        </w:rPr>
        <w:t>4</w:t>
      </w:r>
      <w:r w:rsidR="009B3BB0" w:rsidRPr="0024409C">
        <w:rPr>
          <w:rFonts w:ascii="Helvetica Neue" w:hAnsi="Helvetica Neue"/>
          <w:szCs w:val="22"/>
        </w:rPr>
        <w:t xml:space="preserve">.2 </w:t>
      </w:r>
      <w:r w:rsidR="009B3BB0" w:rsidRPr="0024409C">
        <w:rPr>
          <w:rFonts w:ascii="Helvetica Neue" w:hAnsi="Helvetica Neue"/>
          <w:szCs w:val="22"/>
        </w:rPr>
        <w:tab/>
        <w:t>Initialization of Attributes</w:t>
      </w:r>
      <w:bookmarkEnd w:id="15"/>
    </w:p>
    <w:p w14:paraId="7509AE58" w14:textId="77777777"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Persons entering the population were assigned attributes, some of which remained fixed by definition (e.g., race), others fixed by assumption (e.g., insertive versus receptive sexual role), and yet others allowed to vary over time (e.g., age and disease status). Here we describe three attributes in the first category:</w:t>
      </w:r>
    </w:p>
    <w:p w14:paraId="0F726846" w14:textId="77777777" w:rsidR="009B3BB0" w:rsidRPr="0024409C" w:rsidRDefault="009B3BB0" w:rsidP="009B3BB0">
      <w:pPr>
        <w:pStyle w:val="ListParagraph"/>
        <w:numPr>
          <w:ilvl w:val="0"/>
          <w:numId w:val="9"/>
        </w:numPr>
        <w:tabs>
          <w:tab w:val="left" w:pos="540"/>
        </w:tabs>
        <w:spacing w:line="360" w:lineRule="auto"/>
        <w:ind w:left="540"/>
        <w:rPr>
          <w:rFonts w:ascii="Helvetica Neue" w:hAnsi="Helvetica Neue"/>
        </w:rPr>
      </w:pPr>
      <w:r w:rsidRPr="0024409C">
        <w:rPr>
          <w:rFonts w:ascii="Helvetica Neue" w:hAnsi="Helvetica Neue"/>
        </w:rPr>
        <w:t xml:space="preserve">For </w:t>
      </w:r>
      <w:r w:rsidRPr="0024409C">
        <w:rPr>
          <w:rFonts w:ascii="Helvetica Neue" w:hAnsi="Helvetica Neue"/>
          <w:b/>
        </w:rPr>
        <w:t>race/ethnicity</w:t>
      </w:r>
      <w:r w:rsidRPr="0024409C">
        <w:rPr>
          <w:rFonts w:ascii="Helvetica Neue" w:hAnsi="Helvetica Neue"/>
        </w:rPr>
        <w:t xml:space="preserve">, this model was based on a population composition that was 50% black MSM and 50% white MSM. As noted, we did not explicitly model race within this study, and set all race-specific parameters to averages across stratified estimates. Subsequent models will extend this model framework to explore racial disparities related </w:t>
      </w:r>
      <w:r w:rsidRPr="0024409C">
        <w:rPr>
          <w:rFonts w:ascii="Helvetica Neue" w:hAnsi="Helvetica Neue"/>
        </w:rPr>
        <w:lastRenderedPageBreak/>
        <w:t xml:space="preserve">to PrEP uptake among MSM. This 1:1 ratio comes close to that for the Atlanta metropolitan area and also provides analytical clarity. </w:t>
      </w:r>
    </w:p>
    <w:p w14:paraId="3316F41C" w14:textId="0D968AC3" w:rsidR="009B3BB0" w:rsidRPr="0024409C" w:rsidRDefault="009B3BB0" w:rsidP="009B3BB0">
      <w:pPr>
        <w:pStyle w:val="ListParagraph"/>
        <w:numPr>
          <w:ilvl w:val="0"/>
          <w:numId w:val="9"/>
        </w:numPr>
        <w:tabs>
          <w:tab w:val="left" w:pos="540"/>
        </w:tabs>
        <w:spacing w:before="60" w:line="360" w:lineRule="auto"/>
        <w:ind w:left="547"/>
        <w:contextualSpacing w:val="0"/>
        <w:rPr>
          <w:rFonts w:ascii="Helvetica Neue" w:hAnsi="Helvetica Neue"/>
        </w:rPr>
      </w:pPr>
      <w:r w:rsidRPr="0024409C">
        <w:rPr>
          <w:rFonts w:ascii="Helvetica Neue" w:hAnsi="Helvetica Neue"/>
          <w:b/>
        </w:rPr>
        <w:t>Circumcision</w:t>
      </w:r>
      <w:r w:rsidRPr="0024409C">
        <w:rPr>
          <w:rFonts w:ascii="Helvetica Neue" w:hAnsi="Helvetica Neue"/>
        </w:rPr>
        <w:t xml:space="preserve"> status was randomly assigned to incoming men. Based on empirical data from Atlanta MSM,</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"ISSN" : "10472797", "abstract" : "PURPOSE To describe factors associated with racial disparities in HIV (human immunodeficiency virus) incidence among men who have sex with men (MSM) in the United States. METHODS In a longitudinal cohort of black and white HIV-negative MSM in Atlanta, HIV incidence rates were compared by race. Incidence hazard ratios (HRs) between black and white MSM were estimated with an age-scaled Cox proportional hazards model. A change-in-estimate approach was used to understand mediating time-independent and -dependent factors that accounted for the elevated HR. RESULTS Thirty-two incident HIV infections occurred among 260 black and 302 white MSM during 843 person-years (PY) of follow-up. HIV incidence was higher among black MSM (6.5/100 PY; 95% confidence interval [CI]: 4.2\u20139.7) than white MSM (1.7/100 PY; CI: 0.7\u20133.3) and highest among young (18\u201324 years) black MSM (10.9/100 PY; CI: 6.2\u201317.6). The unadjusted hazard of HIV infection for black MSM was 2.9 (CI: 1.3\u20136.4) times that of white MSM; adjustment for health insurance status and partner race explained effectively all of the racial disparity. CONCLUSIONS Relative to white MSM in Atlanta, black MSM, particularly young black MSM, experienced higher HIV incidence that was not attributable to individual risk behaviors. In a setting where partner pool risk is a driver of disparities, it is also important to maximize care and treatment for HIV-positive MSM.", "author" : [ { "dropping-particle" : "", "family" : "Sullivan", "given" : "Patrick S.", "non-dropping-particle" : "", "parse-names" : false, "suffix" : "" }, { "dropping-particle" : "", "family" : "Rosenberg", "given" : "Eli S.", "non-dropping-particle" : "", "parse-names" : false, "suffix" : "" }, { "dropping-particle" : "", "family" : "Sanchez", "given" : "Travis H.", "non-dropping-particle" : "", "parse-names" : false, "suffix" : "" }, { "dropping-particle" : "", "family" : "Kelley", "given" : "Colleen F.", "non-dropping-particle" : "", "parse-names" : false, "suffix" : "" }, { "dropping-particle" : "", "family" : "Luisi", "given" : "Nicole", "non-dropping-particle" : "", "parse-names" : false, "suffix" : "" }, { "dropping-particle" : "", "family" : "Cooper", "given" : "Hannah L.", "non-dropping-particle" : "", "parse-names" : false, "suffix" : "" }, { "dropping-particle" : "", "family" : "Diclemente", "given" : "Ralph J.", "non-dropping-particle" : "", "parse-names" : false, "suffix" : "" }, { "dropping-particle" : "", "family" : "Wingood", "given" : "Gina M.", "non-dropping-particle" : "", "parse-names" : false, "suffix" : "" }, { "dropping-particle" : "", "family" : "Frew", "given" : "Paula M.", "non-dropping-particle" : "", "parse-names" : false, "suffix" : "" }, { "dropping-particle" : "", "family" : "Salazar", "given" : "Laura F.", "non-dropping-particle" : "", "parse-names" : false, "suffix" : "" }, { "dropping-particle" : "", "family" : "Rio", "given" : "Carlos", "non-dropping-particle" : "del", "parse-names" : false, "suffix" : "" }, { "dropping-particle" : "", "family" : "Mulligan", "given" : "Mark J.", "non-dropping-particle" : "", "parse-names" : false, "suffix" : "" }, { "dropping-particle" : "", "family" : "Peterson", "given" : "John L.", "non-dropping-particle" : "", "parse-names" : false, "suffix" : "" } ], "container-title" : "Ann Epidemiol", "id" : "ITEM-1", "issue" : "6", "issued" : { "date-parts" : [ [ "2015" ] ] }, "page" : "445-454", "title" : "Explaining racial disparities in HIV incidence in black and white men who have sex with men in Atlanta, GA: a prospective observational cohort study", "type" : "article-journal", "volume" : "25" }, "uris" : [ "http://www.mendeley.com/documents/?uuid=0ca47ab6-493a-43f9-b1d0-48e2041b9866" ] } ], "mendeley" : { "formattedCitation" : "&lt;sup&gt;12&lt;/sup&gt;", "plainTextFormattedCitation" : "12", "previouslyFormattedCitation" : "&lt;sup&gt;12&lt;/sup&gt;"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12</w:t>
      </w:r>
      <w:r w:rsidRPr="0024409C">
        <w:rPr>
          <w:rFonts w:ascii="Helvetica Neue" w:hAnsi="Helvetica Neue"/>
          <w:noProof/>
          <w:vertAlign w:val="superscript"/>
        </w:rPr>
        <w:fldChar w:fldCharType="end"/>
      </w:r>
      <w:r w:rsidRPr="0024409C">
        <w:rPr>
          <w:rFonts w:ascii="Helvetica Neue" w:hAnsi="Helvetica Neue"/>
        </w:rPr>
        <w:t xml:space="preserve"> 89.6% of men were circumcised before sexual onset. Circumcision was associated with a 60% reduction in the per-act probability of infection for HIV- males for insertive anal intercourse only (i.e., circumcision did not lower the </w:t>
      </w:r>
      <w:r w:rsidRPr="0024409C">
        <w:rPr>
          <w:rFonts w:ascii="Helvetica Neue" w:hAnsi="Helvetica Neue"/>
          <w:i/>
        </w:rPr>
        <w:t>transmission</w:t>
      </w:r>
      <w:r w:rsidRPr="0024409C">
        <w:rPr>
          <w:rFonts w:ascii="Helvetica Neue" w:hAnsi="Helvetica Neue"/>
        </w:rPr>
        <w:t xml:space="preserve"> probability if the HIV+ partner was insertive).</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"ISSN" : "01406736", "author" : [ { "dropping-particle" : "", "family" : "Gray", "given" : "Ronald H", "non-dropping-particle" : "", "parse-names" : false, "suffix" : "" }, { "dropping-particle" : "", "family" : "Kigozi", "given" : "Godfrey", "non-dropping-particle" : "", "parse-names" : false, "suffix" : "" }, { "dropping-particle" : "", "family" : "Serwadda", "given" : "David", "non-dropping-particle" : "", "parse-names" : false, "suffix" : "" }, { "dropping-particle" : "", "family" : "Makumbi", "given" : "Frederick", "non-dropping-particle" : "", "parse-names" : false, "suffix" : "" }, { "dropping-particle" : "", "family" : "Watya", "given" : "Stephen", "non-dropping-particle" : "", "parse-names" : false, "suffix" : "" }, { "dropping-particle" : "", "family" : "Nalugoda", "given" : "Fred", "non-dropping-particle" : "", "parse-names" : false, "suffix" : "" }, { "dropping-particle" : "", "family" : "Kiwanuka", "given" : "Noah", "non-dropping-particle" : "", "parse-names" : false, "suffix" : "" }, { "dropping-particle" : "", "family" : "Moulton", "given" : "Lawrence H", "non-dropping-particle" : "", "parse-names" : false, "suffix" : "" }, { "dropping-particle" : "", "family" : "Chaudhary", "given" : "Mohammad A", "non-dropping-particle" : "", "parse-names" : false, "suffix" : "" }, { "dropping-particle" : "", "family" : "Chen", "given" : "Michael Z", "non-dropping-particle" : "", "parse-names" : false, "suffix" : "" }, { "dropping-particle" : "", "family" : "Sewankambo", "given" : "Nelson K", "non-dropping-particle" : "", "parse-names" : false, "suffix" : "" }, { "dropping-particle" : "", "family" : "Wabwire-Mangen", "given" : "Fred", "non-dropping-particle" : "", "parse-names" : false, "suffix" : "" }, { "dropping-particle" : "", "family" : "Bacon", "given" : "Melanie C", "non-dropping-particle" : "", "parse-names" : false, "suffix" : "" }, { "dropping-particle" : "", "family" : "Williams", "given" : "Carolyn FM", "non-dropping-particle" : "", "parse-names" : false, "suffix" : "" }, { "dropping-particle" : "", "family" : "Opendi", "given" : "Pius", "non-dropping-particle" : "", "parse-names" : false, "suffix" : "" }, { "dropping-particle" : "", "family" : "Reynolds", "given" : "Steven J", "non-dropping-particle" : "", "parse-names" : false, "suffix" : "" }, { "dropping-particle" : "", "family" : "Laeyendecker", "given" : "Oliver", "non-dropping-particle" : "", "parse-names" : false, "suffix" : "" }, { "dropping-particle" : "", "family" : "Quinn", "given" : "Thomas C", "non-dropping-particle" : "", "parse-names" : false, "suffix" : "" }, { "dropping-particle" : "", "family" : "Wawer", "given" : "Maria J", "non-dropping-particle" : "", "parse-names" : false, "suffix" : "" }, { "dropping-particle" : "", "family" : "Weiss", "given" : "HA", "non-dropping-particle" : "", "parse-names" : false, "suffix" : "" }, { "dropping-particle" : "", "family" : "Quigley", "given" : "MA", "non-dropping-particle" : "", "parse-names" : false, "suffix" : "" }, { "dropping-particle" : "", "family" : "Hayes", "given" : "RJ", "non-dropping-particle" : "", "parse-names" : false, "suffix" : "" }, { "dropping-particle" : "", "family" : "Gray", "given" : "RH", "non-dropping-particle" : "", "parse-names" : false, "suffix" : "" }, { "dropping-particle" : "", "family" : "Kiwanuka", "given" : "N", "non-dropping-particle" : "", "parse-names" : false, "suffix" : "" }, { "dropping-particle" : "", "family" : "Quinn", "given" : "TC", "non-dropping-particle" : "", "parse-names" : false, "suffix" : "" }, { "dropping-particle" : "", "family" : "Al.", "given" : "Et", "non-dropping-particle" : "", "parse-names" : false, "suffix" : "" }, { "dropping-particle" : "", "family" : "Reynolds", "given" : "SJ", "non-dropping-particle" : "", "parse-names" : false, "suffix" : "" }, { "dropping-particle" : "", "family" : "Shepherd", "given" : "ME", "non-dropping-particle" : "", "parse-names" : false, "suffix" : "" }, { "dropping-particle" : "", "family" : "Risbud", "given" : "AR", "non-dropping-particle" : "", "parse-names" : false, "suffix" : "" }, { "dropping-particle" : "", "family" : "Al.", "given" : "Et", "non-dropping-particle" : "", "parse-names" : false, "suffix" : "" }, { "dropping-particle" : "", "family" : "Lavreys", "given" : "L", "non-dropping-particle" : "", "parse-names" : false, "suffix" : "" }, { "dropping-particle" : "", "family" : "Rakwar", "given" : "JP", "non-dropping-particle" : "", "parse-names" : false, "suffix" : "" }, { "dropping-particle" : "", "family" : "Thompson", "given" : "ML", "non-dropping-particle" : "", "parse-names" : false, "suffix" : "" }, { "dropping-particle" : "", "family" : "Al.", "given" : "Et", "non-dropping-particle" : "", "parse-names" : false, "suffix" : "" }, { "dropping-particle" : "", "family" : "Baeten", "given" : "JM", "non-dropping-particle" : "", "parse-names" : false, "suffix" : "" }, { "dropping-particle" : "", "family" : "Richardson", "given" : "BA", "non-dropping-particle" : "", "parse-names" : false, "suffix" : "" }, { "dropping-particle" : "", "family" : "Lavreys", "given" : "L", "non-dropping-particle" : "", "parse-names" : false, "suffix" : "" }, { "dropping-particle" : "", "family" : "Al.", "given" : "Et", "non-dropping-particle" : "", "parse-names" : false, "suffix" : "" }, { "dropping-particle" : "", "family" : "Auvert", "given" : "B", "non-dropping-particle" : "", "parse-names" : false, "suffix" : "" }, { "dropping-particle" : "", "family" : "Taljaard", "given" : "D", "non-dropping-particle" : "", "parse-names" : false, "suffix" : "" }, { "dropping-particle" : "", "family" : "Lagarde", "given" : "E", "non-dropping-particle" : "", "parse-names" : false, "suffix" : "" }, { "dropping-particle" : "", "family" : "Sobngwi-Tambekou", "given" : "J", "non-dropping-particle" : "", "parse-names" : false, "suffix" : "" }, { "dropping-particle" : "", "family" : "Sitta", "given" : "R", "non-dropping-particle" : "", "parse-names" : false, "suffix" : "" }, { "dropping-particle" : "", "family" : "Puren", "given" : "A", "non-dropping-particle" : "", "parse-names" : false, "suffix" : "" }, { "dropping-particle" : "", "family" : "Zablotska", "given" : "IB", "non-dropping-particle" : "", "parse-names" : false, "suffix" : "" }, { "dropping-particle" : "", "family" : "Gray", "given" : "RH", "non-dropping-particle" : "", "parse-names" : false, "suffix" : "" }, { "dropping-particle" : "", "family" : "Serwadda", "given" : "D", "non-dropping-particle" : "", "parse-names" : false, "suffix" : "" }, { "dropping-particle" : "", "family" : "Al.", "given" : "Et", "non-dropping-particle" : "", "parse-names" : false, "suffix" : "" }, { "dropping-particle" : "", "family" : "Lan", "given" : "KK", "non-dropping-particle" : "", "parse-names" : false, "suffix" : "" }, { "dropping-particle" : "", "family" : "DeMets", "given" : "DL", "non-dropping-particle" : "", "parse-names" : false, "suffix" : "" }, { "dropping-particle" : "", "family" : "O'Brien", "given" : "PC", "non-dropping-particle" : "", "parse-names" : false, "suffix" : "" }, { "dropping-particle" : "", "family" : "Fleming", "given" : "TR", "non-dropping-particle" : "", "parse-names" : false, "suffix" : "" }, { "dropping-particle" : "", "family" : "Bailey", "given" : "RC", "non-dropping-particle" : "", "parse-names" : false, "suffix" : "" }, { "dropping-particle" : "", "family" : "Moses", "given" : "S", "non-dropping-particle" : "", "parse-names" : false, "suffix" : "" }, { "dropping-particle" : "", "family" : "Parker", "given" : "CB", "non-dropping-particle" : "", "parse-names" : false, "suffix" : "" }, { "dropping-particle" : "", "family" : "Al.", "given" : "Et", "non-dropping-particle" : "", "parse-names" : false, "suffix" : "" }, { "dropping-particle" : "", "family" : "Weiss", "given" : "HA", "non-dropping-particle" : "", "parse-names" : false, "suffix" : "" }, { "dropping-particle" : "", "family" : "Thomas", "given" : "SL", "non-dropping-particle" : "", "parse-names" : false, "suffix" : "" }, { "dropping-particle" : "", "family" : "Munabi", "given" : "SK", "non-dropping-particle" : "", "parse-names" : false, "suffix" : "" }, { "dropping-particle" : "", "family" : "Hayes", "given" : "RJ", "non-dropping-particle" : "", "parse-names" : false, "suffix" : "" }, { "dropping-particle" : "", "family" : "Freeman", "given" : "EE", "non-dropping-particle" : "", "parse-names" : false, "suffix" : "" }, { "dropping-particle" : "", "family" : "Weiss", "given" : "HA", "non-dropping-particle" : "", "parse-names" : false, "suffix" : "" }, { "dropping-particle" : "", "family" : "Glynn", "given" : "JR", "non-dropping-particle" : "", "parse-names" : false, "suffix" : "" }, { "dropping-particle" : "", "family" : "Cross", "given" : "PL", "non-dropping-particle" : "", "parse-names" : false, "suffix" : "" }, { "dropping-particle" : "", "family" : "Whitworth", "given" : "JA", "non-dropping-particle" : "", "parse-names" : false, "suffix" : "" }, { "dropping-particle" : "", "family" : "Hayes", "given" : "RJ", "non-dropping-particle" : "", "parse-names" : false, "suffix" : "" }, { "dropping-particle" : "", "family" : "Reynolds", "given" : "SJ", "non-dropping-particle" : "", "parse-names" : false, "suffix" : "" }, { "dropping-particle" : "", "family" : "Risbud", "given" : "AR", "non-dropping-particle" : "", "parse-names" : false, "suffix" : "" }, { "dropping-particle" : "", "family" : "Shepherd", "given" : "ME", "non-dropping-particle" : "", "parse-names" : false, "suffix" : "" }, { "dropping-particle" : "", "family" : "Al.", "given" : "Et", "non-dropping-particle" : "", "parse-names" : false, "suffix" : "" }, { "dropping-particle" : "", "family" : "Rottingen", "given" : "JA", "non-dropping-particle" : "", "parse-names" : false, "suffix" : "" }, { "dropping-particle" : "", "family" : "Cameron", "given" : "DW", "non-dropping-particle" : "", "parse-names" : false, "suffix" : "" }, { "dropping-particle" : "", "family" : "Garnett", "given" : "GP", "non-dropping-particle" : "", "parse-names" : false, "suffix" : "" }, { "dropping-particle" : "", "family" : "Gray", "given" : "RH", "non-dropping-particle" : "", "parse-names" : false, "suffix" : "" }, { "dropping-particle" : "", "family" : "Azire", "given" : "J", "non-dropping-particle" : "", "parse-names" : false, "suffix" : "" }, { "dropping-particle" : "", "family" : "Serwadda", "given" : "D", "non-dropping-particle" : "", "parse-names" : false, "suffix" : "" }, { "dropping-particle" : "", "family" : "Al.", "given" : "Et", "non-dropping-particle" : "", "parse-names" : false, "suffix" : "" }, { "dropping-particle" : "", "family" : "Hussain", "given" : "LA", "non-dropping-particle" : "", "parse-names" : false, "suffix" : "" }, { "dropping-particle" : "", "family" : "Lehner", "given" : "T", "non-dropping-particle" : "", "parse-names" : false, "suffix" : "" }, { "dropping-particle" : "", "family" : "Donoval", "given" : "BA", "non-dropping-particle" : "", "parse-names" : false, "suffix" : "" }, { "dropping-particle" : "", "family" : "Landay", "given" : "AL", "non-dropping-particle" : "", "parse-names" : false, "suffix" : "" }, { "dropping-particle" : "", "family" : "Moses", "given" : "S", "non-dropping-particle" : "", "parse-names" : false, "suffix" : "" }, { "dropping-particle" : "", "family" : "Al.", "given" : "Et", "non-dropping-particle" : "", "parse-names" : false, "suffix" : "" }, { "dropping-particle" : "", "family" : "McCoombe", "given" : "SG", "non-dropping-particle" : "", "parse-names" : false, "suffix" : "" }, { "dropping-particle" : "", "family" : "Short", "given" : "RV", "non-dropping-particle" : "", "parse-names" : false, "suffix" : "" }, { "dropping-particle" : "", "family" : "Patterson", "given" : "BK", "non-dropping-particle" : "", "parse-names" : false, "suffix" : "" }, { "dropping-particle" : "", "family" : "Landay", "given" : "A", "non-dropping-particle" : "", "parse-names" : false, "suffix" : "" }, { "dropping-particle" : "", "family" : "Siegel", "given" : "JN", "non-dropping-particle" : "", "parse-names" : false, "suffix" : "" }, { "dropping-particle" : "", "family" : "Al.", "given" : "Et", "non-dropping-particle" : "", "parse-names" : false, "suffix" : "" }, { "dropping-particle" : "", "family" : "Szabo", "given" : "R", "non-dropping-particle" : "", "parse-names" : false, "suffix" : "" }, { "dropping-particle" : "", "family" : "Short", "given" : "RV", "non-dropping-particle" : "", "parse-names" : false, "suffix" : "" }, { "dropping-particle" : "", "family" : "Kahn", "given" : "JG", "non-dropping-particle" : "", "parse-names" : false, "suffix" : "" }, { "dropping-particle" : "", "family" : "Marseille", "given" : "E", "non-dropping-particle" : "", "parse-names" : false, "suffix" : "" }, { "dropping-particle" : "", "family" : "Auvert", "given" : "B", "non-dropping-particle" : "", "parse-names" : false, "suffix" : "" }, { "dropping-particle" : "", "family" : "Bailey", "given" : "RC", "non-dropping-particle" : "", "parse-names" : false, "suffix" : "" }, { "dropping-particle" : "", "family" : "Egesah", "given" : "O", "non-dropping-particle" : "", "parse-names" : false, "suffix" : "" }, { "dropping-particle" : "", "family" : "Kabra", "given" : "SG", "non-dropping-particle" : "", "parse-names" : false, "suffix" : "" }, { "dropping-particle" : "", "family" : "Narayanan", "given" : "R", "non-dropping-particle" : "", "parse-names" : false, "suffix" : "" }, { "dropping-particle" : "", "family" : "Kumar", "given" : "S", "non-dropping-particle" : "", "parse-names" : false, "suffix" : "" }, { "dropping-particle" : "", "family" : "Montori", "given" : "VM", "non-dropping-particle" : "", "parse-names" : false, "suffix" : "" }, { "dropping-particle" : "", "family" : "Devereaux", "given" : "PJ", "non-dropping-particle" : "", "parse-names" : false, "suffix" : "" }, { "dropping-particle" : "", "family" : "Adhikari", "given" : "NK", "non-dropping-particle" : "", "parse-names" : false, "suffix" : "" }, { "dropping-particle" : "", "family" : "Al.", "given" : "Et", "non-dropping-particle" : "", "parse-names" : false, "suffix" : "" } ], "container-title" : "Lancet", "id" : "ITEM-1", "issue" : "9562", "issued" : { "date-parts" : [ [ "2007", "2" ] ] }, "page" : "657-666", "publisher" : "Elsevier", "title" : "Male circumcision for HIV prevention in men in Rakai, Uganda: a randomised trial", "type" : "article-journal", "volume" : "369" }, "uris" : [ "http://www.mendeley.com/documents/?uuid=cb5d0a1f-ffe3-3a80-815b-c4991921b1a8", "http://www.mendeley.com/documents/?uuid=57591567-8a6c-482a-b017-b84fef4d9dfb" ] }, { "id" : "ITEM-2", "itemData" : { "ISSN" : "1932-6203", "PMID" : "25076493", "abstract" : "BACKGROUND Three trials have demonstrated the prophylactic effect of male circumcision (MC) for HIV acquisition among heterosexuals, and MC interventions are underway throughout sub-Saharan Africa. Similar efforts for men who have sex with men (MSM) are stymied by the potential for circumcised MSM to acquire HIV easily through receptive sex and transmit easily through insertive sex. Existing work suggests that MC for MSM should reach its maximum potential in settings where sexual role segregation is historically high and relatively stable across the lifecourse; HIV incidence among MSM is high; reported willingness for prophylactic circumcision is high; and pre-existing circumcision rates are low. We aim to identify the likely public health impact that MC interventions among MSM would have in one setting that fulfills these conditions-Peru-as a theoretical upper bound for their effectiveness among MSM generally. METHODS AND FINDINGS We use a dynamic, stochastic sexual network model based in exponential-family random graph modeling and parameterized from multiple behavioral surveys of Peruvian MSM. We consider three enrollment criteria (insertive during 100%, &gt;80% or &gt;60% of UAI) and two levels of uptake (25% and 50% of eligible men); we explore sexual role proportions from two studies and different frequencies of switching among role categories. Each scenario is simulated 10 times. We estimate that efficiency could reach one case averted per 6 circumcisions. However, the population-level impact of an optimistic MSM-MC intervention in this setting would likely be at most \u223c5-10% incidence and prevalence reductions over 25 years. CONCLUSIONS Roll-out of MC for MSM in Peru would not result in a substantial reduction in new HIV infections, despite characteristics in this population that could maximize such effects. Additional studies are needed to confirm these results for other MSM populations, and providers may consider the individual health benefits of offering MC to their MSM patients.",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"Fuchs", "given" : "Jonathan D", "non-dropping-particle" : "", "parse-names" : false, "suffix" : "" }, { "dropping-particle" : "", "family" : "Sanchez", "given" : "Jorge", "non-dropping-particle" : "", "parse-names" : false, "suffix" : "" }, { "dropping-particle" : "", "family" : "Buchbinder", "given" : "Susan P", "non-dropping-particle" : "", "parse-names" : false, "suffix" : "" } ], "container-title" : "PloS One", "id" : "ITEM-2", "issue" : "7", "issued" : { "date-parts" : [ [ "2014" ] ] }, "page" : "e102960", "title" : "Can male circumcision have an impact on the HIV epidemic in men who have sex with men?", "type" : "article-journal", "volume" : "9" }, "uris" : [ "http://www.mendeley.com/documents/?uuid=4655d172-cbf9-44a1-bca9-5231aaa7a93e" ] } ], "mendeley" : { "formattedCitation" : "&lt;sup&gt;2,14&lt;/sup&gt;", "plainTextFormattedCitation" : "2,14", "previouslyFormattedCitation" : "&lt;sup&gt;2,14&lt;/sup&gt;"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2,14</w:t>
      </w:r>
      <w:r w:rsidRPr="0024409C">
        <w:rPr>
          <w:rFonts w:ascii="Helvetica Neue" w:hAnsi="Helvetica Neue"/>
          <w:noProof/>
          <w:vertAlign w:val="superscript"/>
        </w:rPr>
        <w:fldChar w:fldCharType="end"/>
      </w:r>
    </w:p>
    <w:p w14:paraId="129FB63C" w14:textId="5E04D460" w:rsidR="009B3BB0" w:rsidRPr="0024409C" w:rsidRDefault="009B3BB0" w:rsidP="009B3BB0">
      <w:pPr>
        <w:pStyle w:val="ListParagraph"/>
        <w:numPr>
          <w:ilvl w:val="0"/>
          <w:numId w:val="9"/>
        </w:numPr>
        <w:tabs>
          <w:tab w:val="left" w:pos="540"/>
        </w:tabs>
        <w:spacing w:before="60" w:line="360" w:lineRule="auto"/>
        <w:ind w:left="547"/>
        <w:contextualSpacing w:val="0"/>
        <w:rPr>
          <w:rFonts w:ascii="Helvetica Neue" w:hAnsi="Helvetica Neue"/>
        </w:rPr>
      </w:pPr>
      <w:r w:rsidRPr="0024409C">
        <w:rPr>
          <w:rFonts w:ascii="Helvetica Neue" w:hAnsi="Helvetica Neue"/>
        </w:rPr>
        <w:t xml:space="preserve">The </w:t>
      </w:r>
      <w:r w:rsidRPr="0024409C">
        <w:rPr>
          <w:rFonts w:ascii="Helvetica Neue" w:hAnsi="Helvetica Neue"/>
          <w:b/>
          <w:u w:color="000000"/>
        </w:rPr>
        <w:t>CCR5-</w:t>
      </w:r>
      <w:r w:rsidRPr="0024409C">
        <w:rPr>
          <w:rFonts w:ascii="Helvetica Neue" w:hAnsi="Helvetica Neue"/>
          <w:b/>
          <w:u w:color="000000"/>
        </w:rPr>
        <w:sym w:font="Symbol" w:char="F044"/>
      </w:r>
      <w:r w:rsidRPr="0024409C">
        <w:rPr>
          <w:rFonts w:ascii="Helvetica Neue" w:hAnsi="Helvetica Neue"/>
          <w:b/>
          <w:u w:color="000000"/>
        </w:rPr>
        <w:t>32 genetic allele</w:t>
      </w:r>
      <w:r w:rsidRPr="0024409C">
        <w:rPr>
          <w:rFonts w:ascii="Helvetica Neue" w:hAnsi="Helvetica Neue"/>
          <w:u w:color="000000"/>
        </w:rPr>
        <w:t xml:space="preserve"> was modeled by assigning a mutation for zero, one, or two chromosomes. Compared to men without a CCR5 mutation, heterozygous men (those with one mutation) were 70% less likely to become infected and homozygous men (those with two mutations) were fully immune from infection.</w:t>
      </w:r>
      <w:r w:rsidRPr="0024409C">
        <w:rPr>
          <w:rFonts w:ascii="Helvetica Neue" w:hAnsi="Helvetica Neue"/>
          <w:noProof/>
          <w:u w:color="000000"/>
          <w:vertAlign w:val="superscript"/>
        </w:rPr>
        <w:fldChar w:fldCharType="begin" w:fldLock="1"/>
      </w:r>
      <w:r w:rsidR="00AD1715">
        <w:rPr>
          <w:rFonts w:ascii="Helvetica Neue" w:hAnsi="Helvetica Neue"/>
          <w:noProof/>
          <w:u w:color="000000"/>
          <w:vertAlign w:val="superscript"/>
        </w:rPr>
        <w:instrText>ADDIN CSL_CITATION { "citationItems" : [ { "id" : "ITEM-1", "itemData" : { "abstract" : "OBJECTIVE To investigate evidence for resistance to HIV-1 infection associated with the heterozygous genotype CCR5-+/Delta32 and with the homozygous genotype CCR5-Delta32/Delta32, which results in a nonfunctional CCR5 receptor. DESIGN Cohort study of initially HIV-seronegative high-risk individuals from eight different cities. Enrollment data were analyzed to investigate the association of demographic factors and risk behaviors with CCR5 genotypes on the assumption that increased genotype prevalence among persons with histories of longer or more intensive exposure to HIV would indicate HIV resistance associated with that genotype. Longitudinal data were analyzed to investigate the association of HIV seroincidence with CCR5 genotypes. The cohort of 2996 individuals included 1892 men who have sex with men (MSM), 474 male injection drug users (IDUs), 347 women at heterosexual risk, and 283 female IDUs. MEASUREMENTS CCR5 genotype, HIV serostatus, demographic factors, and risk behaviors during the 6 months before enrollment, followed by measurement of HIV seroincidence during the subsequent 18 months (for men) and 24 months (for women). RESULTS Forty (1.3%) subjects were homozygous CCR5-Delta32/Delta32 and 387 (12.9%) were heterozygous CCR5-+/Delta32. All but 1 CCR5-Delta32/Delta32 individuals and 51 CCR5-+/Delta32 individuals were Caucasian. Among 1531 Caucasian MSM, CCR5-+/Delta32 individuals were present more frequently (22.3%) among those reporting unprotected receptive anal intercourse than among those not reporting this risk (15.9%) (p =.002), suggesting a selective advantage of the heterozygous genotype. CCR5-+/Delta32 individuals also had a significantly reduced relative risk of HIV seroconversion adjusted for unprotected receptive anal intercourse compared with CCR5-/+ individuals (relative risk = 0.30, 95% confidence interval [CI]: 0.08-0.97). CCR5-Delta32/Delta32 prevalence among Caucasian MSM was significantly associated with age among subjects recruited from high HIV seroprevalence cities (New York City and San Francisco) (odds ratio [OR] for each decade increase in age = 2.57, CI: 1.56-4.21) but not among those recruited from lower HIV prevalence sites (Boston, Chicago, Philadelphia, Seattle, and Providence/Pawtucket, Rhode Island) (OR = 1.20, CI: 0.75-1.89). CONCLUSIONS Cross-sectional and longitudinal analyses indicated that among high-risk HIV seronegative MSM, CCR5-+/Delta32 and CCR5-Delta32/Delta32 are associated with protection against HI\u2026", "author" : [ { "dropping-particle" : "", "family" : "Marmor", "given" : "M", "non-dropping-particle" : "", "parse-names" : false, "suffix" : "" }, { "dropping-particle" : "", "family" : "Sheppard", "given" : "H W", "non-dropping-particle" : "", "parse-names" : false, "suffix" : "" }, { "dropping-particle" : "", "family" : "Donnell", "given" : "D", "non-dropping-particle" : "", "parse-names" : false, "suffix" : "" }, { "dropping-particle" : "", "family" : "Bozeman", "given" : "S", "non-dropping-particle" : "", "parse-names" : false, "suffix" : "" }, { "dropping-particle" : "", "family" : "Celum", "given" : "C", "non-dropping-particle" : "", "parse-names" : false, "suffix" : "" }, { "dropping-particle" : "", "family" : "Buchbinder", "given" : "S", "non-dropping-particle" : "", "parse-names" : false, "suffix" : "" }, { "dropping-particle" : "", "family" : "Koblin", "given" : "B", "non-dropping-particle" : "", "parse-names" : false, "suffix" : "" }, { "dropping-particle" : "", "family" : "Seage", "given" : "G R", "non-dropping-particle" : "", "parse-names" : false, "suffix" : "" }, { "dropping-particle" : "", "family" : "HIV Network for Prevention Trials Vaccine Preparedness Protocol Team", "given" : "", "non-dropping-particle" : "", "parse-names" : false, "suffix" : "" } ], "container-title" : "Journal of Acquired Immune Deficiency Syndromes", "id" : "ITEM-1", "issue" : "5", "issued" : { "date-parts" : [ [ "2001", "8" ] ] }, "page" : "472-81", "title" : "Homozygous and heterozygous CCR5-Delta32 genotypes are associated with resistance to HIV infection.", "type" : "article-journal", "volume" : "27" }, "uris" : [ "http://www.mendeley.com/documents/?uuid=ba7c2225-2f76-30e5-8354-8ba09b0dcf3e", "http://www.mendeley.com/documents/?uuid=244a1c44-5046-426d-b400-fb1a97f32631" ] }, { "id" : "ITEM-2", "itemData" : { "abstract" : "BACKGROUND CC chemokine receptor 5 (CCR5) is a cell entry cofactor for macrophage-tropic isolates of human immunodeficiency virus-1 (HIV-1). Recently, an inactive CCR5 allele (designated here as CCR5-2) was identified that confers resistance to HIV-1 infection in homozygotes and slows the rate of progression to AIDS in heterozygotes. The reports conflict on the effect of heterozygous CCR5-2 on HIV-1 susceptibility, and race and risk levels have not yet been fully analyzed. Here we report our independent identification of CCR5-2 and test its effects on HIV-1 pathogenesis in individuals with contrasting clinical outcomes, defined race, and quantified risk. MATERIALS AND METHODS Mutant CCR5 alleles were sought by directed heteroduplex analysis of genomic DNA from random blood donors. Genotypic frequencies were then determined in (1) random blood donors from North America, Asia, and Africa; (2) HIV-1+ individuals; and (3) highly exposed-seronegative homosexuals with quantified risk. RESULTS CCR5-2 was the only mutant allele found. It was common in Caucasians, less common in other North American racial groups, and not detected in West Africans or Tamil Indians. Homozygous CCR5-2 frequencies differed reciprocally in highly exposed-seronegative (4.5%, n = 111) and HIV-1-seropositive (0%, n = 614) Caucasians relative to Caucasian random blood donors (0.8%, n = 387). This difference was highly significant (p &lt; 0.0001). By contrast, heterozygous CCR5-2 frequencies did not differ significantly in the same three groups (21.6, 22.6, and 21.7%, respectively). A 55% increase in the frequency of heterozygous CCR5-2 was observed in both of two cohorts of Caucasian homosexual male, long-term nonprogressors compared with other HIV-1+ Caucasian homosexuals (p = 0.006) and compared with Caucasian random blood donors. Moreover, Kaplan-Meier estimates indicated that CCR5-2 heterozygous seroconvertors had a 52.6% lower risk of developing AIDS than homozygous wild-type seroconvertors. CONCLUSIONS The data suggest that homozygous CCR5-2 is an HIV-1 resistance factor in Caucasians with complete penetrance, and that heterozygous CCR5-2 slows the rate of disease progression in infected Caucasian homosexuals. Since the majority (approximately 96%) of highly exposed-seronegative individuals tested are not homozygous for CCR5-2, other resistance factors must exist. Since CCR5-2 homozygotes have no obvious clinical problems, CCR5 may be a good target for the development of novel antire\u2026", "author" : [ { "dropping-particle" : "", "family" : "Zimmerman", "given" : "P A", "non-dropping-particle" : "", "parse-names" : false, "suffix" : "" }, { "dropping-particle" : "", "family" : "Buckler-White", "given" : "A", "non-dropping-particle" : "", "parse-names" : false, "suffix" : "" }, { "dropping-particle" : "", "family" : "Alkhatib", "given" : "G", "non-dropping-particle" : "", "parse-names" : false, "suffix" : "" }, { "dropping-particle" : "", "family" : "Spalding", "given" : "T", "non-dropping-particle" : "", "parse-names" : false, "suffix" : "" }, { "dropping-particle" : "", "family" : "Kubofcik", "given" : "J", "non-dropping-particle" : "", "parse-names" : false, "suffix" : "" }, { "dropping-particle" : "", "family" : "Combadiere", "given" : "C", "non-dropping-particle" : "", "parse-names" : false, "suffix" : "" }, { "dropping-particle" : "", "family" : "Weissman", "given" : "D", "non-dropping-particle" : "", "parse-names" : false, "suffix" : "" }, { "dropping-particle" : "", "family" : "Cohen", "given" : "O", "non-dropping-particle" : "", "parse-names" : false, "suffix" : "" }, { "dropping-particle" : "", "family" : "Rubbert", "given" : "A", "non-dropping-particle" : "", "parse-names" : false, "suffix" : "" }, { "dropping-particle" : "", "family" : "Lam", "given" : "G", "non-dropping-particle" : "", "parse-names" : false, "suffix" : "" }, { "dropping-particle" : "", "family" : "Vaccarezza", "given" : "M", "non-dropping-particle" : "", "parse-names" : false, "suffix" : "" }, { "dropping-particle" : "", "family" : "Kennedy", "given" : "P E", "non-dropping-particle" : "", "parse-names" : false, "suffix" : "" }, { "dropping-particle" : "", "family" : "Kumaraswami", "given" : "V", "non-dropping-particle" : "", "parse-names" : false, "suffix" : "" }, { "dropping-particle" : "V", "family" : "Giorgi", "given" : "J", "non-dropping-particle" : "", "parse-names" : false, "suffix" : "" }, { "dropping-particle" : "", "family" : "Detels", "given" : "R", "non-dropping-particle" : "", "parse-names" : false, "suffix" : "" }, { "dropping-particle" : "", "family" : "Hunter", "given" : "J", "non-dropping-particle" : "", "parse-names" : false, "suffix" : "" }, { "dropping-particle" : "", "family" : "Chopek", "given" : "M", "non-dropping-particle" : "", "parse-names" : false, "suffix" : "" }, { "dropping-particle" : "", "family" : "Berger", "given" : "E A", "non-dropping-particle" : "", "parse-names" : false, "suffix" : "" }, { "dropping-particle" : "", "family" : "Fauci", "given" : "A S", "non-dropping-particle" : "", "parse-names" : false, "suffix" : "" }, { "dropping-particle" : "", "family" : "Nutman", "given" : "T B", "non-dropping-particle" : "", "parse-names" : false, "suffix" : "" }, { "dropping-particle" : "", "family" : "Murphy", "given" : "P M", "non-dropping-particle" : "", "parse-names" : false, "suffix" : "" } ], "container-title" : "Molecular medicine", "id" : "ITEM-2", "issue" : "1", "issued" : { "date-parts" : [ [ "1997", "1" ] ] }, "page" : "23-36", "publisher" : "The Feinstein Institute for Medical Research", "title" : "Inherited resistance to HIV-1 conferred by an inactivating mutation in CC chemokine receptor 5: studies in populations with contrasting clinical phenotypes, defined racial background, and quantified risk.", "type" : "article-journal", "volume" : "3" }, "uris" : [ "http://www.mendeley.com/documents/?uuid=c719089d-0cda-329a-b4e8-e5fe89152743", "http://www.mendeley.com/documents/?uuid=59fac9e5-3baf-4a1b-afba-2b507de9e339" ] } ], "mendeley" : { "formattedCitation" : "&lt;sup&gt;15,16&lt;/sup&gt;", "plainTextFormattedCitation" : "15,16", "previouslyFormattedCitation" : "&lt;sup&gt;15,16&lt;/sup&gt;" }, "properties" : { "noteIndex" : 0 }, "schema" : "https://github.com/citation-style-language/schema/raw/master/csl-citation.json" }</w:instrText>
      </w:r>
      <w:r w:rsidRPr="0024409C">
        <w:rPr>
          <w:rFonts w:ascii="Helvetica Neue" w:hAnsi="Helvetica Neue"/>
          <w:noProof/>
          <w:u w:color="000000"/>
          <w:vertAlign w:val="superscript"/>
        </w:rPr>
        <w:fldChar w:fldCharType="separate"/>
      </w:r>
      <w:r w:rsidR="00E52119" w:rsidRPr="0024409C">
        <w:rPr>
          <w:rFonts w:ascii="Helvetica Neue" w:hAnsi="Helvetica Neue"/>
          <w:noProof/>
          <w:u w:color="000000"/>
          <w:vertAlign w:val="superscript"/>
        </w:rPr>
        <w:t>15,16</w:t>
      </w:r>
      <w:r w:rsidRPr="0024409C">
        <w:rPr>
          <w:rFonts w:ascii="Helvetica Neue" w:hAnsi="Helvetica Neue"/>
          <w:noProof/>
          <w:u w:color="000000"/>
          <w:vertAlign w:val="superscript"/>
        </w:rPr>
        <w:fldChar w:fldCharType="end"/>
      </w:r>
      <w:r w:rsidRPr="0024409C">
        <w:rPr>
          <w:rFonts w:ascii="Helvetica Neue" w:hAnsi="Helvetica Neue"/>
          <w:u w:color="000000"/>
        </w:rPr>
        <w:t xml:space="preserve"> The population distribution of CCR5 was differential by race, with 0% of black men and 3.4% of white men expressing as homozygous, and 2.1% of black men and 17.6% of white men expressing as heterozygous.</w:t>
      </w:r>
      <w:r w:rsidRPr="0024409C">
        <w:rPr>
          <w:rFonts w:ascii="Helvetica Neue" w:hAnsi="Helvetica Neue"/>
          <w:noProof/>
          <w:u w:color="000000"/>
          <w:vertAlign w:val="superscript"/>
        </w:rPr>
        <w:fldChar w:fldCharType="begin" w:fldLock="1"/>
      </w:r>
      <w:r w:rsidR="00AD1715">
        <w:rPr>
          <w:rFonts w:ascii="Helvetica Neue" w:hAnsi="Helvetica Neue"/>
          <w:noProof/>
          <w:u w:color="000000"/>
          <w:vertAlign w:val="superscript"/>
        </w:rPr>
        <w:instrText>ADDIN CSL_CITATION { "citationItems" : [ { "id" : "ITEM-1", "itemData" : { "abstract" : "OBJECTIVE To investigate evidence for resistance to HIV-1 infection associated with the heterozygous genotype CCR5-+/Delta32 and with the homozygous genotype CCR5-Delta32/Delta32, which results in a nonfunctional CCR5 receptor. DESIGN Cohort study of initially HIV-seronegative high-risk individuals from eight different cities. Enrollment data were analyzed to investigate the association of demographic factors and risk behaviors with CCR5 genotypes on the assumption that increased genotype prevalence among persons with histories of longer or more intensive exposure to HIV would indicate HIV resistance associated with that genotype. Longitudinal data were analyzed to investigate the association of HIV seroincidence with CCR5 genotypes. The cohort of 2996 individuals included 1892 men who have sex with men (MSM), 474 male injection drug users (IDUs), 347 women at heterosexual risk, and 283 female IDUs. MEASUREMENTS CCR5 genotype, HIV serostatus, demographic factors, and risk behaviors during the 6 months before enrollment, followed by measurement of HIV seroincidence during the subsequent 18 months (for men) and 24 months (for women). RESULTS Forty (1.3%) subjects were homozygous CCR5-Delta32/Delta32 and 387 (12.9%) were heterozygous CCR5-+/Delta32. All but 1 CCR5-Delta32/Delta32 individuals and 51 CCR5-+/Delta32 individuals were Caucasian. Among 1531 Caucasian MSM, CCR5-+/Delta32 individuals were present more frequently (22.3%) among those reporting unprotected receptive anal intercourse than among those not reporting this risk (15.9%) (p =.002), suggesting a selective advantage of the heterozygous genotype. CCR5-+/Delta32 individuals also had a significantly reduced relative risk of HIV seroconversion adjusted for unprotected receptive anal intercourse compared with CCR5-/+ individuals (relative risk = 0.30, 95% confidence interval [CI]: 0.08-0.97). CCR5-Delta32/Delta32 prevalence among Caucasian MSM was significantly associated with age among subjects recruited from high HIV seroprevalence cities (New York City and San Francisco) (odds ratio [OR] for each decade increase in age = 2.57, CI: 1.56-4.21) but not among those recruited from lower HIV prevalence sites (Boston, Chicago, Philadelphia, Seattle, and Providence/Pawtucket, Rhode Island) (OR = 1.20, CI: 0.75-1.89). CONCLUSIONS Cross-sectional and longitudinal analyses indicated that among high-risk HIV seronegative MSM, CCR5-+/Delta32 and CCR5-Delta32/Delta32 are associated with protection against HI\u2026", "author" : [ { "dropping-particle" : "", "family" : "Marmor", "given" : "M", "non-dropping-particle" : "", "parse-names" : false, "suffix" : "" }, { "dropping-particle" : "", "family" : "Sheppard", "given" : "H W", "non-dropping-particle" : "", "parse-names" : false, "suffix" : "" }, { "dropping-particle" : "", "family" : "Donnell", "given" : "D", "non-dropping-particle" : "", "parse-names" : false, "suffix" : "" }, { "dropping-particle" : "", "family" : "Bozeman", "given" : "S", "non-dropping-particle" : "", "parse-names" : false, "suffix" : "" }, { "dropping-particle" : "", "family" : "Celum", "given" : "C", "non-dropping-particle" : "", "parse-names" : false, "suffix" : "" }, { "dropping-particle" : "", "family" : "Buchbinder", "given" : "S", "non-dropping-particle" : "", "parse-names" : false, "suffix" : "" }, { "dropping-particle" : "", "family" : "Koblin", "given" : "B", "non-dropping-particle" : "", "parse-names" : false, "suffix" : "" }, { "dropping-particle" : "", "family" : "Seage", "given" : "G R", "non-dropping-particle" : "", "parse-names" : false, "suffix" : "" }, { "dropping-particle" : "", "family" : "HIV Network for Prevention Trials Vaccine Preparedness Protocol Team", "given" : "", "non-dropping-particle" : "", "parse-names" : false, "suffix" : "" } ], "container-title" : "Journal of Acquired Immune Deficiency Syndromes", "id" : "ITEM-1", "issue" : "5", "issued" : { "date-parts" : [ [ "2001", "8" ] ] }, "page" : "472-81", "title" : "Homozygous and heterozygous CCR5-Delta32 genotypes are associated with resistance to HIV infection.", "type" : "article-journal", "volume" : "27" }, "uris" : [ "http://www.mendeley.com/documents/?uuid=244a1c44-5046-426d-b400-fb1a97f32631", "http://www.mendeley.com/documents/?uuid=ba7c2225-2f76-30e5-8354-8ba09b0dcf3e" ] } ], "mendeley" : { "formattedCitation" : "&lt;sup&gt;15&lt;/sup&gt;", "plainTextFormattedCitation" : "15", "previouslyFormattedCitation" : "&lt;sup&gt;15&lt;/sup&gt;" }, "properties" : { "noteIndex" : 0 }, "schema" : "https://github.com/citation-style-language/schema/raw/master/csl-citation.json" }</w:instrText>
      </w:r>
      <w:r w:rsidRPr="0024409C">
        <w:rPr>
          <w:rFonts w:ascii="Helvetica Neue" w:hAnsi="Helvetica Neue"/>
          <w:noProof/>
          <w:u w:color="000000"/>
          <w:vertAlign w:val="superscript"/>
        </w:rPr>
        <w:fldChar w:fldCharType="separate"/>
      </w:r>
      <w:r w:rsidR="00E52119" w:rsidRPr="0024409C">
        <w:rPr>
          <w:rFonts w:ascii="Helvetica Neue" w:hAnsi="Helvetica Neue"/>
          <w:noProof/>
          <w:u w:color="000000"/>
          <w:vertAlign w:val="superscript"/>
        </w:rPr>
        <w:t>15</w:t>
      </w:r>
      <w:r w:rsidRPr="0024409C">
        <w:rPr>
          <w:rFonts w:ascii="Helvetica Neue" w:hAnsi="Helvetica Neue"/>
          <w:noProof/>
          <w:u w:color="000000"/>
          <w:vertAlign w:val="superscript"/>
        </w:rPr>
        <w:fldChar w:fldCharType="end"/>
      </w:r>
      <w:r w:rsidRPr="0024409C">
        <w:rPr>
          <w:rFonts w:ascii="Helvetica Neue" w:hAnsi="Helvetica Neue"/>
          <w:u w:color="000000"/>
        </w:rPr>
        <w:t xml:space="preserve"> But because race was not explicitly represented in these models, we averaged each set of proportions: 1.7% homozygous and 9.9% heterozygous overall.</w:t>
      </w:r>
    </w:p>
    <w:p w14:paraId="141ECA08" w14:textId="1420E820" w:rsidR="009B3BB0" w:rsidRPr="0024409C" w:rsidRDefault="00273CDD" w:rsidP="009B3BB0">
      <w:pPr>
        <w:pStyle w:val="Heading2"/>
        <w:rPr>
          <w:rFonts w:ascii="Helvetica Neue" w:hAnsi="Helvetica Neue"/>
          <w:szCs w:val="22"/>
        </w:rPr>
      </w:pPr>
      <w:bookmarkStart w:id="16" w:name="_Toc522270408"/>
      <w:r w:rsidRPr="0024409C">
        <w:rPr>
          <w:rFonts w:ascii="Helvetica Neue" w:hAnsi="Helvetica Neue"/>
          <w:szCs w:val="22"/>
        </w:rPr>
        <w:t>4</w:t>
      </w:r>
      <w:r w:rsidR="009B3BB0" w:rsidRPr="0024409C">
        <w:rPr>
          <w:rFonts w:ascii="Helvetica Neue" w:hAnsi="Helvetica Neue"/>
          <w:szCs w:val="22"/>
        </w:rPr>
        <w:t>.3</w:t>
      </w:r>
      <w:r w:rsidR="009B3BB0" w:rsidRPr="0024409C">
        <w:rPr>
          <w:rFonts w:ascii="Helvetica Neue" w:hAnsi="Helvetica Neue"/>
          <w:szCs w:val="22"/>
        </w:rPr>
        <w:tab/>
        <w:t>Exits from the Network</w:t>
      </w:r>
      <w:bookmarkEnd w:id="16"/>
    </w:p>
    <w:p w14:paraId="7C394B27" w14:textId="4E1EC39E" w:rsidR="009B3BB0" w:rsidRPr="0024409C" w:rsidRDefault="009B3BB0" w:rsidP="003604D9">
      <w:pPr>
        <w:tabs>
          <w:tab w:val="left" w:pos="540"/>
        </w:tabs>
        <w:spacing w:after="120" w:line="360" w:lineRule="auto"/>
        <w:rPr>
          <w:rFonts w:ascii="Helvetica Neue" w:hAnsi="Helvetica Neue"/>
        </w:rPr>
      </w:pPr>
      <w:r w:rsidRPr="0024409C">
        <w:rPr>
          <w:rFonts w:ascii="Helvetica Neue" w:hAnsi="Helvetica Neue"/>
        </w:rPr>
        <w:t>All persons exited the network by age 40, either from mortality or reaching the upper age bound of the MSM target population of interest. This upper limit of 40 was modeled deterministically (probability = 1), but other exits due to mortality were modeled stochastically. Mortality included both natural (non-HIV) and disease-induced mortality causes before age 40. Background mortality rates were based on US all-cause mortality rates specific to age and race from the National Vital Statistics life tables.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"author" : [ { "dropping-particle" : "", "family" : "U.S. Census Bureau", "given" : "", "non-dropping-particle" : "", "parse-names" : false, "suffix" : "" } ], "id" : "ITEM-1", "issued" : { "date-parts" : [ [ "2012" ] ] }, "title" : "National Mortality Data", "type" : "article-journal" }, "uris" : [ "http://www.mendeley.com/documents/?uuid=8339966f-bd01-3a46-9cfb-948e4ea2aa9e", "http://www.mendeley.com/documents/?uuid=7955fc48-6457-42fb-85e1-c98cafebbc99" ] } ], "mendeley" : { "formattedCitation" : "&lt;sup&gt;17&lt;/sup&gt;", "plainTextFormattedCitation" : "17", "previouslyFormattedCitation" : "&lt;sup&gt;17&lt;/sup&gt;"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17</w:t>
      </w:r>
      <w:r w:rsidRPr="0024409C">
        <w:rPr>
          <w:rFonts w:ascii="Helvetica Neue" w:hAnsi="Helvetica Neue"/>
          <w:noProof/>
          <w:vertAlign w:val="superscript"/>
        </w:rPr>
        <w:fldChar w:fldCharType="end"/>
      </w:r>
      <w:r w:rsidRPr="0024409C">
        <w:rPr>
          <w:rFonts w:ascii="Helvetica Neue" w:hAnsi="Helvetica Neue"/>
        </w:rPr>
        <w:t xml:space="preserve"> The following table shows the probability of mortality per year by age and race.</w:t>
      </w:r>
    </w:p>
    <w:tbl>
      <w:tblPr>
        <w:tblStyle w:val="TableGrid"/>
        <w:tblW w:w="0" w:type="auto"/>
        <w:jc w:val="center"/>
        <w:tblLook w:val="04A0" w:firstRow="1" w:lastRow="0" w:firstColumn="1" w:lastColumn="0" w:noHBand="0" w:noVBand="1"/>
      </w:tblPr>
      <w:tblGrid>
        <w:gridCol w:w="1276"/>
        <w:gridCol w:w="1720"/>
        <w:gridCol w:w="1722"/>
      </w:tblGrid>
      <w:tr w:rsidR="009B3BB0" w:rsidRPr="0024409C" w14:paraId="67FD5F3F" w14:textId="77777777" w:rsidTr="00A2582E">
        <w:trPr>
          <w:trHeight w:val="389"/>
          <w:jc w:val="center"/>
        </w:trPr>
        <w:tc>
          <w:tcPr>
            <w:tcW w:w="1276" w:type="dxa"/>
            <w:shd w:val="clear" w:color="auto" w:fill="D9D9D9" w:themeFill="background1" w:themeFillShade="D9"/>
            <w:vAlign w:val="center"/>
          </w:tcPr>
          <w:p w14:paraId="3D05047D" w14:textId="77777777" w:rsidR="009B3BB0" w:rsidRPr="0024409C" w:rsidRDefault="009B3BB0" w:rsidP="00A2582E">
            <w:pPr>
              <w:tabs>
                <w:tab w:val="left" w:pos="540"/>
              </w:tabs>
              <w:ind w:left="157" w:hanging="157"/>
              <w:rPr>
                <w:rFonts w:ascii="Helvetica Neue" w:hAnsi="Helvetica Neue"/>
                <w:sz w:val="18"/>
              </w:rPr>
            </w:pPr>
            <w:r w:rsidRPr="0024409C">
              <w:rPr>
                <w:rFonts w:ascii="Helvetica Neue" w:hAnsi="Helvetica Neue"/>
                <w:b/>
                <w:sz w:val="18"/>
              </w:rPr>
              <w:t>Age</w:t>
            </w:r>
          </w:p>
        </w:tc>
        <w:tc>
          <w:tcPr>
            <w:tcW w:w="1720" w:type="dxa"/>
            <w:shd w:val="clear" w:color="auto" w:fill="D9D9D9" w:themeFill="background1" w:themeFillShade="D9"/>
            <w:vAlign w:val="center"/>
          </w:tcPr>
          <w:p w14:paraId="048A09DA" w14:textId="77777777" w:rsidR="009B3BB0" w:rsidRPr="0024409C" w:rsidRDefault="009B3BB0" w:rsidP="00A2582E">
            <w:pPr>
              <w:tabs>
                <w:tab w:val="left" w:pos="540"/>
              </w:tabs>
              <w:jc w:val="center"/>
              <w:rPr>
                <w:rFonts w:ascii="Helvetica Neue" w:hAnsi="Helvetica Neue"/>
                <w:b/>
                <w:sz w:val="18"/>
              </w:rPr>
            </w:pPr>
            <w:r w:rsidRPr="0024409C">
              <w:rPr>
                <w:rFonts w:ascii="Helvetica Neue" w:hAnsi="Helvetica Neue"/>
                <w:b/>
                <w:sz w:val="18"/>
              </w:rPr>
              <w:t>White</w:t>
            </w:r>
          </w:p>
        </w:tc>
        <w:tc>
          <w:tcPr>
            <w:tcW w:w="1722" w:type="dxa"/>
            <w:shd w:val="clear" w:color="auto" w:fill="D9D9D9" w:themeFill="background1" w:themeFillShade="D9"/>
            <w:vAlign w:val="center"/>
          </w:tcPr>
          <w:p w14:paraId="3EA8ACE3" w14:textId="77777777" w:rsidR="009B3BB0" w:rsidRPr="0024409C" w:rsidRDefault="009B3BB0" w:rsidP="00A2582E">
            <w:pPr>
              <w:tabs>
                <w:tab w:val="left" w:pos="540"/>
              </w:tabs>
              <w:jc w:val="center"/>
              <w:rPr>
                <w:rFonts w:ascii="Helvetica Neue" w:hAnsi="Helvetica Neue"/>
                <w:b/>
                <w:sz w:val="18"/>
              </w:rPr>
            </w:pPr>
            <w:r w:rsidRPr="0024409C">
              <w:rPr>
                <w:rFonts w:ascii="Helvetica Neue" w:hAnsi="Helvetica Neue"/>
                <w:b/>
                <w:sz w:val="18"/>
              </w:rPr>
              <w:t>Black</w:t>
            </w:r>
          </w:p>
        </w:tc>
      </w:tr>
      <w:tr w:rsidR="009B3BB0" w:rsidRPr="0024409C" w14:paraId="6BBAD099" w14:textId="77777777" w:rsidTr="00A2582E">
        <w:trPr>
          <w:trHeight w:val="389"/>
          <w:jc w:val="center"/>
        </w:trPr>
        <w:tc>
          <w:tcPr>
            <w:tcW w:w="1276" w:type="dxa"/>
            <w:vAlign w:val="center"/>
          </w:tcPr>
          <w:p w14:paraId="7E3BEB78"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18–24</w:t>
            </w:r>
          </w:p>
        </w:tc>
        <w:tc>
          <w:tcPr>
            <w:tcW w:w="1720" w:type="dxa"/>
            <w:vAlign w:val="center"/>
          </w:tcPr>
          <w:p w14:paraId="5BC556E6"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0.00103</w:t>
            </w:r>
          </w:p>
        </w:tc>
        <w:tc>
          <w:tcPr>
            <w:tcW w:w="1722" w:type="dxa"/>
            <w:vAlign w:val="center"/>
          </w:tcPr>
          <w:p w14:paraId="3CA39C95"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0.00159</w:t>
            </w:r>
          </w:p>
        </w:tc>
      </w:tr>
      <w:tr w:rsidR="009B3BB0" w:rsidRPr="0024409C" w14:paraId="6E532AE0" w14:textId="77777777" w:rsidTr="00A2582E">
        <w:trPr>
          <w:trHeight w:val="389"/>
          <w:jc w:val="center"/>
        </w:trPr>
        <w:tc>
          <w:tcPr>
            <w:tcW w:w="1276" w:type="dxa"/>
            <w:vAlign w:val="center"/>
          </w:tcPr>
          <w:p w14:paraId="78E180EE"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25–34</w:t>
            </w:r>
          </w:p>
        </w:tc>
        <w:tc>
          <w:tcPr>
            <w:tcW w:w="1720" w:type="dxa"/>
            <w:vAlign w:val="center"/>
          </w:tcPr>
          <w:p w14:paraId="7E1C1455"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0.00133</w:t>
            </w:r>
          </w:p>
        </w:tc>
        <w:tc>
          <w:tcPr>
            <w:tcW w:w="1722" w:type="dxa"/>
            <w:vAlign w:val="center"/>
          </w:tcPr>
          <w:p w14:paraId="1644F40C"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0.00225</w:t>
            </w:r>
          </w:p>
        </w:tc>
      </w:tr>
      <w:tr w:rsidR="009B3BB0" w:rsidRPr="0024409C" w14:paraId="0A6EBF19" w14:textId="77777777" w:rsidTr="00A2582E">
        <w:trPr>
          <w:trHeight w:val="389"/>
          <w:jc w:val="center"/>
        </w:trPr>
        <w:tc>
          <w:tcPr>
            <w:tcW w:w="1276" w:type="dxa"/>
            <w:vAlign w:val="center"/>
          </w:tcPr>
          <w:p w14:paraId="07A0CE43"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35–39</w:t>
            </w:r>
          </w:p>
        </w:tc>
        <w:tc>
          <w:tcPr>
            <w:tcW w:w="1720" w:type="dxa"/>
            <w:vAlign w:val="center"/>
          </w:tcPr>
          <w:p w14:paraId="3F158F9F"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0.00214</w:t>
            </w:r>
          </w:p>
        </w:tc>
        <w:tc>
          <w:tcPr>
            <w:tcW w:w="1722" w:type="dxa"/>
            <w:vAlign w:val="center"/>
          </w:tcPr>
          <w:p w14:paraId="393391D7"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0.00348</w:t>
            </w:r>
          </w:p>
        </w:tc>
      </w:tr>
    </w:tbl>
    <w:p w14:paraId="55A5DB54" w14:textId="46030A00" w:rsidR="009B3BB0" w:rsidRPr="0024409C" w:rsidRDefault="009B3BB0" w:rsidP="009B3BB0">
      <w:pPr>
        <w:tabs>
          <w:tab w:val="left" w:pos="540"/>
        </w:tabs>
        <w:spacing w:before="240" w:line="360" w:lineRule="auto"/>
        <w:rPr>
          <w:rFonts w:ascii="Helvetica Neue" w:hAnsi="Helvetica Neue"/>
        </w:rPr>
      </w:pPr>
      <w:r w:rsidRPr="0024409C">
        <w:rPr>
          <w:rFonts w:ascii="Helvetica Neue" w:hAnsi="Helvetica Neue"/>
        </w:rPr>
        <w:t>Natural mortality was applied to persons within the population at each time step stochastically by drawing from a binomial distribution for each eligible person with a probability parameter corresponding to that person’s risk of death tied to his age. Disease-related mortality, in contrast, was modeled based on clinical disease progre</w:t>
      </w:r>
      <w:r w:rsidR="00F853FB" w:rsidRPr="0024409C">
        <w:rPr>
          <w:rFonts w:ascii="Helvetica Neue" w:hAnsi="Helvetica Neue"/>
        </w:rPr>
        <w:t xml:space="preserve">ssion, as described in Section </w:t>
      </w:r>
      <w:r w:rsidR="003C114A" w:rsidRPr="0024409C">
        <w:rPr>
          <w:rFonts w:ascii="Helvetica Neue" w:hAnsi="Helvetica Neue"/>
        </w:rPr>
        <w:t>5</w:t>
      </w:r>
      <w:r w:rsidRPr="0024409C">
        <w:rPr>
          <w:rFonts w:ascii="Helvetica Neue" w:hAnsi="Helvetica Neue"/>
        </w:rPr>
        <w:t>.</w:t>
      </w:r>
    </w:p>
    <w:p w14:paraId="56DBF6A9" w14:textId="4F1B7CAB" w:rsidR="009B3BB0" w:rsidRPr="0024409C" w:rsidRDefault="00273CDD" w:rsidP="009B3BB0">
      <w:pPr>
        <w:pStyle w:val="Heading2"/>
        <w:rPr>
          <w:rFonts w:ascii="Helvetica Neue" w:hAnsi="Helvetica Neue"/>
          <w:szCs w:val="22"/>
        </w:rPr>
      </w:pPr>
      <w:bookmarkStart w:id="17" w:name="_Toc522270409"/>
      <w:r w:rsidRPr="0024409C">
        <w:rPr>
          <w:rFonts w:ascii="Helvetica Neue" w:hAnsi="Helvetica Neue"/>
          <w:szCs w:val="22"/>
        </w:rPr>
        <w:lastRenderedPageBreak/>
        <w:t>4</w:t>
      </w:r>
      <w:r w:rsidR="009B3BB0" w:rsidRPr="0024409C">
        <w:rPr>
          <w:rFonts w:ascii="Helvetica Neue" w:hAnsi="Helvetica Neue"/>
          <w:szCs w:val="22"/>
        </w:rPr>
        <w:t>.4</w:t>
      </w:r>
      <w:r w:rsidR="009B3BB0" w:rsidRPr="0024409C">
        <w:rPr>
          <w:rFonts w:ascii="Helvetica Neue" w:hAnsi="Helvetica Neue"/>
          <w:szCs w:val="22"/>
        </w:rPr>
        <w:tab/>
        <w:t>Aging</w:t>
      </w:r>
      <w:bookmarkEnd w:id="17"/>
    </w:p>
    <w:p w14:paraId="4F92A6BB" w14:textId="77777777"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The aging process in the population was linear by time step for all active persons. The unit of time step in these simulations was one week, and therefore, persons were aged in weekly steps between the minimum and maximum ages allow (18 and 40 years old). Evolving age impacted background mortality, age-based mixing in forming new partnerships, and other behavioral features of the epidemic model described below. Persons who exited the network were no longer active and their attributes such as age were no longer updated.</w:t>
      </w:r>
    </w:p>
    <w:p w14:paraId="2564F8DC" w14:textId="18872873" w:rsidR="009B3BB0" w:rsidRPr="0024409C" w:rsidRDefault="00273CDD" w:rsidP="002232EA">
      <w:pPr>
        <w:pStyle w:val="Heading1"/>
        <w:spacing w:before="300"/>
        <w:rPr>
          <w:rFonts w:ascii="Helvetica Neue" w:hAnsi="Helvetica Neue"/>
          <w:sz w:val="24"/>
          <w:szCs w:val="24"/>
        </w:rPr>
      </w:pPr>
      <w:bookmarkStart w:id="18" w:name="_Toc522270410"/>
      <w:r w:rsidRPr="0024409C">
        <w:rPr>
          <w:rFonts w:ascii="Helvetica Neue" w:hAnsi="Helvetica Neue"/>
          <w:sz w:val="24"/>
          <w:szCs w:val="24"/>
        </w:rPr>
        <w:t>5</w:t>
      </w:r>
      <w:r w:rsidR="009B3BB0" w:rsidRPr="0024409C">
        <w:rPr>
          <w:rFonts w:ascii="Helvetica Neue" w:hAnsi="Helvetica Neue"/>
          <w:sz w:val="24"/>
          <w:szCs w:val="24"/>
        </w:rPr>
        <w:tab/>
      </w:r>
      <w:r w:rsidR="00277378" w:rsidRPr="0024409C">
        <w:rPr>
          <w:rFonts w:ascii="Helvetica Neue" w:hAnsi="Helvetica Neue"/>
          <w:sz w:val="24"/>
          <w:szCs w:val="24"/>
        </w:rPr>
        <w:t xml:space="preserve">HIV </w:t>
      </w:r>
      <w:r w:rsidR="009B3BB0" w:rsidRPr="0024409C">
        <w:rPr>
          <w:rFonts w:ascii="Helvetica Neue" w:hAnsi="Helvetica Neue"/>
          <w:sz w:val="24"/>
          <w:szCs w:val="24"/>
        </w:rPr>
        <w:t>INTRAHOST EPIDEMIOLOGY</w:t>
      </w:r>
      <w:bookmarkEnd w:id="18"/>
    </w:p>
    <w:p w14:paraId="2DABCE30" w14:textId="77777777" w:rsidR="009B3BB0" w:rsidRPr="0024409C" w:rsidRDefault="009B3BB0" w:rsidP="009B3BB0">
      <w:pPr>
        <w:tabs>
          <w:tab w:val="left" w:pos="540"/>
        </w:tabs>
        <w:spacing w:line="360" w:lineRule="auto"/>
        <w:rPr>
          <w:rFonts w:ascii="Helvetica Neue" w:hAnsi="Helvetica Neue"/>
        </w:rPr>
      </w:pPr>
      <w:proofErr w:type="spellStart"/>
      <w:r w:rsidRPr="0024409C">
        <w:rPr>
          <w:rFonts w:ascii="Helvetica Neue" w:hAnsi="Helvetica Neue"/>
        </w:rPr>
        <w:t>Intrahost</w:t>
      </w:r>
      <w:proofErr w:type="spellEnd"/>
      <w:r w:rsidRPr="0024409C">
        <w:rPr>
          <w:rFonts w:ascii="Helvetica Neue" w:hAnsi="Helvetica Neue"/>
        </w:rPr>
        <w:t xml:space="preserve"> epidemiology includes features related to the natural disease progression within HIV+ persons in the absence of clinical intervention. The main component of progression that was explicitly modeled for this study was HIV viral load. In contrast to other modeling studies that model both CD4 and viral load, our study used viral load progression to control both interhost epidemiology (HIV transmission rates) and disease progression eventually leading to mortality.</w:t>
      </w:r>
    </w:p>
    <w:p w14:paraId="3311DF1B" w14:textId="11E2F2E0" w:rsidR="009B3BB0" w:rsidRPr="0024409C" w:rsidRDefault="009B3BB0" w:rsidP="00C10B8A">
      <w:pPr>
        <w:tabs>
          <w:tab w:val="left" w:pos="540"/>
        </w:tabs>
        <w:spacing w:before="120" w:after="180" w:line="360" w:lineRule="auto"/>
        <w:rPr>
          <w:rFonts w:ascii="Helvetica Neue" w:hAnsi="Helvetica Neue"/>
        </w:rPr>
      </w:pPr>
      <w:r w:rsidRPr="0024409C">
        <w:rPr>
          <w:rFonts w:ascii="Helvetica Neue" w:hAnsi="Helvetica Neue"/>
        </w:rPr>
        <w:t>Following prior approaches,</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"ITEM-1", "issue" : "11", "issued" : { "date-parts" : [ [ "2012" ] ] }, "page" : "e50522", "title" : "What drives the US and Peruvian HIV epidemics in men who have sex with men (MSM)?", "type" : "article-journal", "volume" : "7" }, "uris" : [ "http://www.mendeley.com/documents/?uuid=95236385-1da9-4014-87d9-9bf044dc09fb" ] }, { "id" : "ITEM-2", "itemData" : { "ISSN" : "1932-6203", "PMID" : "25076493", "abstract" : "BACKGROUND Three trials have demonstrated the prophylactic effect of male circumcision (MC) for HIV acquisition among heterosexuals, and MC interventions are underway throughout sub-Saharan Africa. Similar efforts for men who have sex with men (MSM) are stymied by the potential for circumcised MSM to acquire HIV easily through receptive sex and transmit easily through insertive sex. Existing work suggests that MC for MSM should reach its maximum potential in settings where sexual role segregation is historically high and relatively stable across the lifecourse; HIV incidence among MSM is high; reported willingness for prophylactic circumcision is high; and pre-existing circumcision rates are low. We aim to identify the likely public health impact that MC interventions among MSM would have in one setting that fulfills these conditions-Peru-as a theoretical upper bound for their effectiveness among MSM generally. METHODS AND FINDINGS We use a dynamic, stochastic sexual network model based in exponential-family random graph modeling and parameterized from multiple behavioral surveys of Peruvian MSM. We consider three enrollment criteria (insertive during 100%, &gt;80% or &gt;60% of UAI) and two levels of uptake (25% and 50% of eligible men); we explore sexual role proportions from two studies and different frequencies of switching among role categories. Each scenario is simulated 10 times. We estimate that efficiency could reach one case averted per 6 circumcisions. However, the population-level impact of an optimistic MSM-MC intervention in this setting would likely be at most \u223c5-10% incidence and prevalence reductions over 25 years. CONCLUSIONS Roll-out of MC for MSM in Peru would not result in a substantial reduction in new HIV infections, despite characteristics in this population that could maximize such effects. Additional studies are needed to confirm these results for other MSM populations, and providers may consider the individual health benefits of offering MC to their MSM patients.",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"Fuchs", "given" : "Jonathan D", "non-dropping-particle" : "", "parse-names" : false, "suffix" : "" }, { "dropping-particle" : "", "family" : "Sanchez", "given" : "Jorge", "non-dropping-particle" : "", "parse-names" : false, "suffix" : "" }, { "dropping-particle" : "", "family" : "Buchbinder", "given" : "Susan P", "non-dropping-particle" : "", "parse-names" : false, "suffix" : "" } ], "container-title" : "PloS One", "id" : "ITEM-2", "issue" : "7", "issued" : { "date-parts" : [ [ "2014" ] ] }, "page" : "e102960", "title" : "Can male circumcision have an impact on the HIV epidemic in men who have sex with men?", "type" : "article-journal", "volume" : "9" }, "uris" : [ "http://www.mendeley.com/documents/?uuid=4655d172-cbf9-44a1-bca9-5231aaa7a93e" ] } ], "mendeley" : { "formattedCitation" : "&lt;sup&gt;1,2&lt;/sup&gt;", "plainTextFormattedCitation" : "1,2", "previouslyFormattedCitation" : "&lt;sup&gt;1,2&lt;/sup&gt;"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4017C2" w:rsidRPr="0024409C">
        <w:rPr>
          <w:rFonts w:ascii="Helvetica Neue" w:hAnsi="Helvetica Neue"/>
          <w:noProof/>
          <w:vertAlign w:val="superscript"/>
        </w:rPr>
        <w:t>1,2</w:t>
      </w:r>
      <w:r w:rsidRPr="0024409C">
        <w:rPr>
          <w:rFonts w:ascii="Helvetica Neue" w:hAnsi="Helvetica Neue"/>
          <w:noProof/>
          <w:vertAlign w:val="superscript"/>
        </w:rPr>
        <w:fldChar w:fldCharType="end"/>
      </w:r>
      <w:r w:rsidRPr="00A30F8F">
        <w:rPr>
          <w:rFonts w:ascii="Helvetica Neue" w:hAnsi="Helvetica Neue"/>
          <w:noProof/>
        </w:rPr>
        <w:t xml:space="preserve"> </w:t>
      </w:r>
      <w:r w:rsidRPr="0024409C">
        <w:rPr>
          <w:rFonts w:ascii="Helvetica Neue" w:hAnsi="Helvetica Neue"/>
        </w:rPr>
        <w:t>we modeled changes in HIV viral load to account for the heighte</w:t>
      </w:r>
      <w:r w:rsidR="00A30F8F">
        <w:rPr>
          <w:rFonts w:ascii="Helvetica Neue" w:hAnsi="Helvetica Neue"/>
        </w:rPr>
        <w:t>ne</w:t>
      </w:r>
      <w:r w:rsidRPr="0024409C">
        <w:rPr>
          <w:rFonts w:ascii="Helvetica Neue" w:hAnsi="Helvetica Neue"/>
        </w:rPr>
        <w:t xml:space="preserve">d viremia during acute-stage infection, viral set point during the long chronic stage of infection, and subsequent rise of VL at clinical AIDS towards disease-related mortality. A starting viral load of 0 is assigned to all persons upon infection. From there, the natural viral load curve is fit with the following parameters. The HIV viral load has a crucial impact on the rates of HIV transmission within serodiscordant couples in the model, and this interaction is detailed in Section </w:t>
      </w:r>
      <w:r w:rsidR="00730BCC" w:rsidRPr="0024409C">
        <w:rPr>
          <w:rFonts w:ascii="Helvetica Neue" w:hAnsi="Helvetica Neue"/>
        </w:rPr>
        <w:t>7</w:t>
      </w:r>
      <w:r w:rsidRPr="0024409C">
        <w:rPr>
          <w:rFonts w:ascii="Helvetica Neue" w:hAnsi="Helvetica Neue"/>
        </w:rPr>
        <w:t>. The parameters governing these processes are provided in the table below.</w:t>
      </w:r>
    </w:p>
    <w:tbl>
      <w:tblPr>
        <w:tblStyle w:val="TableGrid"/>
        <w:tblW w:w="8905" w:type="dxa"/>
        <w:jc w:val="center"/>
        <w:tblLook w:val="04A0" w:firstRow="1" w:lastRow="0" w:firstColumn="1" w:lastColumn="0" w:noHBand="0" w:noVBand="1"/>
      </w:tblPr>
      <w:tblGrid>
        <w:gridCol w:w="4188"/>
        <w:gridCol w:w="1337"/>
        <w:gridCol w:w="3380"/>
      </w:tblGrid>
      <w:tr w:rsidR="009B3BB0" w:rsidRPr="0024409C" w14:paraId="37B864F6" w14:textId="77777777" w:rsidTr="00277378">
        <w:trPr>
          <w:trHeight w:val="389"/>
          <w:jc w:val="center"/>
        </w:trPr>
        <w:tc>
          <w:tcPr>
            <w:tcW w:w="4188" w:type="dxa"/>
            <w:shd w:val="clear" w:color="auto" w:fill="D9D9D9" w:themeFill="background1" w:themeFillShade="D9"/>
            <w:vAlign w:val="center"/>
          </w:tcPr>
          <w:p w14:paraId="4FA8D637"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Parameter</w:t>
            </w:r>
          </w:p>
        </w:tc>
        <w:tc>
          <w:tcPr>
            <w:tcW w:w="1337" w:type="dxa"/>
            <w:shd w:val="clear" w:color="auto" w:fill="D9D9D9" w:themeFill="background1" w:themeFillShade="D9"/>
            <w:vAlign w:val="center"/>
          </w:tcPr>
          <w:p w14:paraId="1B2ED9CB" w14:textId="77777777" w:rsidR="009B3BB0" w:rsidRPr="0024409C" w:rsidRDefault="009B3BB0" w:rsidP="00A2582E">
            <w:pPr>
              <w:tabs>
                <w:tab w:val="left" w:pos="540"/>
              </w:tabs>
              <w:jc w:val="center"/>
              <w:rPr>
                <w:rFonts w:ascii="Helvetica Neue" w:hAnsi="Helvetica Neue"/>
                <w:b/>
                <w:sz w:val="18"/>
              </w:rPr>
            </w:pPr>
            <w:r w:rsidRPr="0024409C">
              <w:rPr>
                <w:rFonts w:ascii="Helvetica Neue" w:hAnsi="Helvetica Neue"/>
                <w:b/>
                <w:sz w:val="18"/>
              </w:rPr>
              <w:t>Value</w:t>
            </w:r>
          </w:p>
        </w:tc>
        <w:tc>
          <w:tcPr>
            <w:tcW w:w="3380" w:type="dxa"/>
            <w:shd w:val="clear" w:color="auto" w:fill="D9D9D9" w:themeFill="background1" w:themeFillShade="D9"/>
            <w:vAlign w:val="center"/>
          </w:tcPr>
          <w:p w14:paraId="6F66041B"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Reference</w:t>
            </w:r>
          </w:p>
        </w:tc>
      </w:tr>
      <w:tr w:rsidR="009B3BB0" w:rsidRPr="0024409C" w14:paraId="511EF258" w14:textId="77777777" w:rsidTr="00277378">
        <w:trPr>
          <w:trHeight w:val="389"/>
          <w:jc w:val="center"/>
        </w:trPr>
        <w:tc>
          <w:tcPr>
            <w:tcW w:w="4188" w:type="dxa"/>
            <w:vAlign w:val="center"/>
          </w:tcPr>
          <w:p w14:paraId="38061399"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Time to peak viremia in acute stage</w:t>
            </w:r>
          </w:p>
        </w:tc>
        <w:tc>
          <w:tcPr>
            <w:tcW w:w="1337" w:type="dxa"/>
            <w:vAlign w:val="center"/>
          </w:tcPr>
          <w:p w14:paraId="5C2AB371"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45 days</w:t>
            </w:r>
          </w:p>
        </w:tc>
        <w:tc>
          <w:tcPr>
            <w:tcW w:w="3380" w:type="dxa"/>
            <w:vAlign w:val="center"/>
          </w:tcPr>
          <w:p w14:paraId="6D32CE3D" w14:textId="5A4008E7" w:rsidR="009B3BB0" w:rsidRPr="0024409C" w:rsidRDefault="009B3BB0" w:rsidP="00E52119">
            <w:pPr>
              <w:tabs>
                <w:tab w:val="left" w:pos="540"/>
              </w:tabs>
              <w:rPr>
                <w:rFonts w:ascii="Helvetica Neue" w:hAnsi="Helvetica Neue"/>
                <w:sz w:val="18"/>
              </w:rPr>
            </w:pPr>
            <w:r w:rsidRPr="0024409C">
              <w:rPr>
                <w:rFonts w:ascii="Helvetica Neue" w:hAnsi="Helvetica Neue"/>
                <w:sz w:val="18"/>
              </w:rPr>
              <w:t>Little</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 "author" : [ { "dropping-particle" : "", "family" : "Little", "given" : "S J", "non-dropping-particle" : "", "parse-names" : false, "suffix" : "" }, { "dropping-particle" : "", "family" : "McLean", "given" : "A R", "non-dropping-particle" : "", "parse-names" : false, "suffix" : "" }, { "dropping-particle" : "", "family" : "Spina", "given" : "C A", "non-dropping-particle" : "", "parse-names" : false, "suffix" : "" }, { "dropping-particle" : "", "family" : "Richman", "given" : "D D", "non-dropping-particle" : "", "parse-names" : false, "suffix" : "" }, { "dropping-particle" : "V", "family" : "Havlir", "given" : "D", "non-dropping-particle" : "", "parse-names" : false, "suffix" : "" } ], "container-title" : "The Journal of Experimental Medicine", "id" : "ITEM-1", "issue" : "6", "issued" : { "date-parts" : [ [ "1999", "9" ] ] }, "page" : "841-50", "publisher" : "The Rockefeller University Press", "title" : "Viral dynamics of acute HIV-1 infection.", "type" : "article-journal", "volume" : "190" }, "uris" : [ "http://www.mendeley.com/documents/?uuid=03a49059-ea3f-3b5e-a202-42bfd089fcbc", "http://www.mendeley.com/documents/?uuid=740206f9-55c1-4c66-9f0c-d4b24907513e" ] } ], "mendeley" : { "formattedCitation" : "&lt;sup&gt;18&lt;/sup&gt;", "plainTextFormattedCitation" : "18", "previouslyFormattedCitation" : "&lt;sup&gt;18&lt;/sup&gt;"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18</w:t>
            </w:r>
            <w:r w:rsidRPr="0024409C">
              <w:rPr>
                <w:rFonts w:ascii="Helvetica Neue" w:hAnsi="Helvetica Neue"/>
                <w:noProof/>
                <w:sz w:val="18"/>
                <w:vertAlign w:val="superscript"/>
              </w:rPr>
              <w:fldChar w:fldCharType="end"/>
            </w:r>
          </w:p>
        </w:tc>
      </w:tr>
      <w:tr w:rsidR="009B3BB0" w:rsidRPr="0024409C" w14:paraId="3E401B37" w14:textId="77777777" w:rsidTr="00277378">
        <w:trPr>
          <w:trHeight w:val="389"/>
          <w:jc w:val="center"/>
        </w:trPr>
        <w:tc>
          <w:tcPr>
            <w:tcW w:w="4188" w:type="dxa"/>
            <w:vAlign w:val="center"/>
          </w:tcPr>
          <w:p w14:paraId="2B44014C"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Level of peak viremia</w:t>
            </w:r>
          </w:p>
        </w:tc>
        <w:tc>
          <w:tcPr>
            <w:tcW w:w="1337" w:type="dxa"/>
            <w:vAlign w:val="center"/>
          </w:tcPr>
          <w:p w14:paraId="6AF28697"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6.886 log</w:t>
            </w:r>
            <w:r w:rsidRPr="0024409C">
              <w:rPr>
                <w:rFonts w:ascii="Helvetica Neue" w:hAnsi="Helvetica Neue"/>
                <w:sz w:val="18"/>
                <w:vertAlign w:val="subscript"/>
              </w:rPr>
              <w:t>10</w:t>
            </w:r>
          </w:p>
        </w:tc>
        <w:tc>
          <w:tcPr>
            <w:tcW w:w="3380" w:type="dxa"/>
            <w:vAlign w:val="center"/>
          </w:tcPr>
          <w:p w14:paraId="752241B8" w14:textId="4F913ABA" w:rsidR="009B3BB0" w:rsidRPr="0024409C" w:rsidRDefault="009B3BB0" w:rsidP="00E52119">
            <w:pPr>
              <w:tabs>
                <w:tab w:val="left" w:pos="540"/>
              </w:tabs>
              <w:rPr>
                <w:rFonts w:ascii="Helvetica Neue" w:hAnsi="Helvetica Neue"/>
                <w:sz w:val="18"/>
              </w:rPr>
            </w:pPr>
            <w:r w:rsidRPr="0024409C">
              <w:rPr>
                <w:rFonts w:ascii="Helvetica Neue" w:hAnsi="Helvetica Neue"/>
                <w:sz w:val="18"/>
              </w:rPr>
              <w:t>Little</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 "author" : [ { "dropping-particle" : "", "family" : "Little", "given" : "S J", "non-dropping-particle" : "", "parse-names" : false, "suffix" : "" }, { "dropping-particle" : "", "family" : "McLean", "given" : "A R", "non-dropping-particle" : "", "parse-names" : false, "suffix" : "" }, { "dropping-particle" : "", "family" : "Spina", "given" : "C A", "non-dropping-particle" : "", "parse-names" : false, "suffix" : "" }, { "dropping-particle" : "", "family" : "Richman", "given" : "D D", "non-dropping-particle" : "", "parse-names" : false, "suffix" : "" }, { "dropping-particle" : "V", "family" : "Havlir", "given" : "D", "non-dropping-particle" : "", "parse-names" : false, "suffix" : "" } ], "container-title" : "The Journal of Experimental Medicine", "id" : "ITEM-1", "issue" : "6", "issued" : { "date-parts" : [ [ "1999", "9" ] ] }, "page" : "841-50", "publisher" : "The Rockefeller University Press", "title" : "Viral dynamics of acute HIV-1 infection.", "type" : "article-journal", "volume" : "190" }, "uris" : [ "http://www.mendeley.com/documents/?uuid=740206f9-55c1-4c66-9f0c-d4b24907513e", "http://www.mendeley.com/documents/?uuid=03a49059-ea3f-3b5e-a202-42bfd089fcbc" ] } ], "mendeley" : { "formattedCitation" : "&lt;sup&gt;18&lt;/sup&gt;", "plainTextFormattedCitation" : "18", "previouslyFormattedCitation" : "&lt;sup&gt;18&lt;/sup&gt;"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18</w:t>
            </w:r>
            <w:r w:rsidRPr="0024409C">
              <w:rPr>
                <w:rFonts w:ascii="Helvetica Neue" w:hAnsi="Helvetica Neue"/>
                <w:noProof/>
                <w:sz w:val="18"/>
                <w:vertAlign w:val="superscript"/>
              </w:rPr>
              <w:fldChar w:fldCharType="end"/>
            </w:r>
          </w:p>
        </w:tc>
      </w:tr>
      <w:tr w:rsidR="009B3BB0" w:rsidRPr="0024409C" w14:paraId="3E32CC31" w14:textId="77777777" w:rsidTr="00277378">
        <w:trPr>
          <w:trHeight w:val="389"/>
          <w:jc w:val="center"/>
        </w:trPr>
        <w:tc>
          <w:tcPr>
            <w:tcW w:w="4188" w:type="dxa"/>
            <w:vAlign w:val="center"/>
          </w:tcPr>
          <w:p w14:paraId="3C60F20F"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Time from peak viremia to viral set point</w:t>
            </w:r>
          </w:p>
        </w:tc>
        <w:tc>
          <w:tcPr>
            <w:tcW w:w="1337" w:type="dxa"/>
            <w:vAlign w:val="center"/>
          </w:tcPr>
          <w:p w14:paraId="6E33048F"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45 days</w:t>
            </w:r>
          </w:p>
        </w:tc>
        <w:tc>
          <w:tcPr>
            <w:tcW w:w="3380" w:type="dxa"/>
            <w:vAlign w:val="center"/>
          </w:tcPr>
          <w:p w14:paraId="3642DD5B" w14:textId="18714957" w:rsidR="009B3BB0" w:rsidRPr="0024409C" w:rsidRDefault="009B3BB0" w:rsidP="00E52119">
            <w:pPr>
              <w:tabs>
                <w:tab w:val="left" w:pos="540"/>
              </w:tabs>
              <w:rPr>
                <w:rFonts w:ascii="Helvetica Neue" w:hAnsi="Helvetica Neue"/>
                <w:sz w:val="18"/>
              </w:rPr>
            </w:pPr>
            <w:r w:rsidRPr="0024409C">
              <w:rPr>
                <w:rFonts w:ascii="Helvetica Neue" w:hAnsi="Helvetica Neue"/>
                <w:sz w:val="18"/>
              </w:rPr>
              <w:t>Little,</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 "author" : [ { "dropping-particle" : "", "family" : "Little", "given" : "S J", "non-dropping-particle" : "", "parse-names" : false, "suffix" : "" }, { "dropping-particle" : "", "family" : "McLean", "given" : "A R", "non-dropping-particle" : "", "parse-names" : false, "suffix" : "" }, { "dropping-particle" : "", "family" : "Spina", "given" : "C A", "non-dropping-particle" : "", "parse-names" : false, "suffix" : "" }, { "dropping-particle" : "", "family" : "Richman", "given" : "D D", "non-dropping-particle" : "", "parse-names" : false, "suffix" : "" }, { "dropping-particle" : "V", "family" : "Havlir", "given" : "D", "non-dropping-particle" : "", "parse-names" : false, "suffix" : "" } ], "container-title" : "The Journal of Experimental Medicine", "id" : "ITEM-1", "issue" : "6", "issued" : { "date-parts" : [ [ "1999", "9" ] ] }, "page" : "841-50", "publisher" : "The Rockefeller University Press", "title" : "Viral dynamics of acute HIV-1 infection.", "type" : "article-journal", "volume" : "190" }, "uris" : [ "http://www.mendeley.com/documents/?uuid=740206f9-55c1-4c66-9f0c-d4b24907513e", "http://www.mendeley.com/documents/?uuid=03a49059-ea3f-3b5e-a202-42bfd089fcbc" ] } ], "mendeley" : { "formattedCitation" : "&lt;sup&gt;18&lt;/sup&gt;", "plainTextFormattedCitation" : "18", "previouslyFormattedCitation" : "&lt;sup&gt;18&lt;/sup&gt;"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18</w:t>
            </w:r>
            <w:r w:rsidRPr="0024409C">
              <w:rPr>
                <w:rFonts w:ascii="Helvetica Neue" w:hAnsi="Helvetica Neue"/>
                <w:noProof/>
                <w:sz w:val="18"/>
                <w:vertAlign w:val="superscript"/>
              </w:rPr>
              <w:fldChar w:fldCharType="end"/>
            </w:r>
            <w:r w:rsidRPr="0024409C">
              <w:rPr>
                <w:rFonts w:ascii="Helvetica Neue" w:hAnsi="Helvetica Neue"/>
                <w:sz w:val="18"/>
              </w:rPr>
              <w:t xml:space="preserve"> Leynaert</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"0002-9262", "PMID" : "9663408", "abstract" : "Although individuals infected with human immunodeficiency virus (HIV) seem to be more infectious in the late stages of HIV infection and possibly also during the seroconversion period, most estimates of per-sexual-contact infectivity have been obtained without allowing for variability over the course of infection. In this analysis, a probabilistic model was fitted to data from a European study carried out between 1987 and 1992 that involved 499 (359 males and 140 females) HIV-infected subjects (index cases) and their regular heterosexual partners. The model used allowed infectivity (the per-sexual-contact HIV transmission probability, mu) to vary through three stages: the first 3 months following infection, the subsequent asymptomatic period, and the advanced stage (HIV-related clinical symptoms or a CD4-positive T lymphocyte count less than 200/mm3). Male-to-female infectivity through penile-anal sex was found to be higher in both the early and advanced stages of infection (mu=0.183) than in the longer intermediate period (mu=0.014) (p &lt; 0.03). Failure to demonstrate significant differences between stages for other types of contact (male-to-female penile-vaginal contacts: mu=0.0007; female-to-male transmission: mu=0.0005) may reflect insufficient power rather than a true lack of variability. Indeed, the results for penile-anal sex suggest that persons who are in the process of seroconverting may be much more infectious than asymptomatic infected persons, whatever the type of contact. Prevention education should stress the risk of HIV transmission from subjects who may be unaware of their infection.", "author" : [ { "dropping-particle" : "", "family" : "Leynaert", "given" : "B", "non-dropping-particle" : "", "parse-names" : false, "suffix" : "" }, { "dropping-particle" : "", "family" : "Downs", "given" : "A M", "non-dropping-particle" : "", "parse-names" : false, "suffix" : "" }, { "dropping-particle" : "", "family" : "Vincenzi", "given" : "I", "non-dropping-particle" : "de", "parse-names" : false, "suffix" : "" } ], "container-title" : "Am J Epidemiol", "id" : "ITEM-1", "issue" : "1", "issued" : { "date-parts" : [ [ "1998", "7" ] ] }, "page" : "88-96", "title" : "Heterosexual transmission of human immunodeficiency virus: variability of infectivity throughout the course of infection. European Study Group on Heterosexual Transmission of HIV.", "type" : "article-journal", "volume" : "148" }, "uris" : [ "http://www.mendeley.com/documents/?uuid=46644b83-2c8b-3352-8435-cbbbfbcb690c", "http://www.mendeley.com/documents/?uuid=a5f72fd4-2b40-4d32-9d48-0069e12e2dac" ] } ], "mendeley" : { "formattedCitation" : "&lt;sup&gt;19&lt;/sup&gt;", "plainTextFormattedCitation" : "19", "previouslyFormattedCitation" : "&lt;sup&gt;19&lt;/sup&gt;"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19</w:t>
            </w:r>
            <w:r w:rsidRPr="0024409C">
              <w:rPr>
                <w:rFonts w:ascii="Helvetica Neue" w:hAnsi="Helvetica Neue"/>
                <w:noProof/>
                <w:sz w:val="18"/>
                <w:vertAlign w:val="superscript"/>
              </w:rPr>
              <w:fldChar w:fldCharType="end"/>
            </w:r>
          </w:p>
        </w:tc>
      </w:tr>
      <w:tr w:rsidR="009B3BB0" w:rsidRPr="0024409C" w14:paraId="41EE1478" w14:textId="77777777" w:rsidTr="00277378">
        <w:trPr>
          <w:trHeight w:val="389"/>
          <w:jc w:val="center"/>
        </w:trPr>
        <w:tc>
          <w:tcPr>
            <w:tcW w:w="4188" w:type="dxa"/>
            <w:vAlign w:val="center"/>
          </w:tcPr>
          <w:p w14:paraId="3DD04F5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Level of viral set point</w:t>
            </w:r>
          </w:p>
        </w:tc>
        <w:tc>
          <w:tcPr>
            <w:tcW w:w="1337" w:type="dxa"/>
            <w:vAlign w:val="center"/>
          </w:tcPr>
          <w:p w14:paraId="7B817B46"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4.5 log</w:t>
            </w:r>
            <w:r w:rsidRPr="0024409C">
              <w:rPr>
                <w:rFonts w:ascii="Helvetica Neue" w:hAnsi="Helvetica Neue"/>
                <w:sz w:val="18"/>
                <w:vertAlign w:val="subscript"/>
              </w:rPr>
              <w:t>10</w:t>
            </w:r>
          </w:p>
        </w:tc>
        <w:tc>
          <w:tcPr>
            <w:tcW w:w="3380" w:type="dxa"/>
            <w:vAlign w:val="center"/>
          </w:tcPr>
          <w:p w14:paraId="31631A20" w14:textId="542B8E33" w:rsidR="009B3BB0" w:rsidRPr="0024409C" w:rsidRDefault="009B3BB0" w:rsidP="00E52119">
            <w:pPr>
              <w:tabs>
                <w:tab w:val="left" w:pos="540"/>
              </w:tabs>
              <w:rPr>
                <w:rFonts w:ascii="Helvetica Neue" w:hAnsi="Helvetica Neue"/>
                <w:sz w:val="18"/>
              </w:rPr>
            </w:pPr>
            <w:r w:rsidRPr="0024409C">
              <w:rPr>
                <w:rFonts w:ascii="Helvetica Neue" w:hAnsi="Helvetica Neue"/>
                <w:sz w:val="18"/>
              </w:rPr>
              <w:t>Little</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 "author" : [ { "dropping-particle" : "", "family" : "Little", "given" : "S J", "non-dropping-particle" : "", "parse-names" : false, "suffix" : "" }, { "dropping-particle" : "", "family" : "McLean", "given" : "A R", "non-dropping-particle" : "", "parse-names" : false, "suffix" : "" }, { "dropping-particle" : "", "family" : "Spina", "given" : "C A", "non-dropping-particle" : "", "parse-names" : false, "suffix" : "" }, { "dropping-particle" : "", "family" : "Richman", "given" : "D D", "non-dropping-particle" : "", "parse-names" : false, "suffix" : "" }, { "dropping-particle" : "V", "family" : "Havlir", "given" : "D", "non-dropping-particle" : "", "parse-names" : false, "suffix" : "" } ], "container-title" : "The Journal of Experimental Medicine", "id" : "ITEM-1", "issue" : "6", "issued" : { "date-parts" : [ [ "1999", "9" ] ] }, "page" : "841-50", "publisher" : "The Rockefeller University Press", "title" : "Viral dynamics of acute HIV-1 infection.", "type" : "article-journal", "volume" : "190" }, "uris" : [ "http://www.mendeley.com/documents/?uuid=740206f9-55c1-4c66-9f0c-d4b24907513e", "http://www.mendeley.com/documents/?uuid=03a49059-ea3f-3b5e-a202-42bfd089fcbc" ] } ], "mendeley" : { "formattedCitation" : "&lt;sup&gt;18&lt;/sup&gt;", "plainTextFormattedCitation" : "18", "previouslyFormattedCitation" : "&lt;sup&gt;18&lt;/sup&gt;"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18</w:t>
            </w:r>
            <w:r w:rsidRPr="0024409C">
              <w:rPr>
                <w:rFonts w:ascii="Helvetica Neue" w:hAnsi="Helvetica Neue"/>
                <w:noProof/>
                <w:sz w:val="18"/>
                <w:vertAlign w:val="superscript"/>
              </w:rPr>
              <w:fldChar w:fldCharType="end"/>
            </w:r>
          </w:p>
        </w:tc>
      </w:tr>
      <w:tr w:rsidR="009B3BB0" w:rsidRPr="0024409C" w14:paraId="0864B118" w14:textId="77777777" w:rsidTr="00277378">
        <w:trPr>
          <w:trHeight w:val="389"/>
          <w:jc w:val="center"/>
        </w:trPr>
        <w:tc>
          <w:tcPr>
            <w:tcW w:w="4188" w:type="dxa"/>
            <w:vAlign w:val="center"/>
          </w:tcPr>
          <w:p w14:paraId="65940713"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Duration of chronic stage infection (no ART)</w:t>
            </w:r>
          </w:p>
        </w:tc>
        <w:tc>
          <w:tcPr>
            <w:tcW w:w="1337" w:type="dxa"/>
            <w:vAlign w:val="center"/>
          </w:tcPr>
          <w:p w14:paraId="7AE048AD"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3550 days</w:t>
            </w:r>
          </w:p>
        </w:tc>
        <w:tc>
          <w:tcPr>
            <w:tcW w:w="3380" w:type="dxa"/>
            <w:vAlign w:val="center"/>
          </w:tcPr>
          <w:p w14:paraId="095120D1" w14:textId="7BF83B31" w:rsidR="009B3BB0" w:rsidRPr="0024409C" w:rsidRDefault="009B3BB0" w:rsidP="00E52119">
            <w:pPr>
              <w:tabs>
                <w:tab w:val="left" w:pos="540"/>
              </w:tabs>
              <w:rPr>
                <w:rFonts w:ascii="Helvetica Neue" w:hAnsi="Helvetica Neue"/>
                <w:sz w:val="18"/>
              </w:rPr>
            </w:pPr>
            <w:r w:rsidRPr="0024409C">
              <w:rPr>
                <w:rFonts w:ascii="Helvetica Neue" w:hAnsi="Helvetica Neue"/>
                <w:sz w:val="18"/>
              </w:rPr>
              <w:t>Buchbinder</w:t>
            </w:r>
            <w:r w:rsidRPr="0024409C">
              <w:rPr>
                <w:rFonts w:ascii="Helvetica Neue" w:hAnsi="Helvetica Neue"/>
                <w:sz w:val="18"/>
              </w:rPr>
              <w:fldChar w:fldCharType="begin" w:fldLock="1"/>
            </w:r>
            <w:r w:rsidR="00AD1715">
              <w:rPr>
                <w:rFonts w:ascii="Helvetica Neue" w:hAnsi="Helvetica Neue"/>
                <w:sz w:val="18"/>
              </w:rPr>
              <w:instrText>ADDIN CSL_CITATION { "citationItems" : [ { "id" : "ITEM-1", "itemData" : { "abstract" : "OBJECTIVE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 "author" : [ { "dropping-particle" : "", "family" : "Buchbinder", "given" : "S P", "non-dropping-particle" : "", "parse-names" : false, "suffix" : "" }, { "dropping-particle" : "", "family" : "Katz", "given" : "M H", "non-dropping-particle" : "", "parse-names" : false, "suffix" : "" }, { "dropping-particle" : "", "family" : "Hessol", "given" : "N A", "non-dropping-particle" : "", "parse-names" : false, "suffix" : "" }, { "dropping-particle" : "", "family" : "O'Malley", "given" : "P M", "non-dropping-particle" : "", "parse-names" : false, "suffix" : "" }, { "dropping-particle" : "", "family" : "Holmberg", "given" : "S D", "non-dropping-particle" : "", "parse-names" : false, "suffix" : "" } ], "container-title" : "AIDS", "id" : "ITEM-1", "issue" : "8", "issued" : { "date-parts" : [ [ "1994", "8" ] ] }, "page" : "1123-8", "title" : "Long-term HIV-1 infection without immunologic progression.", "type" : "article-journal", "volume" : "8" }, "uris" : [ "http://www.mendeley.com/documents/?uuid=7910f6ca-c641-3068-9497-27bebfd9fb8f", "http://www.mendeley.com/documents/?uuid=8509104b-ff17-4822-b2a2-c27db64d177e" ] } ], "mendeley" : { "formattedCitation" : "&lt;sup&gt;20&lt;/sup&gt;", "plainTextFormattedCitation" : "20", "previouslyFormattedCitation" : "&lt;sup&gt;20&lt;/sup&gt;" }, "properties" : { "noteIndex" : 0 }, "schema" : "https://github.com/citation-style-language/schema/raw/master/csl-citation.json" }</w:instrText>
            </w:r>
            <w:r w:rsidRPr="0024409C">
              <w:rPr>
                <w:rFonts w:ascii="Helvetica Neue" w:hAnsi="Helvetica Neue"/>
                <w:sz w:val="18"/>
              </w:rPr>
              <w:fldChar w:fldCharType="separate"/>
            </w:r>
            <w:r w:rsidR="00E52119" w:rsidRPr="0024409C">
              <w:rPr>
                <w:rFonts w:ascii="Helvetica Neue" w:hAnsi="Helvetica Neue"/>
                <w:noProof/>
                <w:sz w:val="18"/>
                <w:vertAlign w:val="superscript"/>
              </w:rPr>
              <w:t>20</w:t>
            </w:r>
            <w:r w:rsidRPr="0024409C">
              <w:rPr>
                <w:rFonts w:ascii="Helvetica Neue" w:hAnsi="Helvetica Neue"/>
                <w:sz w:val="18"/>
              </w:rPr>
              <w:fldChar w:fldCharType="end"/>
            </w:r>
            <w:r w:rsidRPr="0024409C">
              <w:rPr>
                <w:rFonts w:ascii="Helvetica Neue" w:hAnsi="Helvetica Neue"/>
                <w:sz w:val="18"/>
              </w:rPr>
              <w:t>,Katz</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"Temporal changes in the lifetime occurrence of opportunistic infections and malignancies among 1115 homosexual men diagnosed with AIDS were examined. Information from the AIDS surveillance registry, hospital pathology and microbiology logs, patient chart reviews, cancer registries, and death certificates was used to calculate the frequency of specific opportunistic infections and malignancies as lifetime (initial or subsequent) diagnoses. The most common lifetime diagnoses were Pneumocystis carinii pneumonia (PCP; 66.5%), Kaposi's sarcoma (KS; 50.7%), disseminated Mycobacterium avium complex (DMAC) infection (29.6%), and cytomegalovirus (CMV) infection (19.6%). From 1981 to 1990, there was a significant decrease in the rate of KS (P = .003) and a significant increase in the rate of DMAC infection (P = .03). PCP decreased during 1985-1990 (P = .009), while CMV infection increased from 1987 through 1990 (P = .03). Thus, KS and PCP have declined over time, while DMAC and CMV are causing substantial and increasing morbidity among AIDS patients.", "author" : [ { "dropping-particle" : "", "family" : "Katz", "given" : "M H", "non-dropping-particle" : "", "parse-names" : false, "suffix" : "" }, { "dropping-particle" : "", "family" : "Hessol", "given" : "N A", "non-dropping-particle" : "", "parse-names" : false, "suffix" : "" }, { "dropping-particle" : "", "family" : "Buchbinder", "given" : "S P", "non-dropping-particle" : "", "parse-names" : false, "suffix" : "" }, { "dropping-particle" : "", "family" : "Hirozawa", "given" : "A", "non-dropping-particle" : "", "parse-names" : false, "suffix" : "" }, { "dropping-particle" : "", "family" : "O'Malley", "given" : "P", "non-dropping-particle" : "", "parse-names" : false, "suffix" : "" }, { "dropping-particle" : "", "family" : "Holmberg", "given" : "S D", "non-dropping-particle" : "", "parse-names" : false, "suffix" : "" } ], "container-title" : "The Journal of Infectious diseases", "id" : "ITEM-1", "issue" : "1", "issued" : { "date-parts" : [ [ "1994", "7" ] ] }, "page" : "198-202", "title" : "Temporal trends of opportunistic infections and malignancies in homosexual men with AIDS.", "type" : "article-journal", "volume" : "170" }, "uris" : [ "http://www.mendeley.com/documents/?uuid=4853aecb-01fd-3210-95c0-61de6bef9e72", "http://www.mendeley.com/documents/?uuid=a8260554-f589-44c9-8921-6efffb95d6f6" ] } ], "mendeley" : { "formattedCitation" : "&lt;sup&gt;21&lt;/sup&gt;", "plainTextFormattedCitation" : "21", "previouslyFormattedCitation" : "&lt;sup&gt;21&lt;/sup&gt;"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21</w:t>
            </w:r>
            <w:r w:rsidRPr="0024409C">
              <w:rPr>
                <w:rFonts w:ascii="Helvetica Neue" w:hAnsi="Helvetica Neue"/>
                <w:noProof/>
                <w:sz w:val="18"/>
                <w:vertAlign w:val="superscript"/>
              </w:rPr>
              <w:fldChar w:fldCharType="end"/>
            </w:r>
          </w:p>
        </w:tc>
      </w:tr>
      <w:tr w:rsidR="009B3BB0" w:rsidRPr="0024409C" w14:paraId="0B6F065B" w14:textId="77777777" w:rsidTr="00277378">
        <w:trPr>
          <w:trHeight w:val="389"/>
          <w:jc w:val="center"/>
        </w:trPr>
        <w:tc>
          <w:tcPr>
            <w:tcW w:w="4188" w:type="dxa"/>
            <w:vAlign w:val="center"/>
          </w:tcPr>
          <w:p w14:paraId="19EA9DEB"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Duration of AIDS stage</w:t>
            </w:r>
          </w:p>
        </w:tc>
        <w:tc>
          <w:tcPr>
            <w:tcW w:w="1337" w:type="dxa"/>
            <w:vAlign w:val="center"/>
          </w:tcPr>
          <w:p w14:paraId="58B8FCB0"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728 days</w:t>
            </w:r>
          </w:p>
        </w:tc>
        <w:tc>
          <w:tcPr>
            <w:tcW w:w="3380" w:type="dxa"/>
            <w:vAlign w:val="center"/>
          </w:tcPr>
          <w:p w14:paraId="4BC2CE3E" w14:textId="2A328D4A" w:rsidR="009B3BB0" w:rsidRPr="0024409C" w:rsidRDefault="009B3BB0" w:rsidP="00E52119">
            <w:pPr>
              <w:tabs>
                <w:tab w:val="left" w:pos="540"/>
              </w:tabs>
              <w:rPr>
                <w:rFonts w:ascii="Helvetica Neue" w:hAnsi="Helvetica Neue"/>
                <w:sz w:val="18"/>
              </w:rPr>
            </w:pPr>
            <w:r w:rsidRPr="0024409C">
              <w:rPr>
                <w:rFonts w:ascii="Helvetica Neue" w:hAnsi="Helvetica Neue"/>
                <w:sz w:val="18"/>
              </w:rPr>
              <w:t>Buchbinder</w:t>
            </w:r>
            <w:r w:rsidRPr="0024409C">
              <w:rPr>
                <w:rFonts w:ascii="Helvetica Neue" w:hAnsi="Helvetica Neue"/>
                <w:sz w:val="18"/>
              </w:rPr>
              <w:fldChar w:fldCharType="begin" w:fldLock="1"/>
            </w:r>
            <w:r w:rsidR="00AD1715">
              <w:rPr>
                <w:rFonts w:ascii="Helvetica Neue" w:hAnsi="Helvetica Neue"/>
                <w:sz w:val="18"/>
              </w:rPr>
              <w:instrText>ADDIN CSL_CITATION { "citationItems" : [ { "id" : "ITEM-1", "itemData" : { "abstract" : "OBJECTIVE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 "author" : [ { "dropping-particle" : "", "family" : "Buchbinder", "given" : "S P", "non-dropping-particle" : "", "parse-names" : false, "suffix" : "" }, { "dropping-particle" : "", "family" : "Katz", "given" : "M H", "non-dropping-particle" : "", "parse-names" : false, "suffix" : "" }, { "dropping-particle" : "", "family" : "Hessol", "given" : "N A", "non-dropping-particle" : "", "parse-names" : false, "suffix" : "" }, { "dropping-particle" : "", "family" : "O'Malley", "given" : "P M", "non-dropping-particle" : "", "parse-names" : false, "suffix" : "" }, { "dropping-particle" : "", "family" : "Holmberg", "given" : "S D", "non-dropping-particle" : "", "parse-names" : false, "suffix" : "" } ], "container-title" : "AIDS", "id" : "ITEM-1", "issue" : "8", "issued" : { "date-parts" : [ [ "1994", "8" ] ] }, "page" : "1123-8", "title" : "Long-term HIV-1 infection without immunologic progression.", "type" : "article-journal", "volume" : "8" }, "uris" : [ "http://www.mendeley.com/documents/?uuid=8509104b-ff17-4822-b2a2-c27db64d177e", "http://www.mendeley.com/documents/?uuid=7910f6ca-c641-3068-9497-27bebfd9fb8f" ] } ], "mendeley" : { "formattedCitation" : "&lt;sup&gt;20&lt;/sup&gt;", "plainTextFormattedCitation" : "20", "previouslyFormattedCitation" : "&lt;sup&gt;20&lt;/sup&gt;" }, "properties" : { "noteIndex" : 0 }, "schema" : "https://github.com/citation-style-language/schema/raw/master/csl-citation.json" }</w:instrText>
            </w:r>
            <w:r w:rsidRPr="0024409C">
              <w:rPr>
                <w:rFonts w:ascii="Helvetica Neue" w:hAnsi="Helvetica Neue"/>
                <w:sz w:val="18"/>
              </w:rPr>
              <w:fldChar w:fldCharType="separate"/>
            </w:r>
            <w:r w:rsidR="00E52119" w:rsidRPr="0024409C">
              <w:rPr>
                <w:rFonts w:ascii="Helvetica Neue" w:hAnsi="Helvetica Neue"/>
                <w:noProof/>
                <w:sz w:val="18"/>
                <w:vertAlign w:val="superscript"/>
              </w:rPr>
              <w:t>20</w:t>
            </w:r>
            <w:r w:rsidRPr="0024409C">
              <w:rPr>
                <w:rFonts w:ascii="Helvetica Neue" w:hAnsi="Helvetica Neue"/>
                <w:sz w:val="18"/>
              </w:rPr>
              <w:fldChar w:fldCharType="end"/>
            </w:r>
          </w:p>
        </w:tc>
      </w:tr>
      <w:tr w:rsidR="009B3BB0" w:rsidRPr="0024409C" w14:paraId="7350BAA9" w14:textId="77777777" w:rsidTr="00277378">
        <w:trPr>
          <w:trHeight w:val="629"/>
          <w:jc w:val="center"/>
        </w:trPr>
        <w:tc>
          <w:tcPr>
            <w:tcW w:w="4188" w:type="dxa"/>
            <w:vAlign w:val="center"/>
          </w:tcPr>
          <w:p w14:paraId="3D537EC4"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Peak viral load during AIDS (at death)</w:t>
            </w:r>
          </w:p>
        </w:tc>
        <w:tc>
          <w:tcPr>
            <w:tcW w:w="1337" w:type="dxa"/>
            <w:vAlign w:val="center"/>
          </w:tcPr>
          <w:p w14:paraId="4732F766"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7 log</w:t>
            </w:r>
            <w:r w:rsidRPr="0024409C">
              <w:rPr>
                <w:rFonts w:ascii="Helvetica Neue" w:hAnsi="Helvetica Neue"/>
                <w:sz w:val="18"/>
                <w:vertAlign w:val="subscript"/>
              </w:rPr>
              <w:t>10</w:t>
            </w:r>
          </w:p>
        </w:tc>
        <w:tc>
          <w:tcPr>
            <w:tcW w:w="3380" w:type="dxa"/>
            <w:vAlign w:val="center"/>
          </w:tcPr>
          <w:p w14:paraId="0949E7D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Estimated from average duration of AIDS</w:t>
            </w:r>
          </w:p>
        </w:tc>
      </w:tr>
    </w:tbl>
    <w:p w14:paraId="3CC4723A" w14:textId="7CA20099" w:rsidR="00730BCC" w:rsidRPr="0024409C" w:rsidRDefault="009B3BB0" w:rsidP="009B3BB0">
      <w:pPr>
        <w:tabs>
          <w:tab w:val="left" w:pos="540"/>
        </w:tabs>
        <w:spacing w:before="240" w:line="360" w:lineRule="auto"/>
        <w:rPr>
          <w:rFonts w:ascii="Helvetica Neue" w:hAnsi="Helvetica Neue"/>
        </w:rPr>
      </w:pPr>
      <w:r w:rsidRPr="0024409C">
        <w:rPr>
          <w:rFonts w:ascii="Helvetica Neue" w:hAnsi="Helvetica Neue"/>
        </w:rPr>
        <w:lastRenderedPageBreak/>
        <w:t xml:space="preserve">After infection, it takes 45 days to reach peak viremia, at a level of 6.886 log 10. From peak viremia, it takes another 45 days to reach viral set point, which is set at a level of 4.5 log 10. The total time of acute stage infection is therefore 3 months. The duration of chronic stage infection in the absence of clinical intervention is 3550 days, or 9.7 years. The total duration of pre-AIDS disease from infection is therefore approximately 10 years. At onset of AIDS, HIV viral load rises linearly from 4.5 log 10 to 7 log 10, at which point mortality is assumed to occur. The time spent in the AIDS stage is 728 days, or 2 years. This viral load trajectory is for ART-naïve persons only, and the influence of ART on disease progression is detailed in Section </w:t>
      </w:r>
      <w:r w:rsidR="00980538" w:rsidRPr="0024409C">
        <w:rPr>
          <w:rFonts w:ascii="Helvetica Neue" w:hAnsi="Helvetica Neue"/>
        </w:rPr>
        <w:t>6</w:t>
      </w:r>
      <w:r w:rsidRPr="0024409C">
        <w:rPr>
          <w:rFonts w:ascii="Helvetica Neue" w:hAnsi="Helvetica Neue"/>
        </w:rPr>
        <w:t>. These transitions are deterministic for all ART-naïve persons.</w:t>
      </w:r>
    </w:p>
    <w:p w14:paraId="069F3D8D" w14:textId="48EE8C18" w:rsidR="009B3BB0" w:rsidRPr="0024409C" w:rsidRDefault="00273CDD" w:rsidP="002232EA">
      <w:pPr>
        <w:pStyle w:val="Heading1"/>
        <w:spacing w:before="300"/>
        <w:rPr>
          <w:rFonts w:ascii="Helvetica Neue" w:hAnsi="Helvetica Neue"/>
          <w:sz w:val="24"/>
          <w:szCs w:val="24"/>
        </w:rPr>
      </w:pPr>
      <w:bookmarkStart w:id="19" w:name="_Toc522270411"/>
      <w:r w:rsidRPr="0024409C">
        <w:rPr>
          <w:rFonts w:ascii="Helvetica Neue" w:hAnsi="Helvetica Neue"/>
          <w:sz w:val="24"/>
          <w:szCs w:val="24"/>
        </w:rPr>
        <w:t>6</w:t>
      </w:r>
      <w:r w:rsidR="009B3BB0" w:rsidRPr="0024409C">
        <w:rPr>
          <w:rFonts w:ascii="Helvetica Neue" w:hAnsi="Helvetica Neue"/>
          <w:sz w:val="24"/>
          <w:szCs w:val="24"/>
        </w:rPr>
        <w:tab/>
      </w:r>
      <w:r w:rsidR="00277378" w:rsidRPr="0024409C">
        <w:rPr>
          <w:rFonts w:ascii="Helvetica Neue" w:hAnsi="Helvetica Neue"/>
          <w:sz w:val="24"/>
          <w:szCs w:val="24"/>
        </w:rPr>
        <w:t xml:space="preserve">HIV </w:t>
      </w:r>
      <w:r w:rsidR="009B3BB0" w:rsidRPr="0024409C">
        <w:rPr>
          <w:rFonts w:ascii="Helvetica Neue" w:hAnsi="Helvetica Neue"/>
          <w:sz w:val="24"/>
          <w:szCs w:val="24"/>
        </w:rPr>
        <w:t>CLINICAL EPIDEMIOLOGY</w:t>
      </w:r>
      <w:bookmarkEnd w:id="19"/>
    </w:p>
    <w:p w14:paraId="26090438" w14:textId="5B5EBACA"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Clinical epidemiological processes refer to all steps along the HIV care continuum after initial infection: diagnosis, linkage to care, treatment initiation and adherence, and HIV viral load suppression. In this model, these clinical features have critical interactions with behavioral features detailed above, as well as impacts on the rates of HIV transmission, detailed below. The features of our model’s clinical processes generally follow the steps of the HIV care continuum, in which persons transition across states from infection to diagnosis to medical care linkage and ART initiation to HIV viral suppression.</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"The National HIV/AIDS Strategy and the promise of treatment as prevention have garnered considerable attention from the policy, practice, and scientific communities, with the treatment cascade becoming the sentinel image illustrating the domestic human immunodeficiency virus (HIV) epidemic. The cascade depicts prevalence estimates for sequential steps from HIV diagnosis through viral suppression, the most striking of which is that &gt;50% of persons diagnosed with HIV are not in medical care. This heterogeneous group includes individuals not linked to medical care following HIV diagnosis and those entering care who are not retained, requiring reengagement from a range of community settings. This review synthesizes the state of engagement in HIV care in the United States, focusing on research, practice, and policy considerations. Included are conceptual frameworks, a review of health implications, measurement, monitoring, and evidence-based intervention approaches, and a look to the future in addressing the greatest challenge and opportunity facing our domestic HIV epidemic.", "author" : [ { "dropping-particle" : "", "family" : "Mugavero", "given" : "M. J.", "non-dropping-particle" : "", "parse-names" : false, "suffix" : "" }, { "dropping-particle" : "", "family" : "Amico", "given" : "K. R.", "non-dropping-particle" : "", "parse-names" : false, "suffix" : "" }, { "dropping-particle" : "", "family" : "Horn", "given" : "T.", "non-dropping-particle" : "", "parse-names" : false, "suffix" : "" }, { "dropping-particle" : "", "family" : "Thompson", "given" : "M. A.", "non-dropping-particle" : "", "parse-names" : false, "suffix" : "" } ], "container-title" : "Clinical Infectious Diseases", "id" : "ITEM-1", "issue" : "8", "issued" : { "date-parts" : [ [ "2013", "10" ] ] }, "page" : "1164-1171", "title" : "The State of Engagement in HIV Care in the United States: From Cascade to Continuum to Control", "type" : "article-journal", "volume" : "57" }, "uris" : [ "http://www.mendeley.com/documents/?uuid=ed07a57b-4c9b-3970-8ca1-8e292088c061", "http://www.mendeley.com/documents/?uuid=ba0de15b-56a4-4ca2-b2ce-053a213baa75" ] } ], "mendeley" : { "formattedCitation" : "&lt;sup&gt;22&lt;/sup&gt;", "plainTextFormattedCitation" : "22", "previouslyFormattedCitation" : "&lt;sup&gt;22&lt;/sup&gt;"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22</w:t>
      </w:r>
      <w:r w:rsidRPr="0024409C">
        <w:rPr>
          <w:rFonts w:ascii="Helvetica Neue" w:hAnsi="Helvetica Neue"/>
          <w:noProof/>
          <w:vertAlign w:val="superscript"/>
        </w:rPr>
        <w:fldChar w:fldCharType="end"/>
      </w:r>
    </w:p>
    <w:p w14:paraId="42F3A273" w14:textId="3883F508" w:rsidR="009B3BB0" w:rsidRPr="0024409C" w:rsidRDefault="00273CDD" w:rsidP="009B3BB0">
      <w:pPr>
        <w:pStyle w:val="Heading2"/>
        <w:rPr>
          <w:rFonts w:ascii="Helvetica Neue" w:hAnsi="Helvetica Neue"/>
          <w:szCs w:val="22"/>
        </w:rPr>
      </w:pPr>
      <w:bookmarkStart w:id="20" w:name="_Toc522270412"/>
      <w:r w:rsidRPr="0024409C">
        <w:rPr>
          <w:rFonts w:ascii="Helvetica Neue" w:hAnsi="Helvetica Neue"/>
          <w:szCs w:val="22"/>
        </w:rPr>
        <w:t>6</w:t>
      </w:r>
      <w:r w:rsidR="002768F0" w:rsidRPr="0024409C">
        <w:rPr>
          <w:rFonts w:ascii="Helvetica Neue" w:hAnsi="Helvetica Neue"/>
          <w:szCs w:val="22"/>
        </w:rPr>
        <w:t>.1</w:t>
      </w:r>
      <w:r w:rsidR="002768F0" w:rsidRPr="0024409C">
        <w:rPr>
          <w:rFonts w:ascii="Helvetica Neue" w:hAnsi="Helvetica Neue"/>
          <w:szCs w:val="22"/>
        </w:rPr>
        <w:tab/>
      </w:r>
      <w:r w:rsidR="002768F0" w:rsidRPr="0024409C">
        <w:rPr>
          <w:rFonts w:ascii="Helvetica Neue" w:hAnsi="Helvetica Neue"/>
          <w:szCs w:val="22"/>
        </w:rPr>
        <w:tab/>
      </w:r>
      <w:r w:rsidR="009B3BB0" w:rsidRPr="0024409C">
        <w:rPr>
          <w:rFonts w:ascii="Helvetica Neue" w:hAnsi="Helvetica Neue"/>
          <w:szCs w:val="22"/>
        </w:rPr>
        <w:t>HIV Diagnostic Testing</w:t>
      </w:r>
      <w:bookmarkEnd w:id="20"/>
    </w:p>
    <w:p w14:paraId="17ABE1E8" w14:textId="3EEBB554"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Persons in our models were divided into non-testers (through age 40) and regular interval-based testers. Based on empirical data for Atlanta MSM,</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"ISSN" : "10472797", "abstract" : "PURPOSE To describe factors associated with racial disparities in HIV (human immunodeficiency virus) incidence among men who have sex with men (MSM) in the United States. METHODS In a longitudinal cohort of black and white HIV-negative MSM in Atlanta, HIV incidence rates were compared by race. Incidence hazard ratios (HRs) between black and white MSM were estimated with an age-scaled Cox proportional hazards model. A change-in-estimate approach was used to understand mediating time-independent and -dependent factors that accounted for the elevated HR. RESULTS Thirty-two incident HIV infections occurred among 260 black and 302 white MSM during 843 person-years (PY) of follow-up. HIV incidence was higher among black MSM (6.5/100 PY; 95% confidence interval [CI]: 4.2\u20139.7) than white MSM (1.7/100 PY; CI: 0.7\u20133.3) and highest among young (18\u201324 years) black MSM (10.9/100 PY; CI: 6.2\u201317.6). The unadjusted hazard of HIV infection for black MSM was 2.9 (CI: 1.3\u20136.4) times that of white MSM; adjustment for health insurance status and partner race explained effectively all of the racial disparity. CONCLUSIONS Relative to white MSM in Atlanta, black MSM, particularly young black MSM, experienced higher HIV incidence that was not attributable to individual risk behaviors. In a setting where partner pool risk is a driver of disparities, it is also important to maximize care and treatment for HIV-positive MSM.", "author" : [ { "dropping-particle" : "", "family" : "Sullivan", "given" : "Patrick S.", "non-dropping-particle" : "", "parse-names" : false, "suffix" : "" }, { "dropping-particle" : "", "family" : "Rosenberg", "given" : "Eli S.", "non-dropping-particle" : "", "parse-names" : false, "suffix" : "" }, { "dropping-particle" : "", "family" : "Sanchez", "given" : "Travis H.", "non-dropping-particle" : "", "parse-names" : false, "suffix" : "" }, { "dropping-particle" : "", "family" : "Kelley", "given" : "Colleen F.", "non-dropping-particle" : "", "parse-names" : false, "suffix" : "" }, { "dropping-particle" : "", "family" : "Luisi", "given" : "Nicole", "non-dropping-particle" : "", "parse-names" : false, "suffix" : "" }, { "dropping-particle" : "", "family" : "Cooper", "given" : "Hannah L.", "non-dropping-particle" : "", "parse-names" : false, "suffix" : "" }, { "dropping-particle" : "", "family" : "Diclemente", "given" : "Ralph J.", "non-dropping-particle" : "", "parse-names" : false, "suffix" : "" }, { "dropping-particle" : "", "family" : "Wingood", "given" : "Gina M.", "non-dropping-particle" : "", "parse-names" : false, "suffix" : "" }, { "dropping-particle" : "", "family" : "Frew", "given" : "Paula M.", "non-dropping-particle" : "", "parse-names" : false, "suffix" : "" }, { "dropping-particle" : "", "family" : "Salazar", "given" : "Laura F.", "non-dropping-particle" : "", "parse-names" : false, "suffix" : "" }, { "dropping-particle" : "", "family" : "Rio", "given" : "Carlos", "non-dropping-particle" : "del", "parse-names" : false, "suffix" : "" }, { "dropping-particle" : "", "family" : "Mulligan", "given" : "Mark J.", "non-dropping-particle" : "", "parse-names" : false, "suffix" : "" }, { "dropping-particle" : "", "family" : "Peterson", "given" : "John L.", "non-dropping-particle" : "", "parse-names" : false, "suffix" : "" } ], "container-title" : "Ann Epidemiol", "id" : "ITEM-1", "issue" : "6", "issued" : { "date-parts" : [ [ "2015" ] ] }, "page" : "445-454", "title" : "Explaining racial disparities in HIV incidence in black and white men who have sex with men in Atlanta, GA: a prospective observational cohort study", "type" : "article-journal", "volume" : "25" }, "uris" : [ "http://www.mendeley.com/documents/?uuid=0ca47ab6-493a-43f9-b1d0-48e2041b9866" ] } ], "mendeley" : { "formattedCitation" : "&lt;sup&gt;12&lt;/sup&gt;", "plainTextFormattedCitation" : "12", "previouslyFormattedCitation" : "&lt;sup&gt;12&lt;/sup&gt;"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12</w:t>
      </w:r>
      <w:r w:rsidRPr="0024409C">
        <w:rPr>
          <w:rFonts w:ascii="Helvetica Neue" w:hAnsi="Helvetica Neue"/>
          <w:noProof/>
          <w:vertAlign w:val="superscript"/>
        </w:rPr>
        <w:fldChar w:fldCharType="end"/>
      </w:r>
      <w:r w:rsidRPr="0024409C">
        <w:rPr>
          <w:rFonts w:ascii="Helvetica Neue" w:hAnsi="Helvetica Neue"/>
        </w:rPr>
        <w:t xml:space="preserve"> 6.5% of MSM did not receive HIV testing before age 40. This was calculated bas</w:t>
      </w:r>
      <w:r w:rsidR="00D71B66" w:rsidRPr="0024409C">
        <w:rPr>
          <w:rFonts w:ascii="Helvetica Neue" w:hAnsi="Helvetica Neue"/>
        </w:rPr>
        <w:t>ed on a survey question about never testing</w:t>
      </w:r>
      <w:r w:rsidRPr="0024409C">
        <w:rPr>
          <w:rFonts w:ascii="Helvetica Neue" w:hAnsi="Helvetica Neue"/>
        </w:rPr>
        <w:t xml:space="preserve"> prior to the study, which may overestimate the final proportion who would have never tested before age 40. A fixed individual attribute for HIV treatment trajectories that characterized progression through the care continuum was randomly assigned upon entry into the population, with this group of 6.5% of MSM not accessing HIV testing or other forms of post-diagnostic HIV medical services.</w:t>
      </w:r>
    </w:p>
    <w:p w14:paraId="380649BD" w14:textId="19FDB651"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The remaining 93.5% who entered the HIV care continuum HIV tested at regular intervals, with the estimated mean time between tests for HIV-negative persons at 301 days for black MSM and 315 days for white MSM.</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"BACKGROUND Black/white disparities in HIV incidence and prevalence among men who have sex with men (MSM) in the United States remain largely unexplained. We examined the impact on HIV prevalence and incidence of interventions that decrease disparities in HIV care. Deciding which interventions have most impact on reducing disparities is critical. METHODS Using available US Centers for Disease Control and Prevention (CDC) estimates, we constructed HIV care continua for black and white MSM for 2009-2010. These estimates were used as parameters in a deterministic model to yield estimated race-specific transmissions, transmission rates, incidence rates, and rate-ratios (RR). We examined the impact of changes in the care continuum for black MSM on transmission and incidence rates. FINDINGS Marked disparities were found throughout the care continuum: ultimately, 16% of black and 34% of white MSM achieved viral suppression. Based on these care continua, 9,833 and 9,710 new HIV transmissions were estimated annually respectively from HIV-positive black and white MSM (transmission RR=1\u00b736 and incidence RR=7\u00b792). In a model where black and white MSM have identical care outcomes, transmission RR=1\u00b700 and incidence RR=5\u00b780. Scenarios of 95% diagnosis, 95% retention, and concurrent 95% diagnosis and 95% retention respectively yield transmission RR=1\u00b700, 1\u00b702, 0\u00b756, and incidence RR=5\u00b781, 5\u00b793, 3\u00b728. INTERPRETATION Disparities in HIV transmission rates may be reduced by improving the HIV care continuum outcomes, but existing racial disparities in HIV prevalence will likely continue to drive higher incidence among black MSM for decades to come.", "author" : [ { "dropping-particle" : "", "family" : "Rosenberg", "given" : "Eli S", "non-dropping-particle" : "", "parse-names" : false, "suffix" : "" }, { "dropping-particle" : "", "family" : "Millett", "given" : "Gregorio A", "non-dropping-particle" : "", "parse-names" : false, "suffix" : "" }, { "dropping-particle" : "", "family" : "Sullivan", "given" : "Patrick S", "non-dropping-particle" : "", "parse-names" : false, "suffix" : "" }, { "dropping-particle" : "", "family" : "Rio", "given" : "Carlos", "non-dropping-particle" : "del", "parse-names" : false, "suffix" : "" }, { "dropping-particle" : "", "family" : "Curran", "given" : "James W", "non-dropping-particle" : "", "parse-names" : false, "suffix" : "" } ], "container-title" : "The Lancet HIV", "id" : "ITEM-1", "issue" : "3", "issued" : { "date-parts" : [ [ "2014", "12" ] ] }, "page" : "e112-e118", "title" : "Understanding the HIV disparities between black and white men who have sex with men in the USA using the HIV care continuum: a modelling study", "type" : "article-journal", "volume" : "1" }, "uris" : [ "http://www.mendeley.com/documents/?uuid=b481f7ea-f692-3cb3-8fbf-5d0d19afb4c7", "http://www.mendeley.com/documents/?uuid=945942f1-bba0-46f0-9d55-6c3e692fb50c" ] }, { "id" : "ITEM-2", "itemData" : { "ISSN" : "10472797", "abstract" : "PURPOSE To describe factors associated with racial disparities in HIV (human immunodeficiency virus) incidence among men who have sex with men (MSM) in the United States. METHODS In a longitudinal cohort of black and white HIV-negative MSM in Atlanta, HIV incidence rates were compared by race. Incidence hazard ratios (HRs) between black and white MSM were estimated with an age-scaled Cox proportional hazards model. A change-in-estimate approach was used to understand mediating time-independent and -dependent factors that accounted for the elevated HR. RESULTS Thirty-two incident HIV infections occurred among 260 black and 302 white MSM during 843 person-years (PY) of follow-up. HIV incidence was higher among black MSM (6.5/100 PY; 95% confidence interval [CI]: 4.2\u20139.7) than white MSM (1.7/100 PY; CI: 0.7\u20133.3) and highest among young (18\u201324 years) black MSM (10.9/100 PY; CI: 6.2\u201317.6). The unadjusted hazard of HIV infection for black MSM was 2.9 (CI: 1.3\u20136.4) times that of white MSM; adjustment for health insurance status and partner race explained effectively all of the racial disparity. CONCLUSIONS Relative to white MSM in Atlanta, black MSM, particularly young black MSM, experienced higher HIV incidence that was not attributable to individual risk behaviors. In a setting where partner pool risk is a driver of disparities, it is also important to maximize care and treatment for HIV-positive MSM.", "author" : [ { "dropping-particle" : "", "family" : "Sullivan", "given" : "Patrick S.", "non-dropping-particle" : "", "parse-names" : false, "suffix" : "" }, { "dropping-particle" : "", "family" : "Rosenberg", "given" : "Eli S.", "non-dropping-particle" : "", "parse-names" : false, "suffix" : "" }, { "dropping-particle" : "", "family" : "Sanchez", "given" : "Travis H.", "non-dropping-particle" : "", "parse-names" : false, "suffix" : "" }, { "dropping-particle" : "", "family" : "Kelley", "given" : "Colleen F.", "non-dropping-particle" : "", "parse-names" : false, "suffix" : "" }, { "dropping-particle" : "", "family" : "Luisi", "given" : "Nicole", "non-dropping-particle" : "", "parse-names" : false, "suffix" : "" }, { "dropping-particle" : "", "family" : "Cooper", "given" : "Hannah L.", "non-dropping-particle" : "", "parse-names" : false, "suffix" : "" }, { "dropping-particle" : "", "family" : "Diclemente", "given" : "Ralph J.", "non-dropping-particle" : "", "parse-names" : false, "suffix" : "" }, { "dropping-particle" : "", "family" : "Wingood", "given" : "Gina M.", "non-dropping-particle" : "", "parse-names" : false, "suffix" : "" }, { "dropping-particle" : "", "family" : "Frew", "given" : "Paula M.", "non-dropping-particle" : "", "parse-names" : false, "suffix" : "" }, { "dropping-particle" : "", "family" : "Salazar", "given" : "Laura F.", "non-dropping-particle" : "", "parse-names" : false, "suffix" : "" }, { "dropping-particle" : "", "family" : "Rio", "given" : "Carlos", "non-dropping-particle" : "del", "parse-names" : false, "suffix" : "" }, { "dropping-particle" : "", "family" : "Mulligan", "given" : "Mark J.", "non-dropping-particle" : "", "parse-names" : false, "suffix" : "" }, { "dropping-particle" : "", "family" : "Peterson", "given" : "John L.", "non-dropping-particle" : "", "parse-names" : false, "suffix" : "" } ], "container-title" : "Ann Epidemiol", "id" : "ITEM-2", "issue" : "6", "issued" : { "date-parts" : [ [ "2015" ] ] }, "page" : "445-454", "title" : "Explaining racial disparities in HIV incidence in black and white men who have sex with men in Atlanta, GA: a prospective observational cohort study", "type" : "article-journal", "volume" : "25" }, "uris" : [ "http://www.mendeley.com/documents/?uuid=0ca47ab6-493a-43f9-b1d0-48e2041b9866" ] } ], "mendeley" : { "formattedCitation" : "&lt;sup&gt;12,23&lt;/sup&gt;", "plainTextFormattedCitation" : "12,23", "previouslyFormattedCitation" : "&lt;sup&gt;12,23&lt;/sup&gt;"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12,23</w:t>
      </w:r>
      <w:r w:rsidRPr="0024409C">
        <w:rPr>
          <w:rFonts w:ascii="Helvetica Neue" w:hAnsi="Helvetica Neue"/>
          <w:noProof/>
          <w:vertAlign w:val="superscript"/>
        </w:rPr>
        <w:fldChar w:fldCharType="end"/>
      </w:r>
      <w:r w:rsidRPr="0024409C">
        <w:rPr>
          <w:rFonts w:ascii="Helvetica Neue" w:hAnsi="Helvetica Neue"/>
        </w:rPr>
        <w:t xml:space="preserve"> This was calculated based on time since last test in the survey, with the assumption that testing was a memoryless process. In this paper, we averaged over the two intervals since we did not explicitly model racial differences in the care </w:t>
      </w:r>
      <w:r w:rsidRPr="0024409C">
        <w:rPr>
          <w:rFonts w:ascii="Helvetica Neue" w:hAnsi="Helvetica Neue"/>
        </w:rPr>
        <w:lastRenderedPageBreak/>
        <w:t>continuum. Diagnostic testing was simulated stochastically using draws from a binomial distribution with probability parameters equal to the reciprocal of this interval. This generated a population-level geometric distribution of times since last test.</w:t>
      </w:r>
    </w:p>
    <w:p w14:paraId="6447A3EF" w14:textId="769D9FCD"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We also modeled a 21-day window period after infection during which the tests of the truly HIV+ persons would show as negative to account for the lack of antibody response immediately after infection.</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"OBJECTIVES The characterization of primary HIV infection by the analysis of serial plasma samples from newly infected persons using multiple standard viral assays. DESIGN A retrospective study involving two sets of archived samples from HIV-infected plasma donors. (A) 435 samples from 51 donors detected by anti-HIV enzyme immunoassays donated during 1984-1994; (B) 145 specimens from 44 donors detected by p24 antigen screening donated during 1996-1998. SETTING Two US plasma products companies. MAIN OUTCOME MEASURES The timepoints of appearance of HIV-1 markers and viral load concentrations during primary HIV infection. RESULTS The pattern of sequential emergence of viral markers in the 'A' panels was highly consistent, allowing the definition and estimation of the duration of six sequential stages. From the 'B' panels, the viral load at p24 antigen seroconversion was estimated by regression analysis at 10 000 copies/ml (95% CI 2000-93 000) and the HIV replication rate at 0.35 log copies/ml/day, corresponding to a doubling time in the preseroconversion phase of 20.5 h (95% CI 18.2-23.4 h). Consequently, an RNA test with 50 copies/ml sensitivity would detect HIV infection approximately 7 days before a p24 antigen test, and 12 days before a sensitive anti-HIV test. CONCLUSION The sequential emergence of assay reactivity allows the classification of primary HIV-1 infection into distinct laboratory stages, which may facilitate the diagnosis of recent infection and stratification of patients enrolled in clinical trials. Quantitative analysis of preseroconversion replication rates of HIV is useful for projecting the yield and predictive value of assays targeting primary HIV infection.", "author" : [ { "dropping-particle" : "", "family" : "Fiebig", "given" : "Eberhard W", "non-dropping-particle" : "", "parse-names" : false, "suffix" : "" }, { "dropping-particle" : "", "family" : "Wright", "given" : "David J", "non-dropping-particle" : "", "parse-names" : false, "suffix" : "" }, { "dropping-particle" : "", "family" : "Rawal", "given" : "Bhupat D", "non-dropping-particle" : "", "parse-names" : false, "suffix" : "" }, { "dropping-particle" : "", "family" : "Garrett", "given" : "Patricia E", "non-dropping-particle" : "", "parse-names" : false, "suffix" : "" }, { "dropping-particle" : "", "family" : "Schumacher", "given" : "Richard T", "non-dropping-particle" : "", "parse-names" : false, "suffix" : "" }, { "dropping-particle" : "", "family" : "Peddada", "given" : "Lorraine", "non-dropping-particle" : "", "parse-names" : false, "suffix" : "" }, { "dropping-particle" : "", "family" : "Heldebrant", "given" : "Charles", "non-dropping-particle" : "", "parse-names" : false, "suffix" : "" }, { "dropping-particle" : "", "family" : "Smith", "given" : "Richard", "non-dropping-particle" : "", "parse-names" : false, "suffix" : "" }, { "dropping-particle" : "", "family" : "Conrad", "given" : "Andrew", "non-dropping-particle" : "", "parse-names" : false, "suffix" : "" }, { "dropping-particle" : "", "family" : "Kleinman", "given" : "Steven H", "non-dropping-particle" : "", "parse-names" : false, "suffix" : "" }, { "dropping-particle" : "", "family" : "Busch", "given" : "Michael P", "non-dropping-particle" : "", "parse-names" : false, "suffix" : "" } ], "container-title" : "AIDS", "id" : "ITEM-1", "issue" : "13", "issued" : { "date-parts" : [ [ "2003", "9" ] ] }, "page" : "1871-9", "title" : "Dynamics of HIV viremia and antibody seroconversion in plasma donors: implications for diagnosis and staging of primary HIV infection.", "type" : "article-journal", "volume" : "17" }, "uris" : [ "http://www.mendeley.com/documents/?uuid=ef9059a3-228f-341c-9705-b09ff35db38e", "http://www.mendeley.com/documents/?uuid=3e0e2419-865d-4622-92a7-6202bb64aca3" ] } ], "mendeley" : { "formattedCitation" : "&lt;sup&gt;24&lt;/sup&gt;", "plainTextFormattedCitation" : "24", "previouslyFormattedCitation" : "&lt;sup&gt;24&lt;/sup&gt;"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24</w:t>
      </w:r>
      <w:r w:rsidRPr="0024409C">
        <w:rPr>
          <w:rFonts w:ascii="Helvetica Neue" w:hAnsi="Helvetica Neue"/>
          <w:noProof/>
          <w:vertAlign w:val="superscript"/>
        </w:rPr>
        <w:fldChar w:fldCharType="end"/>
      </w:r>
      <w:r w:rsidRPr="0024409C">
        <w:rPr>
          <w:rFonts w:ascii="Helvetica Neue" w:hAnsi="Helvetica Neue"/>
        </w:rPr>
        <w:t xml:space="preserve"> HIV+ persons who tested after this window period would be correctly diagnosed with 100% test sensitivity. Individual-level attributes for diagnosis status and time since last HIV test were recorded for all MSM.</w:t>
      </w:r>
    </w:p>
    <w:p w14:paraId="2B690495" w14:textId="1B0F867F" w:rsidR="009B3BB0" w:rsidRPr="0024409C" w:rsidRDefault="00273CDD" w:rsidP="009B3BB0">
      <w:pPr>
        <w:pStyle w:val="Heading2"/>
        <w:rPr>
          <w:rFonts w:ascii="Helvetica Neue" w:hAnsi="Helvetica Neue"/>
          <w:szCs w:val="22"/>
        </w:rPr>
      </w:pPr>
      <w:bookmarkStart w:id="21" w:name="_Toc522270413"/>
      <w:r w:rsidRPr="0024409C">
        <w:rPr>
          <w:rFonts w:ascii="Helvetica Neue" w:hAnsi="Helvetica Neue"/>
          <w:szCs w:val="22"/>
        </w:rPr>
        <w:t>6</w:t>
      </w:r>
      <w:r w:rsidR="009B3BB0" w:rsidRPr="0024409C">
        <w:rPr>
          <w:rFonts w:ascii="Helvetica Neue" w:hAnsi="Helvetica Neue"/>
          <w:szCs w:val="22"/>
        </w:rPr>
        <w:t>.2</w:t>
      </w:r>
      <w:r w:rsidR="009B3BB0" w:rsidRPr="0024409C">
        <w:rPr>
          <w:rFonts w:ascii="Helvetica Neue" w:hAnsi="Helvetica Neue"/>
          <w:szCs w:val="22"/>
        </w:rPr>
        <w:tab/>
      </w:r>
      <w:r w:rsidR="00BB6623" w:rsidRPr="0024409C">
        <w:rPr>
          <w:rFonts w:ascii="Helvetica Neue" w:hAnsi="Helvetica Neue"/>
          <w:szCs w:val="22"/>
        </w:rPr>
        <w:tab/>
      </w:r>
      <w:r w:rsidR="009B3BB0" w:rsidRPr="0024409C">
        <w:rPr>
          <w:rFonts w:ascii="Helvetica Neue" w:hAnsi="Helvetica Neue"/>
          <w:szCs w:val="22"/>
        </w:rPr>
        <w:t>Antiretroviral Therapy (ART) Initiation</w:t>
      </w:r>
      <w:bookmarkEnd w:id="21"/>
    </w:p>
    <w:p w14:paraId="76E18C29" w14:textId="38C5C6D9"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Consistent with previous models,</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"ITEM-1", "issue" : "11", "issued" : { "date-parts" : [ [ "2012" ] ] }, "page" : "e50522", "title" : "What drives the US and Peruvian HIV epidemics in men who have sex with men (MSM)?", "type" : "article-journal", "volume" : "7" }, "uris" : [ "http://www.mendeley.com/documents/?uuid=95236385-1da9-4014-87d9-9bf044dc09fb" ] }, { "id" : "ITEM-2", "itemData" : { "ISSN" : "1932-6203", "PMID" : "25076493", "abstract" : "BACKGROUND Three trials have demonstrated the prophylactic effect of male circumcision (MC) for HIV acquisition among heterosexuals, and MC interventions are underway throughout sub-Saharan Africa. Similar efforts for men who have sex with men (MSM) are stymied by the potential for circumcised MSM to acquire HIV easily through receptive sex and transmit easily through insertive sex. Existing work suggests that MC for MSM should reach its maximum potential in settings where sexual role segregation is historically high and relatively stable across the lifecourse; HIV incidence among MSM is high; reported willingness for prophylactic circumcision is high; and pre-existing circumcision rates are low. We aim to identify the likely public health impact that MC interventions among MSM would have in one setting that fulfills these conditions-Peru-as a theoretical upper bound for their effectiveness among MSM generally. METHODS AND FINDINGS We use a dynamic, stochastic sexual network model based in exponential-family random graph modeling and parameterized from multiple behavioral surveys of Peruvian MSM. We consider three enrollment criteria (insertive during 100%, &gt;80% or &gt;60% of UAI) and two levels of uptake (25% and 50% of eligible men); we explore sexual role proportions from two studies and different frequencies of switching among role categories. Each scenario is simulated 10 times. We estimate that efficiency could reach one case averted per 6 circumcisions. However, the population-level impact of an optimistic MSM-MC intervention in this setting would likely be at most \u223c5-10% incidence and prevalence reductions over 25 years. CONCLUSIONS Roll-out of MC for MSM in Peru would not result in a substantial reduction in new HIV infections, despite characteristics in this population that could maximize such effects. Additional studies are needed to confirm these results for other MSM populations, and providers may consider the individual health benefits of offering MC to their MSM patients.",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"Fuchs", "given" : "Jonathan D", "non-dropping-particle" : "", "parse-names" : false, "suffix" : "" }, { "dropping-particle" : "", "family" : "Sanchez", "given" : "Jorge", "non-dropping-particle" : "", "parse-names" : false, "suffix" : "" }, { "dropping-particle" : "", "family" : "Buchbinder", "given" : "Susan P", "non-dropping-particle" : "", "parse-names" : false, "suffix" : "" } ], "container-title" : "PloS One", "id" : "ITEM-2", "issue" : "7", "issued" : { "date-parts" : [ [ "2014" ] ] }, "page" : "e102960", "title" : "Can male circumcision have an impact on the HIV epidemic in men who have sex with men?", "type" : "article-journal", "volume" : "9" }, "uris" : [ "http://www.mendeley.com/documents/?uuid=4655d172-cbf9-44a1-bca9-5231aaa7a93e" ] } ], "mendeley" : { "formattedCitation" : "&lt;sup&gt;1,2&lt;/sup&gt;", "plainTextFormattedCitation" : "1,2", "previouslyFormattedCitation" : "&lt;sup&gt;1,2&lt;/sup&gt;"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4017C2" w:rsidRPr="0024409C">
        <w:rPr>
          <w:rFonts w:ascii="Helvetica Neue" w:hAnsi="Helvetica Neue"/>
          <w:noProof/>
          <w:vertAlign w:val="superscript"/>
        </w:rPr>
        <w:t>1,2</w:t>
      </w:r>
      <w:r w:rsidRPr="0024409C">
        <w:rPr>
          <w:rFonts w:ascii="Helvetica Neue" w:hAnsi="Helvetica Neue"/>
          <w:noProof/>
          <w:vertAlign w:val="superscript"/>
        </w:rPr>
        <w:fldChar w:fldCharType="end"/>
      </w:r>
      <w:r w:rsidRPr="0024409C">
        <w:rPr>
          <w:rFonts w:ascii="Helvetica Neue" w:hAnsi="Helvetica Neue"/>
        </w:rPr>
        <w:t xml:space="preserve"> we simulated the initiation of ART and subsequent clinical outcomes of full or partial HIV viral suppression based on men being in one of three clinical states: never tested, on treatment and partially virally suppressed, and on treatment with full viral suppression. There was insufficient empirical data to represent the patterns and rates at which individual men switch among these three states over the course of their infection, since the clinical ART landscape is constantly evolving. Therefore, we modeled men as being on one of the three fixed treatment trajectories as an individual-level attribute such that our model matched the population-level data on the prevalence of durable HIV viral suppression and treatment-naïve mortality.</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"OBJECTIVE To better understand why HIV incidence is substantially higher among black than white men who have sex with men (MSM), we present the first nationally representative estimates of factors that contribute to transmission - sexual behavior, antiretroviral therapy (ART) use, and viral suppression - among HIV-infected black and white MSM in the United States. DESIGN The Medical Monitoring Project (MMP) is a complex sample survey of HIV-infected adults receiving medical care in the United States. METHODS We used weighted interview and medical record data collected during June 2009 to May 2010 to estimate the prevalence of sexual behaviors, ART use, and viral suppression among sexually active HIV-infected black and white MSM. We used \u03c7 tests to assess significant differences between races and logistic regression models to identify factors that mediated the racial differences. RESULTS Sexual risk behaviors among black and white MSM were similar. Black MSM were significantly less likely than white MSM to take ART (80 vs. 91%) and be durably virally suppressed (48 vs. 69%). Accounting for mediators (e.g. age, insurance, poverty, education, time since diagnosis, and disease stage) reduced, but did not eliminate, disparities in ART use and rendered differences in viral suppression among those on ART insignificant. CONCLUSION Lower levels of ART use and viral suppression among HIV-infected black MSM may increase the likelihood of HIV transmission. Addressing the patient-level factors and structural inequalities that contribute to lower levels of ART use and viral suppression among this group will improve clinical outcomes and might reduce racial disparities in HIV incidence.", "author" : [ { "dropping-particle" : "", "family" : "Beer", "given" : "Linda", "non-dropping-particle" : "", "parse-names" : false, "suffix" : "" }, { "dropping-particle" : "", "family" : "Oster", "given" : "Alexandra M.", "non-dropping-particle" : "", "parse-names" : false, "suffix" : "" }, { "dropping-particle" : "", "family" : "Mattson", "given" : "Christine L.", "non-dropping-particle" : "", "parse-names" : false, "suffix" : "" }, { "dropping-particle" : "", "family" : "Skarbinski", "given" : "Jacek", "non-dropping-particle" : "", "parse-names" : false, "suffix" : "" }, { "dropping-particle" : "", "family" : "Medical Monitoring Project", "given" : "", "non-dropping-particle" : "", "parse-names" : false, "suffix" : "" } ], "container-title" : "AIDS", "id" : "ITEM-1", "issue" : "1", "issued" : { "date-parts" : [ [ "2014", "1" ] ] }, "page" : "105-114", "title" : "Disparities in HIV transmission risk among HIV-infected black and white men who have sex with men, United States, 2009", "type" : "article-journal", "volume" : "28" }, "uris" : [ "http://www.mendeley.com/documents/?uuid=5060c3d0-4830-3298-b88b-1da80592e44a", "http://www.mendeley.com/documents/?uuid=9e4e37ff-5b99-4590-ab1b-f3019e0aafe6" ] }, { "id" : "ITEM-2", "itemData" : { "abstract" : "Monitoring delayed entry to HIV medical care is needed because it signifies that opportunities to prevent HIV transmission and mitigate disease progression have been missed. A central question for population-level monitoring is whether to consider a person linked to care after receipt of one CD4 or VL test. Using HIV surveillance data, we explored two definitions for estimating the number of HIV-diagnosed persons not linked to HIV medical care. We used receipt of at least one CD4 or VL test (definition 1) and two or more CD4 or VL tests (definition 2) to define linkage to care within 12 months and within 42 months of HIV diagnosis. In five jurisdictions, persons diagnosed from 12/2006-12/2008 who had not died or moved away and who had zero, or less than two reported CD4 or VL tests by 7/31/2010 were considered not linked to care under definitions 1 and 2, respectively. Among 13,600 persons followed up for 19-42 months; 1,732 (13%) had no reported CD4 or VL tests; 2,332 persons (17%) had only one CD4 or VL test and 9,536 persons (70%) had two or more CD4 or VL tests. To summarize, after more than 19 months, 30% of persons diagnosed with HIV had less than two CD4 or VL tests; more than half of them were considered to have entered care if entering care is defined as having one CD4 or VL test. Defining linkage to care as a single CD4 or VL may overestimate entry into care, particularly for certain subgroups.", "author" : [ { "dropping-particle" : "", "family" : "Bertolli", "given" : "Jeanne", "non-dropping-particle" : "", "parse-names" : false, "suffix" : "" }, { "dropping-particle" : "", "family" : "Shouse", "given" : "R Luke", "non-dropping-particle" : "", "parse-names" : false, "suffix" : "" }, { "dropping-particle" : "", "family" : "Beer", "given" : "Linda", "non-dropping-particle" : "", "parse-names" : false, "suffix" : "" }, { "dropping-particle" : "", "family" : "Valverde", "given" : "Eduardo", "non-dropping-particle" : "", "parse-names" : false, "suffix" : "" }, { "dropping-particle" : "", "family" : "Fagan", "given" : "Jennifer", "non-dropping-particle" : "", "parse-names" : false, "suffix" : "" }, { "dropping-particle" : "", "family" : "Jenness", "given" : "Samuel M", "non-dropping-particle" : "", "parse-names" : false, "suffix" : "" }, { "dropping-particle" : "", "family" : "Wogayehu", "given" : "Afework", "non-dropping-particle" : "", "parse-names" : false, "suffix" : "" }, { "dropping-particle" : "", "family" : "Johnson", "given" : "Christopher", "non-dropping-particle" : "", "parse-names" : false, "suffix" : "" }, { "dropping-particle" : "", "family" : "Neaigus", "given" : "Alan", "non-dropping-particle" : "", "parse-names" : false, "suffix" : "" }, { "dropping-particle" : "", "family" : "Hillman", "given" : "Daniel", "non-dropping-particle" : "", "parse-names" : false, "suffix" : "" }, { "dropping-particle" : "", "family" : "Courogen", "given" : "Maria", "non-dropping-particle" : "", "parse-names" : false, "suffix" : "" }, { "dropping-particle" : "", "family" : "Brady", "given" : "Kathleen A", "non-dropping-particle" : "", "parse-names" : false, "suffix" : "" }, { "dropping-particle" : "", "family" : "Bolden", "given" : "Barbara", "non-dropping-particle" : "", "parse-names" : false, "suffix" : "" } ], "container-title" : "The open AIDS journal", "id" : "ITEM-2", "issued" : { "date-parts" : [ [ "2012" ] ] }, "page" : "131-41", "publisher" : "Bentham Science Publishers", "title" : "Using HIV surveillance data to monitor missed opportunities for linkage and engagement in HIV medical care.", "type" : "article-journal", "volume" : "6" }, "uris" : [ "http://www.mendeley.com/documents/?uuid=fbc9759f-ccc0-37b5-a554-b2d0f9633e20", "http://www.mendeley.com/documents/?uuid=27e81cb9-1a48-4ca6-b5d9-fa38724fe896" ] } ], "mendeley" : { "formattedCitation" : "&lt;sup&gt;25,26&lt;/sup&gt;", "plainTextFormattedCitation" : "25,26", "previouslyFormattedCitation" : "&lt;sup&gt;25,26&lt;/sup&gt;"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25,26</w:t>
      </w:r>
      <w:r w:rsidRPr="0024409C">
        <w:rPr>
          <w:rFonts w:ascii="Helvetica Neue" w:hAnsi="Helvetica Neue"/>
          <w:noProof/>
          <w:vertAlign w:val="superscript"/>
        </w:rPr>
        <w:fldChar w:fldCharType="end"/>
      </w:r>
    </w:p>
    <w:p w14:paraId="45CAFE66" w14:textId="7A39D627"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Following HIV diagnosis (for the 93.5% of men who ever HIV test before age 40), MSM initiated treatment at a rate of 0.1095 per week. This translates into an average interval between testing and treatment initiation of 9.13 weeks, consistent with empirical data.</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"BACKGROUND Black/white disparities in HIV incidence and prevalence among men who have sex with men (MSM) in the United States remain largely unexplained. We examined the impact on HIV prevalence and incidence of interventions that decrease disparities in HIV care. Deciding which interventions have most impact on reducing disparities is critical. METHODS Using available US Centers for Disease Control and Prevention (CDC) estimates, we constructed HIV care continua for black and white MSM for 2009-2010. These estimates were used as parameters in a deterministic model to yield estimated race-specific transmissions, transmission rates, incidence rates, and rate-ratios (RR). We examined the impact of changes in the care continuum for black MSM on transmission and incidence rates. FINDINGS Marked disparities were found throughout the care continuum: ultimately, 16% of black and 34% of white MSM achieved viral suppression. Based on these care continua, 9,833 and 9,710 new HIV transmissions were estimated annually respectively from HIV-positive black and white MSM (transmission RR=1\u00b736 and incidence RR=7\u00b792). In a model where black and white MSM have identical care outcomes, transmission RR=1\u00b700 and incidence RR=5\u00b780. Scenarios of 95% diagnosis, 95% retention, and concurrent 95% diagnosis and 95% retention respectively yield transmission RR=1\u00b700, 1\u00b702, 0\u00b756, and incidence RR=5\u00b781, 5\u00b793, 3\u00b728. INTERPRETATION Disparities in HIV transmission rates may be reduced by improving the HIV care continuum outcomes, but existing racial disparities in HIV prevalence will likely continue to drive higher incidence among black MSM for decades to come.", "author" : [ { "dropping-particle" : "", "family" : "Rosenberg", "given" : "Eli S", "non-dropping-particle" : "", "parse-names" : false, "suffix" : "" }, { "dropping-particle" : "", "family" : "Millett", "given" : "Gregorio A", "non-dropping-particle" : "", "parse-names" : false, "suffix" : "" }, { "dropping-particle" : "", "family" : "Sullivan", "given" : "Patrick S", "non-dropping-particle" : "", "parse-names" : false, "suffix" : "" }, { "dropping-particle" : "", "family" : "Rio", "given" : "Carlos", "non-dropping-particle" : "del", "parse-names" : false, "suffix" : "" }, { "dropping-particle" : "", "family" : "Curran", "given" : "James W", "non-dropping-particle" : "", "parse-names" : false, "suffix" : "" } ], "container-title" : "The Lancet HIV", "id" : "ITEM-1", "issue" : "3", "issued" : { "date-parts" : [ [ "2014", "12" ] ] }, "page" : "e112-e118", "title" : "Understanding the HIV disparities between black and white men who have sex with men in the USA using the HIV care continuum: a modelling study", "type" : "article-journal", "volume" : "1" }, "uris" : [ "http://www.mendeley.com/documents/?uuid=945942f1-bba0-46f0-9d55-6c3e692fb50c", "http://www.mendeley.com/documents/?uuid=b481f7ea-f692-3cb3-8fbf-5d0d19afb4c7" ] } ], "mendeley" : { "formattedCitation" : "&lt;sup&gt;23&lt;/sup&gt;", "plainTextFormattedCitation" : "23", "previouslyFormattedCitation" : "&lt;sup&gt;23&lt;/sup&gt;"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23</w:t>
      </w:r>
      <w:r w:rsidRPr="0024409C">
        <w:rPr>
          <w:rFonts w:ascii="Helvetica Neue" w:hAnsi="Helvetica Neue"/>
          <w:noProof/>
          <w:vertAlign w:val="superscript"/>
        </w:rPr>
        <w:fldChar w:fldCharType="end"/>
      </w:r>
      <w:r w:rsidRPr="0024409C">
        <w:rPr>
          <w:rFonts w:ascii="Helvetica Neue" w:hAnsi="Helvetica Neue"/>
        </w:rPr>
        <w:t xml:space="preserve"> In the absence of quantitative data, we assumed no gap between treatment entry and ART initiation.</w:t>
      </w:r>
    </w:p>
    <w:p w14:paraId="178E727D" w14:textId="5C0F8C3F" w:rsidR="009B3BB0" w:rsidRPr="0024409C" w:rsidRDefault="00273CDD" w:rsidP="009B3BB0">
      <w:pPr>
        <w:pStyle w:val="Heading2"/>
        <w:rPr>
          <w:rFonts w:ascii="Helvetica Neue" w:hAnsi="Helvetica Neue"/>
          <w:szCs w:val="22"/>
        </w:rPr>
      </w:pPr>
      <w:bookmarkStart w:id="22" w:name="_Toc522270414"/>
      <w:r w:rsidRPr="0024409C">
        <w:rPr>
          <w:rFonts w:ascii="Helvetica Neue" w:hAnsi="Helvetica Neue"/>
          <w:szCs w:val="22"/>
        </w:rPr>
        <w:t>6</w:t>
      </w:r>
      <w:r w:rsidR="009B3BB0" w:rsidRPr="0024409C">
        <w:rPr>
          <w:rFonts w:ascii="Helvetica Neue" w:hAnsi="Helvetica Neue"/>
          <w:szCs w:val="22"/>
        </w:rPr>
        <w:t>.3</w:t>
      </w:r>
      <w:r w:rsidR="009B3BB0" w:rsidRPr="0024409C">
        <w:rPr>
          <w:rFonts w:ascii="Helvetica Neue" w:hAnsi="Helvetica Neue"/>
          <w:szCs w:val="22"/>
        </w:rPr>
        <w:tab/>
      </w:r>
      <w:r w:rsidR="00BB6623" w:rsidRPr="0024409C">
        <w:rPr>
          <w:rFonts w:ascii="Helvetica Neue" w:hAnsi="Helvetica Neue"/>
          <w:szCs w:val="22"/>
        </w:rPr>
        <w:tab/>
      </w:r>
      <w:r w:rsidR="009B3BB0" w:rsidRPr="0024409C">
        <w:rPr>
          <w:rFonts w:ascii="Helvetica Neue" w:hAnsi="Helvetica Neue"/>
          <w:szCs w:val="22"/>
        </w:rPr>
        <w:t>ART Adherence and Viral Suppression</w:t>
      </w:r>
      <w:bookmarkEnd w:id="22"/>
    </w:p>
    <w:p w14:paraId="4ECADA4F" w14:textId="555EC86F"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MSM who initiated ART could cycle on and off treatment, where cycling off treatment resulted in an increase in the VL back up to the assumed set point of 4.5 log</w:t>
      </w:r>
      <w:r w:rsidRPr="0024409C">
        <w:rPr>
          <w:rFonts w:ascii="Helvetica Neue" w:hAnsi="Helvetica Neue"/>
          <w:vertAlign w:val="subscript"/>
        </w:rPr>
        <w:t>10</w:t>
      </w:r>
      <w:r w:rsidRPr="0024409C">
        <w:rPr>
          <w:rFonts w:ascii="Helvetica Neue" w:hAnsi="Helvetica Neue"/>
        </w:rPr>
        <w:t>. The slope of changes to VL were calculated such that it took a total of 3 months to transition between the set point and the on-treatment viral loads.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"BACKGROUND Highly active antiretroviral therapy (HAART) rapidly suppresses human immunodeficiency virus (HIV) viral replication and reduces circulating viral load, but the long-term effects of HAART on viral load remain unclear. METHODS We evaluated HIV viral load trajectories over 8 years following HAART initiation in the Multicenter AIDS Cohort Study and the Women's Interagency HIV Study. The study included 157 HIV-infected men and 199 HIV-infected women who were antiretroviral naive and contributed 1311 and 1837 semiannual person-visits post-HAART, respectively. To account for within-subject correlation and the high proportion of left-censored viral loads, we used a segmental Bernoulli/lognormal random effects model. RESULTS Approximately 3 months (0.30 years for men and 0.22 years for women) after HAART initiation, HIV viral loads were optimally suppressed (ie, with very low HIV RNA) for 44% (95% confidence interval = 39%-49%) of men and 43% (38%-47%) of women, whereas the other 56% of men and 57% of women had on average 2.1 (1.5-2.6) and 3.0 (2.7-3.2) log10 copies/mL, respectively. CONCLUSION After 8 years on HAART, 75% of men and 80% of women had optimal suppression, whereas the rest of the men and women had suboptimal suppression with a median HIV RNA of 3.1 and 3.7 log10 copies/mL, respectively.", "author" : [ { "dropping-particle" : "", "family" : "Chu", "given" : "Haitao", "non-dropping-particle" : "", "parse-names" : false, "suffix" : "" }, { "dropping-particle" : "", "family" : "Gange", "given" : "Stephen J", "non-dropping-particle" : "", "parse-names" : false, "suffix" : "" }, { "dropping-particle" : "", "family" : "Li", "given" : "Xiuhong", "non-dropping-particle" : "", "parse-names" : false, "suffix" : "" }, { "dropping-particle" : "", "family" : "Hoover", "given" : "Donald R", "non-dropping-particle" : "", "parse-names" : false, "suffix" : "" }, { "dropping-particle" : "", "family" : "Liu", "given" : "Chenglong", "non-dropping-particle" : "", "parse-names" : false, "suffix" : "" }, { "dropping-particle" : "", "family" : "Chmiel", "given" : "Joan S", "non-dropping-particle" : "", "parse-names" : false, "suffix" : "" }, { "dropping-particle" : "", "family" : "Jacobson", "given" : "Lisa P", "non-dropping-particle" : "", "parse-names" : false, "suffix" : "" } ], "container-title" : "Epidemiology", "id" : "ITEM-1", "issue" : "0 4", "issued" : { "date-parts" : [ [ "2010", "7" ] ] }, "page" : "S25-34", "publisher" : "NIH Public Access", "title" : "The effect of HAART on HIV RNA trajectory among treatment-na\u00efve men and women: a segmental Bernoulli/lognormal random effects model with left censoring.", "type" : "article-journal", "volume" : "21 Suppl 4" }, "uris" : [ "http://www.mendeley.com/documents/?uuid=b78e5955-1ee3-3457-b0f5-a320c8900c1a", "http://www.mendeley.com/documents/?uuid=0341d063-afc0-4aa3-a08f-da8200f726cb" ] } ], "mendeley" : { "formattedCitation" : "&lt;sup&gt;27&lt;/sup&gt;", "plainTextFormattedCitation" : "27", "previouslyFormattedCitation" : "&lt;sup&gt;27&lt;/sup&gt;"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27</w:t>
      </w:r>
      <w:r w:rsidRPr="0024409C">
        <w:rPr>
          <w:rFonts w:ascii="Helvetica Neue" w:hAnsi="Helvetica Neue"/>
          <w:noProof/>
          <w:vertAlign w:val="superscript"/>
        </w:rPr>
        <w:fldChar w:fldCharType="end"/>
      </w:r>
      <w:r w:rsidRPr="0024409C">
        <w:rPr>
          <w:rFonts w:ascii="Helvetica Neue" w:hAnsi="Helvetica Neue"/>
        </w:rPr>
        <w:t xml:space="preserve"> Men on treatment could achieve partial or full suppression. Men who with partial suppression were assumed to have a log</w:t>
      </w:r>
      <w:r w:rsidRPr="0024409C">
        <w:rPr>
          <w:rFonts w:ascii="Helvetica Neue" w:hAnsi="Helvetica Neue"/>
          <w:vertAlign w:val="subscript"/>
        </w:rPr>
        <w:t xml:space="preserve">10 </w:t>
      </w:r>
      <w:r w:rsidRPr="0024409C">
        <w:rPr>
          <w:rFonts w:ascii="Helvetica Neue" w:hAnsi="Helvetica Neue"/>
        </w:rPr>
        <w:t>viral load of 3.5, compared to 1.5 among those who were fully suppressed.</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"BACKGROUND Highly active antiretroviral therapy (HAART) rapidly suppresses human immunodeficiency virus (HIV) viral replication and reduces circulating viral load, but the long-term effects of HAART on viral load remain unclear. METHODS We evaluated HIV viral load trajectories over 8 years following HAART initiation in the Multicenter AIDS Cohort Study and the Women's Interagency HIV Study. The study included 157 HIV-infected men and 199 HIV-infected women who were antiretroviral naive and contributed 1311 and 1837 semiannual person-visits post-HAART, respectively. To account for within-subject correlation and the high proportion of left-censored viral loads, we used a segmental Bernoulli/lognormal random effects model. RESULTS Approximately 3 months (0.30 years for men and 0.22 years for women) after HAART initiation, HIV viral loads were optimally suppressed (ie, with very low HIV RNA) for 44% (95% confidence interval = 39%-49%) of men and 43% (38%-47%) of women, whereas the other 56% of men and 57% of women had on average 2.1 (1.5-2.6) and 3.0 (2.7-3.2) log10 copies/mL, respectively. CONCLUSION After 8 years on HAART, 75% of men and 80% of women had optimal suppression, whereas the rest of the men and women had suboptimal suppression with a median HIV RNA of 3.1 and 3.7 log10 copies/mL, respectively.", "author" : [ { "dropping-particle" : "", "family" : "Chu", "given" : "Haitao", "non-dropping-particle" : "", "parse-names" : false, "suffix" : "" }, { "dropping-particle" : "", "family" : "Gange", "given" : "Stephen J", "non-dropping-particle" : "", "parse-names" : false, "suffix" : "" }, { "dropping-particle" : "", "family" : "Li", "given" : "Xiuhong", "non-dropping-particle" : "", "parse-names" : false, "suffix" : "" }, { "dropping-particle" : "", "family" : "Hoover", "given" : "Donald R", "non-dropping-particle" : "", "parse-names" : false, "suffix" : "" }, { "dropping-particle" : "", "family" : "Liu", "given" : "Chenglong", "non-dropping-particle" : "", "parse-names" : false, "suffix" : "" }, { "dropping-particle" : "", "family" : "Chmiel", "given" : "Joan S", "non-dropping-particle" : "", "parse-names" : false, "suffix" : "" }, { "dropping-particle" : "", "family" : "Jacobson", "given" : "Lisa P", "non-dropping-particle" : "", "parse-names" : false, "suffix" : "" } ], "container-title" : "Epidemiology", "id" : "ITEM-1", "issue" : "0 4", "issued" : { "date-parts" : [ [ "2010", "7" ] ] }, "page" : "S25-34", "publisher" : "NIH Public Access", "title" : "The effect of HAART on HIV RNA trajectory among treatment-na\u00efve men and women: a segmental Bernoulli/lognormal random effects model with left censoring.", "type" : "article-journal", "volume" : "21 Suppl 4" }, "uris" : [ "http://www.mendeley.com/documents/?uuid=0341d063-afc0-4aa3-a08f-da8200f726cb", "http://www.mendeley.com/documents/?uuid=b78e5955-1ee3-3457-b0f5-a320c8900c1a" ] } ], "mendeley" : { "formattedCitation" : "&lt;sup&gt;27&lt;/sup&gt;", "plainTextFormattedCitation" : "27", "previouslyFormattedCitation" : "&lt;sup&gt;27&lt;/sup&gt;"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27</w:t>
      </w:r>
      <w:r w:rsidRPr="0024409C">
        <w:rPr>
          <w:rFonts w:ascii="Helvetica Neue" w:hAnsi="Helvetica Neue"/>
          <w:noProof/>
          <w:vertAlign w:val="superscript"/>
        </w:rPr>
        <w:fldChar w:fldCharType="end"/>
      </w:r>
      <w:r w:rsidRPr="0024409C">
        <w:rPr>
          <w:rFonts w:ascii="Helvetica Neue" w:hAnsi="Helvetica Neue"/>
        </w:rPr>
        <w:t xml:space="preserve"> The latter corresponds to an absolute viral load below the standard levels of detection (VL = 50).</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"The capacity of HIV-1 to establish latent infection of CD4+ T cells may allow viral persistence despite immune responses and antiretroviral therapy. Measurements of infectious virus and viral RNA in plasma and of infectious virus, viral DNA and viral messenger RNA species in infected cells all suggest that HIV-1 replication continues throughout the course of infection. Uncertainty remains over what fraction of CD4+ T cells are infected and whether there are latent reservoirs for the virus. We show here that during the asymptomatic phase of infection there is an extremely low total body load of latently infected resting CD4+ T cells with replication-competent integrated provirus (&lt;10(7) cells). The most prevalent form of HIV-1 DNA in resting and activated CD4+ T cells is a full-length, linear, unintegrated form that is not replication competent. The infection progresses even though at any given time in the lymphoid tissues integrated HIV-1 DNA is present in only a minute fraction of the susceptible populations, including resting and activated CD4+ T cells and macrophages.", "author" : [ { "dropping-particle" : "", "family" : "Chun", "given" : "Tae-Wook", "non-dropping-particle" : "", "parse-names" : false, "suffix" : "" }, { "dropping-particle" : "", "family" : "Carruth", "given" : "Lucy", "non-dropping-particle" : "", "parse-names" : false, "suffix" : "" }, { "dropping-particle" : "", "family" : "Finzi", "given" : "Diana", "non-dropping-particle" : "", "parse-names" : false, "suffix" : "" }, { "dropping-particle" : "", "family" : "Shen", "given" : "Xuefei", "non-dropping-particle" : "", "parse-names" : false, "suffix" : "" }, { "dropping-particle" : "", "family" : "DiGiuseppe", "given" : "Joseph A.", "non-dropping-particle" : "", "parse-names" : false, "suffix" : "" }, { "dropping-particle" : "", "family" : "Taylor", "given" : "Harry", "non-dropping-particle" : "", "parse-names" : false, "suffix" : "" }, { "dropping-particle" : "", "family" : "Hermankova", "given" : "Monika", "non-dropping-particle" : "", "parse-names" : false, "suffix" : "" }, { "dropping-particle" : "", "family" : "Chadwick", "given" : "Karen", "non-dropping-particle" : "", "parse-names" : false, "suffix" : "" }, { "dropping-particle" : "", "family" : "Margolick", "given" : "Joseph", "non-dropping-particle" : "", "parse-names" : false, "suffix" : "" }, { "dropping-particle" : "", "family" : "Quinn", "given" : "Thomas C.", "non-dropping-particle" : "", "parse-names" : false, "suffix" : "" }, { "dropping-particle" : "", "family" : "Kuo", "given" : "Yen-Hong", "non-dropping-particle" : "", "parse-names" : false, "suffix" : "" }, { "dropping-particle" : "", "family" : "Brookmeyer", "given" : "Ronald", "non-dropping-particle" : "", "parse-names" : false, "suffix" : "" }, { "dropping-particle" : "", "family" : "Zeiger", "given" : "Martha A.", "non-dropping-particle" : "", "parse-names" : false, "suffix" : "" }, { "dropping-particle" : "", "family" : "Barditch-Crovo", "given" : "Patricia", "non-dropping-particle" : "", "parse-names" : false, "suffix" : "" }, { "dropping-particle" : "", "family" : "Siliciano", "given" : "Robert F.", "non-dropping-particle" : "", "parse-names" : false, "suffix" : "" } ], "container-title" : "Nature", "id" : "ITEM-1", "issue" : "6629", "issued" : { "date-parts" : [ [ "1997", "5" ] ] }, "page" : "183-188", "title" : "Quantification of latent tissue reservoirs and total body viral load in HIV-1 infection", "type" : "article-journal", "volume" : "387" }, "uris" : [ "http://www.mendeley.com/documents/?uuid=11dfbda8-f8ab-32bd-a125-f8587f61b0fa", "http://www.mendeley.com/documents/?uuid=0c12c46a-b89b-409f-a9ee-a07a8bafaa13" ] } ], "mendeley" : { "formattedCitation" : "&lt;sup&gt;28&lt;/sup&gt;", "plainTextFormattedCitation" : "28", "previouslyFormattedCitation" : "&lt;sup&gt;28&lt;/sup&gt;"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28</w:t>
      </w:r>
      <w:r w:rsidRPr="0024409C">
        <w:rPr>
          <w:rFonts w:ascii="Helvetica Neue" w:hAnsi="Helvetica Neue"/>
          <w:noProof/>
          <w:vertAlign w:val="superscript"/>
        </w:rPr>
        <w:fldChar w:fldCharType="end"/>
      </w:r>
    </w:p>
    <w:p w14:paraId="5725EBAE" w14:textId="3D6C3D2E"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lastRenderedPageBreak/>
        <w:t>The patterns of ART adherence leading to partial and full HIV viral suppression were estimated based on an analysis of HIV care patterns among MSM in the United States,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"OBJECTIVE To better understand why HIV incidence is substantially higher among black than white men who have sex with men (MSM), we present the first nationally representative estimates of factors that contribute to transmission - sexual behavior, antiretroviral therapy (ART) use, and viral suppression - among HIV-infected black and white MSM in the United States. DESIGN The Medical Monitoring Project (MMP) is a complex sample survey of HIV-infected adults receiving medical care in the United States. METHODS We used weighted interview and medical record data collected during June 2009 to May 2010 to estimate the prevalence of sexual behaviors, ART use, and viral suppression among sexually active HIV-infected black and white MSM. We used \u03c7 tests to assess significant differences between races and logistic regression models to identify factors that mediated the racial differences. RESULTS Sexual risk behaviors among black and white MSM were similar. Black MSM were significantly less likely than white MSM to take ART (80 vs. 91%) and be durably virally suppressed (48 vs. 69%). Accounting for mediators (e.g. age, insurance, poverty, education, time since diagnosis, and disease stage) reduced, but did not eliminate, disparities in ART use and rendered differences in viral suppression among those on ART insignificant. CONCLUSION Lower levels of ART use and viral suppression among HIV-infected black MSM may increase the likelihood of HIV transmission. Addressing the patient-level factors and structural inequalities that contribute to lower levels of ART use and viral suppression among this group will improve clinical outcomes and might reduce racial disparities in HIV incidence.", "author" : [ { "dropping-particle" : "", "family" : "Beer", "given" : "Linda", "non-dropping-particle" : "", "parse-names" : false, "suffix" : "" }, { "dropping-particle" : "", "family" : "Oster", "given" : "Alexandra M.", "non-dropping-particle" : "", "parse-names" : false, "suffix" : "" }, { "dropping-particle" : "", "family" : "Mattson", "given" : "Christine L.", "non-dropping-particle" : "", "parse-names" : false, "suffix" : "" }, { "dropping-particle" : "", "family" : "Skarbinski", "given" : "Jacek", "non-dropping-particle" : "", "parse-names" : false, "suffix" : "" }, { "dropping-particle" : "", "family" : "Medical Monitoring Project", "given" : "", "non-dropping-particle" : "", "parse-names" : false, "suffix" : "" } ], "container-title" : "AIDS", "id" : "ITEM-1", "issue" : "1", "issued" : { "date-parts" : [ [ "2014", "1" ] ] }, "page" : "105-114", "title" : "Disparities in HIV transmission risk among HIV-infected black and white men who have sex with men, United States, 2009", "type" : "article-journal", "volume" : "28" }, "uris" : [ "http://www.mendeley.com/documents/?uuid=9e4e37ff-5b99-4590-ab1b-f3019e0aafe6", "http://www.mendeley.com/documents/?uuid=5060c3d0-4830-3298-b88b-1da80592e44a" ] } ], "mendeley" : { "formattedCitation" : "&lt;sup&gt;25&lt;/sup&gt;", "plainTextFormattedCitation" : "25", "previouslyFormattedCitation" : "&lt;sup&gt;25&lt;/sup&gt;"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25</w:t>
      </w:r>
      <w:r w:rsidRPr="0024409C">
        <w:rPr>
          <w:rFonts w:ascii="Helvetica Neue" w:hAnsi="Helvetica Neue"/>
          <w:noProof/>
          <w:vertAlign w:val="superscript"/>
        </w:rPr>
        <w:fldChar w:fldCharType="end"/>
      </w:r>
      <w:r w:rsidRPr="0024409C">
        <w:rPr>
          <w:rFonts w:ascii="Helvetica Neue" w:hAnsi="Helvetica Neue"/>
        </w:rPr>
        <w:t xml:space="preserve"> which was required in order to obtain parameters that were specific to young MSM by race. Parameterizing our model used three types of inputs: (1) the proportion of those diagnosed who are on ART; (2) the proportion of those diagnosed who are virally suppressed; (3) the level of durable suppression (proportion on ART who have been suppressed for a year). Our source included recent estimates for (1) by race and by age, but not the interaction of the two. We used a weighted average of their 18–29 and 30–39-year-old data, and assumed that the overall prevalence ratio by race that they observed for each outcome held within this age group as well. This suggested that 30% of young Black MSM who were diagnosed were in care, and 74% of those were on ART, for a combined value of 22% of young Black MSM who were diagnosed being on ART at any time point. Analogous figures for young White MSM were 47%, 84% and 39%. For (3), we used the same method of deriving estimates specific to young Black MSM (47% of those on ART are durably suppressed) and young White MSM (60% for the corresponding figure). For (2), we used figures by race from the same paper; however, similar figures by age were not included. Instead, we adjusted by using the relative rates of retention in care and suppression for young adults (25-44) compared to all respondents from an additional analysis of the care continuum for members of all risk groups (not just MSM-specific) in the US.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"IMPORTANCE Early diagnosis of human immunodeficiency virus (HIV) infection, prompt linkage to and sustained care, and antiretroviral therapy are associated with reduced individual morbidity, mortality, and transmission of the virus. However, levels of these indicators may differ among population groups with HIV. Disparities in care and treatment may contribute to the higher incidence rates among groups with higher prevalence of HIV. OBJECTIVE To examine differences between groups of persons living with HIV by sex, age, race/ethnicity, and transmission category at essential steps in the continuum of care. DESIGN AND SETTING We obtained data from the National HIV Surveillance System of the Centers for Disease Control and Prevention to determine the number of persons living with HIV who are aware and unaware of their infection using back-calculation models. We calculated the percentage of persons linked to care within 3 months of diagnosis on the basis of CD4 level and viral load test results. We estimated the percentages of persons retained in care, prescribed antiretroviral therapy, and with viral suppression using data from the Medical Monitoring Project, a surveillance system of persons receiving HIV care in select areas representative of all such persons in the United States. PARTICIPANTS All HIV-infected persons in the United States. MAIN OUTCOMES AND MEASURES Percentage of persons living with HIV who are aware of their infection, linked to care, retained in care, receiving antiretroviral therapy, and achieving viral suppression. RESULTS Of the estimated 1,148,200 persons living with HIV in 2009 in the United States, 81.9% had been diagnosed, 65.8% were linked to care, 36.7% were retained in care, 32.7% were prescribed antiretroviral therapy, and 25.3% had a suppressed viral load (\u2264200 copies/mL). Overall, 857 276 persons with HIV had not achieved viral suppression, including 74.8% of male, 79.0% of black, 73.9% of Hispanic/Latino, and 70.3% of white persons. The percentage of blacks in each step of the continuum was lower than that for whites, but these differences were not statistically significant. Among persons with HIV who were 13 to 24 years of age, only 40.5% had received a diagnosis and 30.6% were linked to care. Persons aged 25 to 34, 35 to 44, and 45 to 54 years were all significantly less likely to achieve viral suppression than were persons aged 55 to 64 years. CONCLUSIONS AND RELEVANCE Significant age disparities exist at each step of th\u2026", "author" : [ { "dropping-particle" : "", "family" : "Hall", "given" : "H. Irene", "non-dropping-particle" : "", "parse-names" : false, "suffix" : "" }, { "dropping-particle" : "", "family" : "Frazier", "given" : "Emma L.", "non-dropping-particle" : "", "parse-names" : false, "suffix" : "" }, { "dropping-particle" : "", "family" : "Rhodes", "given" : "Philip", "non-dropping-particle" : "", "parse-names" : false, "suffix" : "" }, { "dropping-particle" : "", "family" : "Holtgrave", "given" : "David R.", "non-dropping-particle" : "", "parse-names" : false, "suffix" : "" }, { "dropping-particle" : "", "family" : "Furlow-Parmley", "given" : "Carolyn", "non-dropping-particle" : "", "parse-names" : false, "suffix" : "" }, { "dropping-particle" : "", "family" : "Tang", "given" : "Tian", "non-dropping-particle" : "", "parse-names" : false, "suffix" : "" }, { "dropping-particle" : "", "family" : "Gray", "given" : "Kristen Mahle", "non-dropping-particle" : "", "parse-names" : false, "suffix" : "" }, { "dropping-particle" : "", "family" : "Cohen", "given" : "Stacy M.", "non-dropping-particle" : "", "parse-names" : false, "suffix" : "" }, { "dropping-particle" : "", "family" : "Mermin", "given" : "Jonathan", "non-dropping-particle" : "", "parse-names" : false, "suffix" : "" }, { "dropping-particle" : "", "family" : "Skarbinski", "given" : "Jacek", "non-dropping-particle" : "", "parse-names" : false, "suffix" : "" } ], "container-title" : "JAMA Internal Medicine", "id" : "ITEM-1", "issue" : "14", "issued" : { "date-parts" : [ [ "2013", "7" ] ] }, "page" : "1337-1344", "title" : "Differences in Human Immunodeficiency Virus Care and Treatment Among Subpopulations in the United States", "type" : "article-journal", "volume" : "173" }, "uris" : [ "http://www.mendeley.com/documents/?uuid=1df2369b-c7c4-3602-8fdd-e70ac8948b8f", "http://www.mendeley.com/documents/?uuid=7e245243-319f-4e68-a397-746d4fe48935" ] } ], "mendeley" : { "formattedCitation" : "&lt;sup&gt;29&lt;/sup&gt;", "plainTextFormattedCitation" : "29", "previouslyFormattedCitation" : "&lt;sup&gt;29&lt;/sup&gt;"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29</w:t>
      </w:r>
      <w:r w:rsidRPr="0024409C">
        <w:rPr>
          <w:rFonts w:ascii="Helvetica Neue" w:hAnsi="Helvetica Neue"/>
          <w:noProof/>
          <w:vertAlign w:val="superscript"/>
        </w:rPr>
        <w:fldChar w:fldCharType="end"/>
      </w:r>
      <w:r w:rsidRPr="0024409C">
        <w:rPr>
          <w:rFonts w:ascii="Helvetica Neue" w:hAnsi="Helvetica Neue"/>
        </w:rPr>
        <w:t xml:space="preserve"> This yielded estimates for the percent of young MSM on ART who are virally suppressed of 62% for Blacks and 68% for Whites. </w:t>
      </w:r>
    </w:p>
    <w:p w14:paraId="25343228" w14:textId="3AFE62AB" w:rsidR="002475F9" w:rsidRPr="0024409C" w:rsidRDefault="009B3BB0" w:rsidP="009B3BB0">
      <w:pPr>
        <w:tabs>
          <w:tab w:val="left" w:pos="540"/>
        </w:tabs>
        <w:spacing w:before="120" w:after="180" w:line="360" w:lineRule="auto"/>
        <w:rPr>
          <w:rFonts w:ascii="Helvetica Neue" w:hAnsi="Helvetica Neue"/>
        </w:rPr>
      </w:pPr>
      <w:r w:rsidRPr="0024409C">
        <w:rPr>
          <w:rFonts w:ascii="Helvetica Neue" w:hAnsi="Helvetica Neue"/>
        </w:rPr>
        <w:t>None of these three sets of values entered the model directly as inputs. Parameter (3) was converted into a per-time step probability of falling out of suppression, by using the inverse geometric function to calculate the probability consistent with observed levels of durable suppression after 1 year. Our other two input parameters were the proportion of those initiating ART who achieved full suppression, and the per-time step probability of re-achieving suppression after one had previously fallen out. We simulated our full model iteratively until we identified the unique values of these parameters by race that yielded the values estimated for parameters (1) and (2) above. The resulting set of model inputs were:</w:t>
      </w:r>
    </w:p>
    <w:tbl>
      <w:tblPr>
        <w:tblStyle w:val="TableGrid"/>
        <w:tblW w:w="0" w:type="auto"/>
        <w:jc w:val="center"/>
        <w:tblLook w:val="04A0" w:firstRow="1" w:lastRow="0" w:firstColumn="1" w:lastColumn="0" w:noHBand="0" w:noVBand="1"/>
      </w:tblPr>
      <w:tblGrid>
        <w:gridCol w:w="4225"/>
        <w:gridCol w:w="1350"/>
        <w:gridCol w:w="1440"/>
      </w:tblGrid>
      <w:tr w:rsidR="009B3BB0" w:rsidRPr="0024409C" w14:paraId="6259A916" w14:textId="77777777" w:rsidTr="00A2582E">
        <w:trPr>
          <w:trHeight w:val="389"/>
          <w:jc w:val="center"/>
        </w:trPr>
        <w:tc>
          <w:tcPr>
            <w:tcW w:w="4225" w:type="dxa"/>
            <w:shd w:val="clear" w:color="auto" w:fill="D9D9D9" w:themeFill="background1" w:themeFillShade="D9"/>
            <w:vAlign w:val="center"/>
          </w:tcPr>
          <w:p w14:paraId="7F57C3E2"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Parameter</w:t>
            </w:r>
          </w:p>
        </w:tc>
        <w:tc>
          <w:tcPr>
            <w:tcW w:w="1350" w:type="dxa"/>
            <w:shd w:val="clear" w:color="auto" w:fill="D9D9D9" w:themeFill="background1" w:themeFillShade="D9"/>
            <w:vAlign w:val="center"/>
          </w:tcPr>
          <w:p w14:paraId="6502B108" w14:textId="77777777" w:rsidR="009B3BB0" w:rsidRPr="0024409C" w:rsidRDefault="009B3BB0" w:rsidP="00A2582E">
            <w:pPr>
              <w:tabs>
                <w:tab w:val="left" w:pos="540"/>
              </w:tabs>
              <w:jc w:val="center"/>
              <w:rPr>
                <w:rFonts w:ascii="Helvetica Neue" w:hAnsi="Helvetica Neue"/>
                <w:b/>
                <w:sz w:val="18"/>
              </w:rPr>
            </w:pPr>
            <w:r w:rsidRPr="0024409C">
              <w:rPr>
                <w:rFonts w:ascii="Helvetica Neue" w:hAnsi="Helvetica Neue"/>
                <w:b/>
                <w:sz w:val="18"/>
              </w:rPr>
              <w:t>Black</w:t>
            </w:r>
          </w:p>
        </w:tc>
        <w:tc>
          <w:tcPr>
            <w:tcW w:w="1440" w:type="dxa"/>
            <w:shd w:val="clear" w:color="auto" w:fill="D9D9D9" w:themeFill="background1" w:themeFillShade="D9"/>
            <w:vAlign w:val="center"/>
          </w:tcPr>
          <w:p w14:paraId="334E6A88" w14:textId="77777777" w:rsidR="009B3BB0" w:rsidRPr="0024409C" w:rsidRDefault="009B3BB0" w:rsidP="00A2582E">
            <w:pPr>
              <w:tabs>
                <w:tab w:val="left" w:pos="540"/>
              </w:tabs>
              <w:jc w:val="center"/>
              <w:rPr>
                <w:rFonts w:ascii="Helvetica Neue" w:hAnsi="Helvetica Neue"/>
                <w:b/>
                <w:sz w:val="18"/>
              </w:rPr>
            </w:pPr>
            <w:r w:rsidRPr="0024409C">
              <w:rPr>
                <w:rFonts w:ascii="Helvetica Neue" w:hAnsi="Helvetica Neue"/>
                <w:b/>
                <w:sz w:val="18"/>
              </w:rPr>
              <w:t>White</w:t>
            </w:r>
          </w:p>
        </w:tc>
      </w:tr>
      <w:tr w:rsidR="009B3BB0" w:rsidRPr="0024409C" w14:paraId="3F19D9DF" w14:textId="77777777" w:rsidTr="00A2582E">
        <w:trPr>
          <w:trHeight w:val="608"/>
          <w:jc w:val="center"/>
        </w:trPr>
        <w:tc>
          <w:tcPr>
            <w:tcW w:w="4225" w:type="dxa"/>
            <w:vAlign w:val="center"/>
          </w:tcPr>
          <w:p w14:paraId="24B8AE59"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Proportion of those initiating ART who achieved full suppression</w:t>
            </w:r>
          </w:p>
        </w:tc>
        <w:tc>
          <w:tcPr>
            <w:tcW w:w="1350" w:type="dxa"/>
            <w:vAlign w:val="center"/>
          </w:tcPr>
          <w:p w14:paraId="5C0561C0"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0.614</w:t>
            </w:r>
          </w:p>
        </w:tc>
        <w:tc>
          <w:tcPr>
            <w:tcW w:w="1440" w:type="dxa"/>
            <w:vAlign w:val="center"/>
          </w:tcPr>
          <w:p w14:paraId="5583DF49"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0.651</w:t>
            </w:r>
          </w:p>
        </w:tc>
      </w:tr>
      <w:tr w:rsidR="009B3BB0" w:rsidRPr="0024409C" w14:paraId="5271796E" w14:textId="77777777" w:rsidTr="00A2582E">
        <w:trPr>
          <w:trHeight w:val="608"/>
          <w:jc w:val="center"/>
        </w:trPr>
        <w:tc>
          <w:tcPr>
            <w:tcW w:w="4225" w:type="dxa"/>
            <w:vAlign w:val="center"/>
          </w:tcPr>
          <w:p w14:paraId="5DC81E7F"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lastRenderedPageBreak/>
              <w:t>Per-week probability of falling out of suppression</w:t>
            </w:r>
          </w:p>
        </w:tc>
        <w:tc>
          <w:tcPr>
            <w:tcW w:w="1350" w:type="dxa"/>
            <w:vAlign w:val="center"/>
          </w:tcPr>
          <w:p w14:paraId="6146C9D9"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0.0102</w:t>
            </w:r>
          </w:p>
        </w:tc>
        <w:tc>
          <w:tcPr>
            <w:tcW w:w="1440" w:type="dxa"/>
            <w:vAlign w:val="center"/>
          </w:tcPr>
          <w:p w14:paraId="73BA7042"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0.0071</w:t>
            </w:r>
          </w:p>
        </w:tc>
      </w:tr>
      <w:tr w:rsidR="009B3BB0" w:rsidRPr="0024409C" w14:paraId="56B913ED" w14:textId="77777777" w:rsidTr="00A2582E">
        <w:trPr>
          <w:trHeight w:val="585"/>
          <w:jc w:val="center"/>
        </w:trPr>
        <w:tc>
          <w:tcPr>
            <w:tcW w:w="4225" w:type="dxa"/>
            <w:vAlign w:val="center"/>
          </w:tcPr>
          <w:p w14:paraId="664C48B3"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Per-week probability of re-achieving suppression</w:t>
            </w:r>
          </w:p>
        </w:tc>
        <w:tc>
          <w:tcPr>
            <w:tcW w:w="1350" w:type="dxa"/>
            <w:vAlign w:val="center"/>
          </w:tcPr>
          <w:p w14:paraId="178DEFC5"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0.00066</w:t>
            </w:r>
          </w:p>
        </w:tc>
        <w:tc>
          <w:tcPr>
            <w:tcW w:w="1440" w:type="dxa"/>
            <w:vAlign w:val="center"/>
          </w:tcPr>
          <w:p w14:paraId="3B340BE5" w14:textId="77777777" w:rsidR="009B3BB0" w:rsidRPr="0024409C" w:rsidRDefault="009B3BB0" w:rsidP="00A2582E">
            <w:pPr>
              <w:tabs>
                <w:tab w:val="left" w:pos="540"/>
              </w:tabs>
              <w:jc w:val="center"/>
              <w:rPr>
                <w:rFonts w:ascii="Helvetica Neue" w:hAnsi="Helvetica Neue"/>
                <w:sz w:val="18"/>
              </w:rPr>
            </w:pPr>
            <w:r w:rsidRPr="0024409C">
              <w:rPr>
                <w:rFonts w:ascii="Helvetica Neue" w:hAnsi="Helvetica Neue"/>
                <w:sz w:val="18"/>
              </w:rPr>
              <w:t>0.00291</w:t>
            </w:r>
          </w:p>
        </w:tc>
      </w:tr>
    </w:tbl>
    <w:p w14:paraId="153E4CBB" w14:textId="77777777" w:rsidR="00660F9A" w:rsidRPr="0024409C" w:rsidRDefault="00660F9A" w:rsidP="00660F9A">
      <w:pPr>
        <w:rPr>
          <w:rFonts w:ascii="Helvetica Neue" w:hAnsi="Helvetica Neue"/>
          <w:sz w:val="20"/>
        </w:rPr>
      </w:pPr>
      <w:bookmarkStart w:id="23" w:name="_Toc474225203"/>
    </w:p>
    <w:p w14:paraId="12126F6A" w14:textId="77777777" w:rsidR="00660F9A" w:rsidRPr="0024409C" w:rsidRDefault="00660F9A" w:rsidP="00660F9A">
      <w:pPr>
        <w:rPr>
          <w:rFonts w:ascii="Helvetica Neue" w:hAnsi="Helvetica Neue"/>
        </w:rPr>
      </w:pPr>
      <w:r w:rsidRPr="0024409C">
        <w:rPr>
          <w:rFonts w:ascii="Helvetica Neue" w:hAnsi="Helvetica Neue"/>
        </w:rPr>
        <w:t>This study averaged over the race-specific parameter estimates because race was not explicitly modeled in this study.</w:t>
      </w:r>
      <w:bookmarkEnd w:id="23"/>
    </w:p>
    <w:p w14:paraId="6848E1F0" w14:textId="7A9A3F09" w:rsidR="009B3BB0" w:rsidRPr="0024409C" w:rsidRDefault="00273CDD" w:rsidP="009B3BB0">
      <w:pPr>
        <w:pStyle w:val="Heading2"/>
        <w:rPr>
          <w:rFonts w:ascii="Helvetica Neue" w:hAnsi="Helvetica Neue"/>
          <w:szCs w:val="22"/>
        </w:rPr>
      </w:pPr>
      <w:bookmarkStart w:id="24" w:name="_Toc522270415"/>
      <w:r w:rsidRPr="0024409C">
        <w:rPr>
          <w:rFonts w:ascii="Helvetica Neue" w:hAnsi="Helvetica Neue"/>
          <w:szCs w:val="22"/>
        </w:rPr>
        <w:t>6</w:t>
      </w:r>
      <w:r w:rsidR="002768F0" w:rsidRPr="0024409C">
        <w:rPr>
          <w:rFonts w:ascii="Helvetica Neue" w:hAnsi="Helvetica Neue"/>
          <w:szCs w:val="22"/>
        </w:rPr>
        <w:t>.4</w:t>
      </w:r>
      <w:r w:rsidR="002768F0" w:rsidRPr="0024409C">
        <w:rPr>
          <w:rFonts w:ascii="Helvetica Neue" w:hAnsi="Helvetica Neue"/>
          <w:szCs w:val="22"/>
        </w:rPr>
        <w:tab/>
      </w:r>
      <w:r w:rsidR="002768F0" w:rsidRPr="0024409C">
        <w:rPr>
          <w:rFonts w:ascii="Helvetica Neue" w:hAnsi="Helvetica Neue"/>
          <w:szCs w:val="22"/>
        </w:rPr>
        <w:tab/>
      </w:r>
      <w:r w:rsidR="009B3BB0" w:rsidRPr="0024409C">
        <w:rPr>
          <w:rFonts w:ascii="Helvetica Neue" w:hAnsi="Helvetica Neue"/>
          <w:szCs w:val="22"/>
        </w:rPr>
        <w:t>Disease Progression and Mortality after ART Initiation</w:t>
      </w:r>
      <w:bookmarkEnd w:id="24"/>
    </w:p>
    <w:p w14:paraId="4F10A960" w14:textId="73106432" w:rsidR="00981AAE" w:rsidRPr="0024409C" w:rsidRDefault="009B3BB0" w:rsidP="009B3BB0">
      <w:pPr>
        <w:tabs>
          <w:tab w:val="left" w:pos="540"/>
        </w:tabs>
        <w:spacing w:line="360" w:lineRule="auto"/>
        <w:rPr>
          <w:rFonts w:ascii="Helvetica Neue" w:hAnsi="Helvetica Neue"/>
        </w:rPr>
      </w:pPr>
      <w:r w:rsidRPr="0024409C">
        <w:rPr>
          <w:rFonts w:ascii="Helvetica Neue" w:hAnsi="Helvetica Neue"/>
        </w:rPr>
        <w:t>Mortality after ART initiation was modeled based on the cumulative time on and off ART for persons who were fully or partially suppressed. The maximum time between infection and the start of AIDS was 9.7 years.</w:t>
      </w:r>
      <w:r w:rsidRPr="0024409C">
        <w:rPr>
          <w:rFonts w:ascii="Helvetica Neue" w:hAnsi="Helvetica Neue"/>
          <w:noProof/>
          <w:vertAlign w:val="superscript"/>
        </w:rPr>
        <w:fldChar w:fldCharType="begin" w:fldLock="1"/>
      </w:r>
      <w:r w:rsidR="00AD1715">
        <w:rPr>
          <w:rFonts w:ascii="Helvetica Neue" w:hAnsi="Helvetica Neue"/>
          <w:noProof/>
          <w:vertAlign w:val="superscript"/>
        </w:rPr>
        <w:instrText>ADDIN CSL_CITATION { "citationItems" : [ { "id" : "ITEM-1", "itemData" : { "abstract" : "OBJECTIVE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 "author" : [ { "dropping-particle" : "", "family" : "Buchbinder", "given" : "S P", "non-dropping-particle" : "", "parse-names" : false, "suffix" : "" }, { "dropping-particle" : "", "family" : "Katz", "given" : "M H", "non-dropping-particle" : "", "parse-names" : false, "suffix" : "" }, { "dropping-particle" : "", "family" : "Hessol", "given" : "N A", "non-dropping-particle" : "", "parse-names" : false, "suffix" : "" }, { "dropping-particle" : "", "family" : "O'Malley", "given" : "P M", "non-dropping-particle" : "", "parse-names" : false, "suffix" : "" }, { "dropping-particle" : "", "family" : "Holmberg", "given" : "S D", "non-dropping-particle" : "", "parse-names" : false, "suffix" : "" } ], "container-title" : "AIDS", "id" : "ITEM-1", "issue" : "8", "issued" : { "date-parts" : [ [ "1994", "8" ] ] }, "page" : "1123-8", "title" : "Long-term HIV-1 infection without immunologic progression.", "type" : "article-journal", "volume" : "8" }, "uris" : [ "http://www.mendeley.com/documents/?uuid=8509104b-ff17-4822-b2a2-c27db64d177e", "http://www.mendeley.com/documents/?uuid=7910f6ca-c641-3068-9497-27bebfd9fb8f" ] } ], "mendeley" : { "formattedCitation" : "&lt;sup&gt;20&lt;/sup&gt;", "plainTextFormattedCitation" : "20", "previouslyFormattedCitation" : "&lt;sup&gt;20&lt;/sup&gt;"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E52119" w:rsidRPr="0024409C">
        <w:rPr>
          <w:rFonts w:ascii="Helvetica Neue" w:hAnsi="Helvetica Neue"/>
          <w:noProof/>
          <w:vertAlign w:val="superscript"/>
        </w:rPr>
        <w:t>20</w:t>
      </w:r>
      <w:r w:rsidRPr="0024409C">
        <w:rPr>
          <w:rFonts w:ascii="Helvetica Neue" w:hAnsi="Helvetica Neue"/>
          <w:noProof/>
          <w:vertAlign w:val="superscript"/>
        </w:rPr>
        <w:fldChar w:fldCharType="end"/>
      </w:r>
      <w:r w:rsidRPr="0024409C">
        <w:rPr>
          <w:rFonts w:ascii="Helvetica Neue" w:hAnsi="Helvetica Neue"/>
        </w:rPr>
        <w:t xml:space="preserve"> If a person in either the full or partial suppression categories who spent this much time off ART during the course of infection progressed to AIDS. For the partially suppressed, we assumed a maximum time on ART of 15 years, similar to previous models, to account for treatment failure.</w:t>
      </w:r>
      <w:r w:rsidRPr="0024409C">
        <w:rPr>
          <w:rFonts w:ascii="Helvetica Neue" w:hAnsi="Helvetica Neue"/>
          <w:noProof/>
          <w:vertAlign w:val="superscript"/>
        </w:rPr>
        <w:fldChar w:fldCharType="begin" w:fldLock="1"/>
      </w:r>
      <w:r w:rsidR="009B20C2">
        <w:rPr>
          <w:rFonts w:ascii="Helvetica Neue" w:hAnsi="Helvetica Neue"/>
          <w:noProof/>
          <w:vertAlign w:val="superscript"/>
        </w:rPr>
        <w:instrText>ADDIN CSL_CITATION { "citationItems" : [ { "id" : "ITEM-1", "itemData" : { "abstract" : "In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 "author" : [ { "dropping-particle" : "", "family" : "Goodreau", "given" : "Steven M", "non-dropping-particle" : "", "parse-names" : false, "suffix" : "" }, { "dropping-particle" : "", "family" : "Carnegie", "given" : "Nicole B", "non-dropping-particle" : "", "parse-names" : false, "suffix" : "" }, { "dropping-particle" : "", "family" : "Vittinghoff", "given" : "Eric", "non-dropping-particle" : "", "parse-names" : false, "suffix" : "" }, { "dropping-particle" : "", "family" : "Lama", "given" : "Javier R", "non-dropping-particle" : "", "parse-names" : false, "suffix" : "" }, { "dropping-particle" : "", "family" : "Sanchez", "given" : "Jorge", "non-dropping-particle" : "", "parse-names" : false, "suffix" : "" }, { "dropping-particle" : "", "family" : "Grinsztejn", "given" : "Beatriz", "non-dropping-particle" : "", "parse-names" : false, "suffix" : "" }, { "dropping-particle" : "", "family" : "Koblin", "given" : "Beryl A", "non-dropping-particle" : "", "parse-names" : false, "suffix" : "" }, { "dropping-particle" : "", "family" : "Mayer", "given" : "Kenneth H", "non-dropping-particle" : "", "parse-names" : false, "suffix" : "" }, { "dropping-particle" : "", "family" : "Buchbinder", "given" : "Susan P", "non-dropping-particle" : "", "parse-names" : false, "suffix" : "" } ], "container-title" : "PloS One", "id" : "ITEM-1", "issue" : "11", "issued" : { "date-parts" : [ [ "2012" ] ] }, "page" : "e50522", "title" : "What drives the US and Peruvian HIV epidemics in men who have sex with men (MSM)?", "type" : "article-journal", "volume" : "7" }, "uris" : [ "http://www.mendeley.com/documents/?uuid=95236385-1da9-4014-87d9-9bf044dc09fb" ] } ], "mendeley" : { "formattedCitation" : "&lt;sup&gt;1&lt;/sup&gt;", "plainTextFormattedCitation" : "1", "previouslyFormattedCitation" : "&lt;sup&gt;1&lt;/sup&gt;"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4017C2" w:rsidRPr="0024409C">
        <w:rPr>
          <w:rFonts w:ascii="Helvetica Neue" w:hAnsi="Helvetica Neue"/>
          <w:noProof/>
          <w:vertAlign w:val="superscript"/>
        </w:rPr>
        <w:t>1</w:t>
      </w:r>
      <w:r w:rsidRPr="0024409C">
        <w:rPr>
          <w:rFonts w:ascii="Helvetica Neue" w:hAnsi="Helvetica Neue"/>
          <w:noProof/>
          <w:vertAlign w:val="superscript"/>
        </w:rPr>
        <w:fldChar w:fldCharType="end"/>
      </w:r>
      <w:r w:rsidRPr="0024409C">
        <w:rPr>
          <w:rFonts w:ascii="Helvetica Neue" w:hAnsi="Helvetica Neue"/>
        </w:rPr>
        <w:t xml:space="preserve"> For this group, the time to AIDS was an additive function of two ratios: (time on treatment / maximum time on treatment) + (time off treatment / maximum time off treatment). AIDS was simulated to occur when the sum of this score exceeded 1. Persons who had ever initiated ART progressed through AIDS at a similar ra</w:t>
      </w:r>
      <w:r w:rsidR="0069268E" w:rsidRPr="0024409C">
        <w:rPr>
          <w:rFonts w:ascii="Helvetica Neue" w:hAnsi="Helvetica Neue"/>
        </w:rPr>
        <w:t>te as those who were ART-naïve.</w:t>
      </w:r>
    </w:p>
    <w:p w14:paraId="774D3575" w14:textId="28DE9CE5" w:rsidR="009B3BB0" w:rsidRPr="0024409C" w:rsidRDefault="00273CDD" w:rsidP="002232EA">
      <w:pPr>
        <w:pStyle w:val="Heading1"/>
        <w:spacing w:before="300"/>
        <w:rPr>
          <w:rFonts w:ascii="Helvetica Neue" w:hAnsi="Helvetica Neue"/>
          <w:sz w:val="24"/>
          <w:szCs w:val="24"/>
        </w:rPr>
      </w:pPr>
      <w:bookmarkStart w:id="25" w:name="_Toc522270416"/>
      <w:r w:rsidRPr="0024409C">
        <w:rPr>
          <w:rFonts w:ascii="Helvetica Neue" w:hAnsi="Helvetica Neue"/>
          <w:sz w:val="24"/>
          <w:szCs w:val="24"/>
        </w:rPr>
        <w:t>7</w:t>
      </w:r>
      <w:r w:rsidR="009B3BB0" w:rsidRPr="0024409C">
        <w:rPr>
          <w:rFonts w:ascii="Helvetica Neue" w:hAnsi="Helvetica Neue"/>
          <w:sz w:val="24"/>
          <w:szCs w:val="24"/>
        </w:rPr>
        <w:tab/>
      </w:r>
      <w:r w:rsidR="00277378" w:rsidRPr="0024409C">
        <w:rPr>
          <w:rFonts w:ascii="Helvetica Neue" w:hAnsi="Helvetica Neue"/>
          <w:sz w:val="24"/>
          <w:szCs w:val="24"/>
        </w:rPr>
        <w:t xml:space="preserve">HIV </w:t>
      </w:r>
      <w:r w:rsidR="009B3BB0" w:rsidRPr="0024409C">
        <w:rPr>
          <w:rFonts w:ascii="Helvetica Neue" w:hAnsi="Helvetica Neue"/>
          <w:sz w:val="24"/>
          <w:szCs w:val="24"/>
        </w:rPr>
        <w:t>INTERHOST EPIDEMIOLOGY</w:t>
      </w:r>
      <w:bookmarkEnd w:id="25"/>
    </w:p>
    <w:p w14:paraId="6808D3BF" w14:textId="77777777"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 xml:space="preserve">Interhost epidemiological processes represent the HIV-1 disease transmission within the model. Disease transmission occurs between sexual partners who are active on a given time step. This section will describe how the overall rate as a function of the </w:t>
      </w:r>
      <w:proofErr w:type="spellStart"/>
      <w:r w:rsidRPr="0024409C">
        <w:rPr>
          <w:rFonts w:ascii="Helvetica Neue" w:hAnsi="Helvetica Neue"/>
        </w:rPr>
        <w:t>intrahost</w:t>
      </w:r>
      <w:proofErr w:type="spellEnd"/>
      <w:r w:rsidRPr="0024409C">
        <w:rPr>
          <w:rFonts w:ascii="Helvetica Neue" w:hAnsi="Helvetica Neue"/>
        </w:rPr>
        <w:t xml:space="preserve"> epidemiological profile of each member of a partnership, and behavioral features within the dyad.</w:t>
      </w:r>
    </w:p>
    <w:p w14:paraId="35B0252C" w14:textId="77944EAF" w:rsidR="009B3BB0" w:rsidRPr="0024409C" w:rsidRDefault="00273CDD" w:rsidP="009B3BB0">
      <w:pPr>
        <w:pStyle w:val="Heading2"/>
        <w:rPr>
          <w:rFonts w:ascii="Helvetica Neue" w:hAnsi="Helvetica Neue"/>
          <w:szCs w:val="22"/>
        </w:rPr>
      </w:pPr>
      <w:bookmarkStart w:id="26" w:name="_Toc522270417"/>
      <w:r w:rsidRPr="0024409C">
        <w:rPr>
          <w:rFonts w:ascii="Helvetica Neue" w:hAnsi="Helvetica Neue"/>
          <w:szCs w:val="22"/>
        </w:rPr>
        <w:t>7</w:t>
      </w:r>
      <w:r w:rsidR="00BB6623" w:rsidRPr="0024409C">
        <w:rPr>
          <w:rFonts w:ascii="Helvetica Neue" w:hAnsi="Helvetica Neue"/>
          <w:szCs w:val="22"/>
        </w:rPr>
        <w:t>.1</w:t>
      </w:r>
      <w:r w:rsidR="00FE03C1" w:rsidRPr="0024409C">
        <w:rPr>
          <w:rFonts w:ascii="Helvetica Neue" w:hAnsi="Helvetica Neue"/>
          <w:szCs w:val="22"/>
        </w:rPr>
        <w:tab/>
      </w:r>
      <w:r w:rsidR="00FE03C1" w:rsidRPr="0024409C">
        <w:rPr>
          <w:rFonts w:ascii="Helvetica Neue" w:hAnsi="Helvetica Neue"/>
          <w:szCs w:val="22"/>
        </w:rPr>
        <w:tab/>
      </w:r>
      <w:r w:rsidR="009B3BB0" w:rsidRPr="0024409C">
        <w:rPr>
          <w:rFonts w:ascii="Helvetica Neue" w:hAnsi="Helvetica Neue"/>
          <w:szCs w:val="22"/>
        </w:rPr>
        <w:t>Disease-Discordant Dyads</w:t>
      </w:r>
      <w:bookmarkEnd w:id="26"/>
    </w:p>
    <w:p w14:paraId="418EDA35" w14:textId="579A583A" w:rsidR="009B3BB0" w:rsidRPr="0024409C" w:rsidRDefault="009B3BB0" w:rsidP="009B3BB0">
      <w:pPr>
        <w:tabs>
          <w:tab w:val="left" w:pos="540"/>
        </w:tabs>
        <w:spacing w:line="360" w:lineRule="auto"/>
        <w:rPr>
          <w:rFonts w:ascii="Helvetica Neue" w:hAnsi="Helvetica Neue"/>
        </w:rPr>
      </w:pPr>
      <w:r w:rsidRPr="0024409C">
        <w:rPr>
          <w:rFonts w:ascii="Helvetica Neue" w:hAnsi="Helvetica Neue"/>
        </w:rPr>
        <w:t>At each time step in the simulation, a list of active dyads was selected based on the current composition of the network. This was called an “</w:t>
      </w:r>
      <w:proofErr w:type="spellStart"/>
      <w:r w:rsidRPr="0024409C">
        <w:rPr>
          <w:rFonts w:ascii="Helvetica Neue" w:hAnsi="Helvetica Neue"/>
        </w:rPr>
        <w:t>edgelist</w:t>
      </w:r>
      <w:proofErr w:type="spellEnd"/>
      <w:r w:rsidRPr="0024409C">
        <w:rPr>
          <w:rFonts w:ascii="Helvetica Neue" w:hAnsi="Helvetica Neue"/>
        </w:rPr>
        <w:t xml:space="preserve">.” Given the three types of partnerships detailed above, the full </w:t>
      </w:r>
      <w:proofErr w:type="spellStart"/>
      <w:r w:rsidRPr="0024409C">
        <w:rPr>
          <w:rFonts w:ascii="Helvetica Neue" w:hAnsi="Helvetica Neue"/>
        </w:rPr>
        <w:t>edgelist</w:t>
      </w:r>
      <w:proofErr w:type="spellEnd"/>
      <w:r w:rsidRPr="0024409C">
        <w:rPr>
          <w:rFonts w:ascii="Helvetica Neue" w:hAnsi="Helvetica Neue"/>
        </w:rPr>
        <w:t xml:space="preserve"> was a concatenation of the type-specific </w:t>
      </w:r>
      <w:proofErr w:type="spellStart"/>
      <w:r w:rsidRPr="0024409C">
        <w:rPr>
          <w:rFonts w:ascii="Helvetica Neue" w:hAnsi="Helvetica Neue"/>
        </w:rPr>
        <w:t>sublists</w:t>
      </w:r>
      <w:proofErr w:type="spellEnd"/>
      <w:r w:rsidRPr="0024409C">
        <w:rPr>
          <w:rFonts w:ascii="Helvetica Neue" w:hAnsi="Helvetica Neue"/>
        </w:rPr>
        <w:t xml:space="preserve">. The complete </w:t>
      </w:r>
      <w:proofErr w:type="spellStart"/>
      <w:r w:rsidRPr="0024409C">
        <w:rPr>
          <w:rFonts w:ascii="Helvetica Neue" w:hAnsi="Helvetica Neue"/>
        </w:rPr>
        <w:t>edgelist</w:t>
      </w:r>
      <w:proofErr w:type="spellEnd"/>
      <w:r w:rsidRPr="0024409C">
        <w:rPr>
          <w:rFonts w:ascii="Helvetica Neue" w:hAnsi="Helvetica Neue"/>
        </w:rPr>
        <w:t xml:space="preserve"> reflects the work of the STERGM- and ERGM-based network simulations, wherein partnerships formed on the basis of nodal attributes and degree distributions (see Section 2). Dyads were considered active at a specific time step if the terminus of that simulated edge </w:t>
      </w:r>
      <w:r w:rsidR="00290F5D" w:rsidRPr="0024409C">
        <w:rPr>
          <w:rFonts w:ascii="Helvetica Neue" w:hAnsi="Helvetica Neue"/>
        </w:rPr>
        <w:t>wa</w:t>
      </w:r>
      <w:r w:rsidRPr="0024409C">
        <w:rPr>
          <w:rFonts w:ascii="Helvetica Neue" w:hAnsi="Helvetica Neue"/>
        </w:rPr>
        <w:t xml:space="preserve">s </w:t>
      </w:r>
      <w:r w:rsidR="00A8272C" w:rsidRPr="0024409C">
        <w:rPr>
          <w:rFonts w:ascii="Helvetica Neue" w:hAnsi="Helvetica Neue"/>
        </w:rPr>
        <w:t>greater</w:t>
      </w:r>
      <w:r w:rsidRPr="0024409C">
        <w:rPr>
          <w:rFonts w:ascii="Helvetica Neue" w:hAnsi="Helvetica Neue"/>
        </w:rPr>
        <w:t xml:space="preserve"> than or equal to the current time step (right-censored). From the full </w:t>
      </w:r>
      <w:proofErr w:type="spellStart"/>
      <w:r w:rsidRPr="0024409C">
        <w:rPr>
          <w:rFonts w:ascii="Helvetica Neue" w:hAnsi="Helvetica Neue"/>
        </w:rPr>
        <w:t>edgelist</w:t>
      </w:r>
      <w:proofErr w:type="spellEnd"/>
      <w:r w:rsidRPr="0024409C">
        <w:rPr>
          <w:rFonts w:ascii="Helvetica Neue" w:hAnsi="Helvetica Neue"/>
        </w:rPr>
        <w:t xml:space="preserve">, a disease-discordant subset was created by removing those </w:t>
      </w:r>
      <w:r w:rsidRPr="0024409C">
        <w:rPr>
          <w:rFonts w:ascii="Helvetica Neue" w:hAnsi="Helvetica Neue"/>
        </w:rPr>
        <w:lastRenderedPageBreak/>
        <w:t xml:space="preserve">dyads in which both members were HIV- or both were HIV+. This left dyads that are discordant with respect to HIV status, which was the set of potential partnerships over which </w:t>
      </w:r>
      <w:r w:rsidR="00C13232" w:rsidRPr="0024409C">
        <w:rPr>
          <w:rFonts w:ascii="Helvetica Neue" w:hAnsi="Helvetica Neue"/>
        </w:rPr>
        <w:t xml:space="preserve">a HIV </w:t>
      </w:r>
      <w:r w:rsidRPr="0024409C">
        <w:rPr>
          <w:rFonts w:ascii="Helvetica Neue" w:hAnsi="Helvetica Neue"/>
        </w:rPr>
        <w:t>infection may be transmitted at that time step.</w:t>
      </w:r>
    </w:p>
    <w:p w14:paraId="2055F933" w14:textId="5A3BA141" w:rsidR="009B3BB0" w:rsidRPr="0024409C" w:rsidRDefault="00273CDD" w:rsidP="009B3BB0">
      <w:pPr>
        <w:pStyle w:val="Heading2"/>
        <w:rPr>
          <w:rFonts w:ascii="Helvetica Neue" w:hAnsi="Helvetica Neue"/>
          <w:szCs w:val="22"/>
        </w:rPr>
      </w:pPr>
      <w:bookmarkStart w:id="27" w:name="_Toc522270418"/>
      <w:r w:rsidRPr="0024409C">
        <w:rPr>
          <w:rFonts w:ascii="Helvetica Neue" w:hAnsi="Helvetica Neue"/>
          <w:szCs w:val="22"/>
        </w:rPr>
        <w:t>7</w:t>
      </w:r>
      <w:r w:rsidR="00FE03C1" w:rsidRPr="0024409C">
        <w:rPr>
          <w:rFonts w:ascii="Helvetica Neue" w:hAnsi="Helvetica Neue"/>
          <w:szCs w:val="22"/>
        </w:rPr>
        <w:t>.2</w:t>
      </w:r>
      <w:r w:rsidR="00FE03C1" w:rsidRPr="0024409C">
        <w:rPr>
          <w:rFonts w:ascii="Helvetica Neue" w:hAnsi="Helvetica Neue"/>
          <w:szCs w:val="22"/>
        </w:rPr>
        <w:tab/>
      </w:r>
      <w:r w:rsidR="00FE03C1" w:rsidRPr="0024409C">
        <w:rPr>
          <w:rFonts w:ascii="Helvetica Neue" w:hAnsi="Helvetica Neue"/>
          <w:szCs w:val="22"/>
        </w:rPr>
        <w:tab/>
      </w:r>
      <w:r w:rsidR="009B3BB0" w:rsidRPr="0024409C">
        <w:rPr>
          <w:rFonts w:ascii="Helvetica Neue" w:hAnsi="Helvetica Neue"/>
          <w:szCs w:val="22"/>
        </w:rPr>
        <w:t>Per-Act HIV Transmission Probability</w:t>
      </w:r>
      <w:bookmarkEnd w:id="27"/>
    </w:p>
    <w:p w14:paraId="1D45DA1E" w14:textId="68AFA103" w:rsidR="009B3BB0" w:rsidRPr="0024409C" w:rsidRDefault="009B3BB0" w:rsidP="009B3BB0">
      <w:pPr>
        <w:tabs>
          <w:tab w:val="left" w:pos="540"/>
        </w:tabs>
        <w:spacing w:after="180" w:line="360" w:lineRule="auto"/>
        <w:rPr>
          <w:rFonts w:ascii="Helvetica Neue" w:hAnsi="Helvetica Neue"/>
        </w:rPr>
      </w:pPr>
      <w:r w:rsidRPr="0024409C">
        <w:rPr>
          <w:rFonts w:ascii="Helvetica Neue" w:hAnsi="Helvetica Neue"/>
        </w:rPr>
        <w:t>Within disease-discordant dyads, HIV transmission was modeled based on a sexual act-by-act basis, in which multiple acts of varying infectiousness could occur within one partnership within a weekly time step. Determination of the number of acts within each discordant dyad for the time step, as well as condom use and role for each of those acts, was described in Section</w:t>
      </w:r>
      <w:r w:rsidR="00F517A5" w:rsidRPr="0024409C">
        <w:rPr>
          <w:rFonts w:ascii="Helvetica Neue" w:hAnsi="Helvetica Neue"/>
        </w:rPr>
        <w:t>s</w:t>
      </w:r>
      <w:r w:rsidRPr="0024409C">
        <w:rPr>
          <w:rFonts w:ascii="Helvetica Neue" w:hAnsi="Helvetica Neue"/>
        </w:rPr>
        <w:t xml:space="preserve"> </w:t>
      </w:r>
      <w:r w:rsidR="00FB7F82" w:rsidRPr="0024409C">
        <w:rPr>
          <w:rFonts w:ascii="Helvetica Neue" w:hAnsi="Helvetica Neue"/>
        </w:rPr>
        <w:t>2</w:t>
      </w:r>
      <w:r w:rsidR="00F853FB" w:rsidRPr="0024409C">
        <w:rPr>
          <w:rFonts w:ascii="Helvetica Neue" w:hAnsi="Helvetica Neue"/>
        </w:rPr>
        <w:t xml:space="preserve"> and </w:t>
      </w:r>
      <w:r w:rsidR="00FB7F82" w:rsidRPr="0024409C">
        <w:rPr>
          <w:rFonts w:ascii="Helvetica Neue" w:hAnsi="Helvetica Neue"/>
        </w:rPr>
        <w:t>3</w:t>
      </w:r>
      <w:r w:rsidRPr="0024409C">
        <w:rPr>
          <w:rFonts w:ascii="Helvetica Neue" w:hAnsi="Helvetica Neue"/>
        </w:rPr>
        <w:t>. Transmission by act was then modeled as a stochastic process for each discordant sex act following a binomial distribution with a probability parameter that is a multiplicative function of the following predictors of the HIV- and HIV+ partners within the dyad.</w:t>
      </w:r>
    </w:p>
    <w:tbl>
      <w:tblPr>
        <w:tblStyle w:val="TableGrid"/>
        <w:tblW w:w="8995" w:type="dxa"/>
        <w:jc w:val="center"/>
        <w:tblLayout w:type="fixed"/>
        <w:tblLook w:val="04A0" w:firstRow="1" w:lastRow="0" w:firstColumn="1" w:lastColumn="0" w:noHBand="0" w:noVBand="1"/>
      </w:tblPr>
      <w:tblGrid>
        <w:gridCol w:w="2083"/>
        <w:gridCol w:w="1704"/>
        <w:gridCol w:w="3325"/>
        <w:gridCol w:w="1883"/>
      </w:tblGrid>
      <w:tr w:rsidR="009B3BB0" w:rsidRPr="0024409C" w14:paraId="4F1D378F" w14:textId="77777777" w:rsidTr="00277378">
        <w:trPr>
          <w:trHeight w:val="389"/>
          <w:jc w:val="center"/>
        </w:trPr>
        <w:tc>
          <w:tcPr>
            <w:tcW w:w="2083" w:type="dxa"/>
            <w:shd w:val="clear" w:color="auto" w:fill="D9D9D9" w:themeFill="background1" w:themeFillShade="D9"/>
            <w:vAlign w:val="center"/>
          </w:tcPr>
          <w:p w14:paraId="1BCD7A68"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Predictor</w:t>
            </w:r>
          </w:p>
        </w:tc>
        <w:tc>
          <w:tcPr>
            <w:tcW w:w="1704" w:type="dxa"/>
            <w:shd w:val="clear" w:color="auto" w:fill="D9D9D9" w:themeFill="background1" w:themeFillShade="D9"/>
            <w:vAlign w:val="center"/>
          </w:tcPr>
          <w:p w14:paraId="34DDA287"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Partner</w:t>
            </w:r>
          </w:p>
        </w:tc>
        <w:tc>
          <w:tcPr>
            <w:tcW w:w="3325" w:type="dxa"/>
            <w:shd w:val="clear" w:color="auto" w:fill="D9D9D9" w:themeFill="background1" w:themeFillShade="D9"/>
            <w:vAlign w:val="center"/>
          </w:tcPr>
          <w:p w14:paraId="35B0D81B"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Parameters</w:t>
            </w:r>
          </w:p>
        </w:tc>
        <w:tc>
          <w:tcPr>
            <w:tcW w:w="1883" w:type="dxa"/>
            <w:shd w:val="clear" w:color="auto" w:fill="D9D9D9" w:themeFill="background1" w:themeFillShade="D9"/>
            <w:vAlign w:val="center"/>
          </w:tcPr>
          <w:p w14:paraId="5C5F4D16" w14:textId="77777777" w:rsidR="009B3BB0" w:rsidRPr="0024409C" w:rsidRDefault="009B3BB0" w:rsidP="00A2582E">
            <w:pPr>
              <w:tabs>
                <w:tab w:val="left" w:pos="540"/>
              </w:tabs>
              <w:rPr>
                <w:rFonts w:ascii="Helvetica Neue" w:hAnsi="Helvetica Neue"/>
                <w:b/>
                <w:sz w:val="18"/>
              </w:rPr>
            </w:pPr>
            <w:r w:rsidRPr="0024409C">
              <w:rPr>
                <w:rFonts w:ascii="Helvetica Neue" w:hAnsi="Helvetica Neue"/>
                <w:b/>
                <w:sz w:val="18"/>
              </w:rPr>
              <w:t>References</w:t>
            </w:r>
          </w:p>
        </w:tc>
      </w:tr>
      <w:tr w:rsidR="009B3BB0" w:rsidRPr="0024409C" w14:paraId="5B8E2B52" w14:textId="77777777" w:rsidTr="00277378">
        <w:trPr>
          <w:trHeight w:val="851"/>
          <w:jc w:val="center"/>
        </w:trPr>
        <w:tc>
          <w:tcPr>
            <w:tcW w:w="2083" w:type="dxa"/>
            <w:vMerge w:val="restart"/>
            <w:vAlign w:val="center"/>
          </w:tcPr>
          <w:p w14:paraId="2EE93860"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Sexual role (insertive or receptive)</w:t>
            </w:r>
          </w:p>
        </w:tc>
        <w:tc>
          <w:tcPr>
            <w:tcW w:w="1704" w:type="dxa"/>
            <w:vMerge w:val="restart"/>
            <w:vAlign w:val="center"/>
          </w:tcPr>
          <w:p w14:paraId="44248308"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w:t>
            </w:r>
          </w:p>
        </w:tc>
        <w:tc>
          <w:tcPr>
            <w:tcW w:w="3325" w:type="dxa"/>
            <w:vAlign w:val="center"/>
          </w:tcPr>
          <w:p w14:paraId="47C3A0AC" w14:textId="77777777" w:rsidR="009B3BB0" w:rsidRPr="0024409C" w:rsidRDefault="009B3BB0" w:rsidP="00A2582E">
            <w:pPr>
              <w:tabs>
                <w:tab w:val="left" w:pos="540"/>
              </w:tabs>
              <w:rPr>
                <w:rFonts w:ascii="Helvetica Neue" w:hAnsi="Helvetica Neue"/>
                <w:sz w:val="18"/>
              </w:rPr>
            </w:pPr>
            <w:r w:rsidRPr="0024409C">
              <w:rPr>
                <w:rFonts w:ascii="Helvetica Neue" w:hAnsi="Helvetica Neue"/>
                <w:i/>
                <w:sz w:val="18"/>
              </w:rPr>
              <w:t>Receptive:</w:t>
            </w:r>
            <w:r w:rsidRPr="0024409C">
              <w:rPr>
                <w:rFonts w:ascii="Helvetica Neue" w:hAnsi="Helvetica Neue"/>
                <w:sz w:val="18"/>
              </w:rPr>
              <w:t xml:space="preserve"> 0.008938 base probability when HIV+ partner has 4.5 log</w:t>
            </w:r>
            <w:r w:rsidRPr="0024409C">
              <w:rPr>
                <w:rFonts w:ascii="Helvetica Neue" w:hAnsi="Helvetica Neue"/>
                <w:sz w:val="18"/>
                <w:vertAlign w:val="subscript"/>
              </w:rPr>
              <w:t>10</w:t>
            </w:r>
            <w:r w:rsidRPr="0024409C">
              <w:rPr>
                <w:rFonts w:ascii="Helvetica Neue" w:hAnsi="Helvetica Neue"/>
                <w:sz w:val="18"/>
              </w:rPr>
              <w:t xml:space="preserve"> viral load</w:t>
            </w:r>
          </w:p>
        </w:tc>
        <w:tc>
          <w:tcPr>
            <w:tcW w:w="1883" w:type="dxa"/>
            <w:vAlign w:val="center"/>
          </w:tcPr>
          <w:p w14:paraId="36F7CD5D" w14:textId="2261991E" w:rsidR="009B3BB0" w:rsidRPr="0024409C" w:rsidRDefault="009B3BB0" w:rsidP="00E52119">
            <w:pPr>
              <w:tabs>
                <w:tab w:val="left" w:pos="540"/>
              </w:tabs>
              <w:rPr>
                <w:rFonts w:ascii="Helvetica Neue" w:hAnsi="Helvetica Neue"/>
                <w:sz w:val="18"/>
              </w:rPr>
            </w:pPr>
            <w:r w:rsidRPr="0024409C">
              <w:rPr>
                <w:rFonts w:ascii="Helvetica Neue" w:hAnsi="Helvetica Neue"/>
                <w:sz w:val="18"/>
              </w:rPr>
              <w:t>Vittinghoff</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"0002-9262", "PMID" : "10430236", "abstract" : "The risk of human immunodeficiency virus (HIV) transmission from various types of homosexual contact, including oral sex, is of biologic, epidemiologic, and public health importance. The per-contact risk of acquiring HIV infection from specific acts was estimated in a prospective cohort study of 2,189 high-risk homosexual and bisexual men, conducted in San Francisco, California; Denver, Colorado; and Chicago, Illinois, in 1992-1994. During 2,633 person-years of follow-up, 60 seroconversions were observed. The estimated per-contact risk of acquiring HIV from unprotected receptive anal intercourse (URA) was 0.82 percent (95% confidence interval: 0.24, 2.76 percent) when the partner was known to be HIV+ and 0.27 percent (95% confidence interval: 0.06, 0.49 percent) when partners of unknown serostatus were included. There was heterogeneity in per-contact risk, with nine seroconversions occurring after only one or two episodes of URA. The per-contact risk associated with unprotected insertive anal and receptive oral sex with HIV-positive or unknown serostatus partners was 0.06 and 0.04 percent, respectively. URA accounted for only 15 percent of all reported sexual activity by seroconverters. As lower-risk practices become more common, they may play a larger role in propagating the epidemic and should also be addressed by interventions targeting high-risk homosexual and bisexual men.", "author" : [ { "dropping-particle" : "", "family" : "Vittinghoff", "given" : "E", "non-dropping-particle" : "", "parse-names" : false, "suffix" : "" }, { "dropping-particle" : "", "family" : "Douglas", "given" : "J", "non-dropping-particle" : "", "parse-names" : false, "suffix" : "" }, { "dropping-particle" : "", "family" : "Judson", "given" : "F", "non-dropping-particle" : "", "parse-names" : false, "suffix" : "" }, { "dropping-particle" : "", "family" : "McKirnan", "given" : "D", "non-dropping-particle" : "", "parse-names" : false, "suffix" : "" }, { "dropping-particle" : "", "family" : "MacQueen", "given" : "K", "non-dropping-particle" : "", "parse-names" : false, "suffix" : "" }, { "dropping-particle" : "", "family" : "Buchbinder", "given" : "S P", "non-dropping-particle" : "", "parse-names" : false, "suffix" : "" } ], "container-title" : "Am J Epidemiol", "id" : "ITEM-1", "issue" : "3", "issued" : { "date-parts" : [ [ "1999", "8" ] ] }, "page" : "306-11", "title" : "Per-contact risk of human immunodeficiency virus transmission between male sexual partners.", "type" : "article-journal", "volume" : "150" }, "uris" : [ "http://www.mendeley.com/documents/?uuid=d78504dd-e8dc-3b12-a249-b1d701e356c3", "http://www.mendeley.com/documents/?uuid=966877b6-6b75-4e88-9b85-c33653b32242" ] } ], "mendeley" : { "formattedCitation" : "&lt;sup&gt;30&lt;/sup&gt;", "plainTextFormattedCitation" : "30", "previouslyFormattedCitation" : "&lt;sup&gt;30&lt;/sup&gt;"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30</w:t>
            </w:r>
            <w:r w:rsidRPr="0024409C">
              <w:rPr>
                <w:rFonts w:ascii="Helvetica Neue" w:hAnsi="Helvetica Neue"/>
                <w:noProof/>
                <w:sz w:val="18"/>
                <w:vertAlign w:val="superscript"/>
              </w:rPr>
              <w:fldChar w:fldCharType="end"/>
            </w:r>
          </w:p>
        </w:tc>
      </w:tr>
      <w:tr w:rsidR="009B3BB0" w:rsidRPr="0024409C" w14:paraId="6A0EAF01" w14:textId="77777777" w:rsidTr="00277378">
        <w:trPr>
          <w:trHeight w:val="401"/>
          <w:jc w:val="center"/>
        </w:trPr>
        <w:tc>
          <w:tcPr>
            <w:tcW w:w="2083" w:type="dxa"/>
            <w:vMerge/>
            <w:vAlign w:val="center"/>
          </w:tcPr>
          <w:p w14:paraId="7820CE04" w14:textId="77777777" w:rsidR="009B3BB0" w:rsidRPr="0024409C" w:rsidRDefault="009B3BB0" w:rsidP="00A2582E">
            <w:pPr>
              <w:tabs>
                <w:tab w:val="left" w:pos="540"/>
              </w:tabs>
              <w:rPr>
                <w:rFonts w:ascii="Helvetica Neue" w:hAnsi="Helvetica Neue"/>
                <w:sz w:val="18"/>
              </w:rPr>
            </w:pPr>
          </w:p>
        </w:tc>
        <w:tc>
          <w:tcPr>
            <w:tcW w:w="1704" w:type="dxa"/>
            <w:vMerge/>
            <w:vAlign w:val="center"/>
          </w:tcPr>
          <w:p w14:paraId="1D8C5881" w14:textId="77777777" w:rsidR="009B3BB0" w:rsidRPr="0024409C" w:rsidRDefault="009B3BB0" w:rsidP="00A2582E">
            <w:pPr>
              <w:tabs>
                <w:tab w:val="left" w:pos="540"/>
              </w:tabs>
              <w:rPr>
                <w:rFonts w:ascii="Helvetica Neue" w:hAnsi="Helvetica Neue"/>
                <w:sz w:val="18"/>
              </w:rPr>
            </w:pPr>
          </w:p>
        </w:tc>
        <w:tc>
          <w:tcPr>
            <w:tcW w:w="3325" w:type="dxa"/>
            <w:vAlign w:val="center"/>
          </w:tcPr>
          <w:p w14:paraId="2C2C19D1" w14:textId="77777777" w:rsidR="009B3BB0" w:rsidRPr="0024409C" w:rsidRDefault="009B3BB0" w:rsidP="00A2582E">
            <w:pPr>
              <w:tabs>
                <w:tab w:val="left" w:pos="540"/>
              </w:tabs>
              <w:rPr>
                <w:rFonts w:ascii="Helvetica Neue" w:hAnsi="Helvetica Neue"/>
                <w:sz w:val="18"/>
              </w:rPr>
            </w:pPr>
            <w:r w:rsidRPr="0024409C">
              <w:rPr>
                <w:rFonts w:ascii="Helvetica Neue" w:hAnsi="Helvetica Neue"/>
                <w:i/>
                <w:sz w:val="18"/>
              </w:rPr>
              <w:t>Insertive:</w:t>
            </w:r>
            <w:r w:rsidRPr="0024409C">
              <w:rPr>
                <w:rFonts w:ascii="Helvetica Neue" w:hAnsi="Helvetica Neue"/>
                <w:sz w:val="18"/>
              </w:rPr>
              <w:t xml:space="preserve"> 0.003379 base probability when HIV+ partner has 4.5 log</w:t>
            </w:r>
            <w:r w:rsidRPr="0024409C">
              <w:rPr>
                <w:rFonts w:ascii="Helvetica Neue" w:hAnsi="Helvetica Neue"/>
                <w:sz w:val="18"/>
                <w:vertAlign w:val="subscript"/>
              </w:rPr>
              <w:t>10</w:t>
            </w:r>
            <w:r w:rsidRPr="0024409C">
              <w:rPr>
                <w:rFonts w:ascii="Helvetica Neue" w:hAnsi="Helvetica Neue"/>
                <w:sz w:val="18"/>
              </w:rPr>
              <w:t xml:space="preserve"> viral load</w:t>
            </w:r>
          </w:p>
        </w:tc>
        <w:tc>
          <w:tcPr>
            <w:tcW w:w="1883" w:type="dxa"/>
            <w:vAlign w:val="center"/>
          </w:tcPr>
          <w:p w14:paraId="32E72F4F" w14:textId="562828C9" w:rsidR="009B3BB0" w:rsidRPr="0024409C" w:rsidRDefault="009B3BB0" w:rsidP="00E52119">
            <w:pPr>
              <w:tabs>
                <w:tab w:val="left" w:pos="540"/>
              </w:tabs>
              <w:rPr>
                <w:rFonts w:ascii="Helvetica Neue" w:hAnsi="Helvetica Neue"/>
                <w:sz w:val="18"/>
              </w:rPr>
            </w:pPr>
            <w:r w:rsidRPr="0024409C">
              <w:rPr>
                <w:rFonts w:ascii="Helvetica Neue" w:hAnsi="Helvetica Neue"/>
                <w:sz w:val="18"/>
              </w:rPr>
              <w:t>Vittinghoff</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"0002-9262", "PMID" : "10430236", "abstract" : "The risk of human immunodeficiency virus (HIV) transmission from various types of homosexual contact, including oral sex, is of biologic, epidemiologic, and public health importance. The per-contact risk of acquiring HIV infection from specific acts was estimated in a prospective cohort study of 2,189 high-risk homosexual and bisexual men, conducted in San Francisco, California; Denver, Colorado; and Chicago, Illinois, in 1992-1994. During 2,633 person-years of follow-up, 60 seroconversions were observed. The estimated per-contact risk of acquiring HIV from unprotected receptive anal intercourse (URA) was 0.82 percent (95% confidence interval: 0.24, 2.76 percent) when the partner was known to be HIV+ and 0.27 percent (95% confidence interval: 0.06, 0.49 percent) when partners of unknown serostatus were included. There was heterogeneity in per-contact risk, with nine seroconversions occurring after only one or two episodes of URA. The per-contact risk associated with unprotected insertive anal and receptive oral sex with HIV-positive or unknown serostatus partners was 0.06 and 0.04 percent, respectively. URA accounted for only 15 percent of all reported sexual activity by seroconverters. As lower-risk practices become more common, they may play a larger role in propagating the epidemic and should also be addressed by interventions targeting high-risk homosexual and bisexual men.", "author" : [ { "dropping-particle" : "", "family" : "Vittinghoff", "given" : "E", "non-dropping-particle" : "", "parse-names" : false, "suffix" : "" }, { "dropping-particle" : "", "family" : "Douglas", "given" : "J", "non-dropping-particle" : "", "parse-names" : false, "suffix" : "" }, { "dropping-particle" : "", "family" : "Judson", "given" : "F", "non-dropping-particle" : "", "parse-names" : false, "suffix" : "" }, { "dropping-particle" : "", "family" : "McKirnan", "given" : "D", "non-dropping-particle" : "", "parse-names" : false, "suffix" : "" }, { "dropping-particle" : "", "family" : "MacQueen", "given" : "K", "non-dropping-particle" : "", "parse-names" : false, "suffix" : "" }, { "dropping-particle" : "", "family" : "Buchbinder", "given" : "S P", "non-dropping-particle" : "", "parse-names" : false, "suffix" : "" } ], "container-title" : "Am J Epidemiol", "id" : "ITEM-1", "issue" : "3", "issued" : { "date-parts" : [ [ "1999", "8" ] ] }, "page" : "306-11", "title" : "Per-contact risk of human immunodeficiency virus transmission between male sexual partners.", "type" : "article-journal", "volume" : "150" }, "uris" : [ "http://www.mendeley.com/documents/?uuid=966877b6-6b75-4e88-9b85-c33653b32242", "http://www.mendeley.com/documents/?uuid=d78504dd-e8dc-3b12-a249-b1d701e356c3" ] } ], "mendeley" : { "formattedCitation" : "&lt;sup&gt;30&lt;/sup&gt;", "plainTextFormattedCitation" : "30", "previouslyFormattedCitation" : "&lt;sup&gt;30&lt;/sup&gt;"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30</w:t>
            </w:r>
            <w:r w:rsidRPr="0024409C">
              <w:rPr>
                <w:rFonts w:ascii="Helvetica Neue" w:hAnsi="Helvetica Neue"/>
                <w:noProof/>
                <w:sz w:val="18"/>
                <w:vertAlign w:val="superscript"/>
              </w:rPr>
              <w:fldChar w:fldCharType="end"/>
            </w:r>
          </w:p>
        </w:tc>
      </w:tr>
      <w:tr w:rsidR="009B3BB0" w:rsidRPr="0024409C" w14:paraId="58F8B766" w14:textId="77777777" w:rsidTr="00277378">
        <w:trPr>
          <w:trHeight w:val="401"/>
          <w:jc w:val="center"/>
        </w:trPr>
        <w:tc>
          <w:tcPr>
            <w:tcW w:w="2083" w:type="dxa"/>
            <w:vAlign w:val="center"/>
          </w:tcPr>
          <w:p w14:paraId="505CBA3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 viral load (VL)</w:t>
            </w:r>
          </w:p>
        </w:tc>
        <w:tc>
          <w:tcPr>
            <w:tcW w:w="1704" w:type="dxa"/>
            <w:vAlign w:val="center"/>
          </w:tcPr>
          <w:p w14:paraId="1061A030"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w:t>
            </w:r>
          </w:p>
        </w:tc>
        <w:tc>
          <w:tcPr>
            <w:tcW w:w="3325" w:type="dxa"/>
            <w:vAlign w:val="center"/>
          </w:tcPr>
          <w:p w14:paraId="0C4B05BE"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Multiplier of 2.45</w:t>
            </w:r>
            <w:r w:rsidRPr="0024409C">
              <w:rPr>
                <w:rFonts w:ascii="Helvetica Neue" w:hAnsi="Helvetica Neue"/>
                <w:sz w:val="18"/>
                <w:vertAlign w:val="superscript"/>
              </w:rPr>
              <w:t>(VL - 4.5)</w:t>
            </w:r>
          </w:p>
        </w:tc>
        <w:tc>
          <w:tcPr>
            <w:tcW w:w="1883" w:type="dxa"/>
            <w:vAlign w:val="center"/>
          </w:tcPr>
          <w:p w14:paraId="3527F542" w14:textId="437D78F9" w:rsidR="009B3BB0" w:rsidRPr="0024409C" w:rsidRDefault="009B3BB0" w:rsidP="00E52119">
            <w:pPr>
              <w:tabs>
                <w:tab w:val="left" w:pos="540"/>
              </w:tabs>
              <w:rPr>
                <w:rFonts w:ascii="Helvetica Neue" w:hAnsi="Helvetica Neue"/>
                <w:sz w:val="18"/>
              </w:rPr>
            </w:pPr>
            <w:r w:rsidRPr="0024409C">
              <w:rPr>
                <w:rFonts w:ascii="Helvetica Neue" w:hAnsi="Helvetica Neue"/>
                <w:sz w:val="18"/>
              </w:rPr>
              <w:t>Wilson</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"BACKGROUND A consensus statement released on behalf of the Swiss Federal Commission for HIV/AIDS suggests that people receiving effective antiretroviral therapy-ie, those with undetectable plasma HIV RNA (&lt;40 copies per mL)-are sexually non-infectious. We analysed the implications of this statement at a population level. METHODS We used a simple mathematical model to estimate the cumulative risk of HIV transmission from effectively treated HIV-infected patients (HIV RNA &lt;10 copies per mL) over a prolonged period. We investigated the risk of unprotected sexual transmission per act and cumulatively over many exposures, within couples initially discordant for HIV status. FINDINGS Assuming that each couple had 100 sexual encounters per year, the cumulative probability of transmission to the serodiscordant partner each year is 0.0022 (uncertainty bounds 0.0008-0.0058) for female-to-male transmission, 0.0043 (0.0016-0.0115) for male-to-female transmission, and 0.043 (0.0159-0.1097) for male-to-male transmission. In a population of 10 000 serodiscordant partnerships, over 10 years the expected number of seroconversions would be 215 (80-564) for female-to-male transmission, 425 (159-1096) for male-to-female transmission, and 3524 (1477-6871) for male-to-male transmission, corresponding to an increase in incidence of four times compared with incidence under current rates of condom use. INTERPRETATION Our analyses suggest that the risk of HIV transmission in heterosexual partnerships in the presence of effective treatment is low but non-zero and that the transmission risk in male homosexual partnerships is high over repeated exposures. If the claim of non-infectiousness in effectively treated patients was widely accepted, and condom use subsequently declined, then there is the potential for substantial increases in HIV incidence. FUNDING Australian Research Council.", "author" : [ { "dropping-particle" : "", "family" : "Wilson", "given" : "David P", "non-dropping-particle" : "", "parse-names" : false, "suffix" : "" }, { "dropping-particle" : "", "family" : "Law", "given" : "Matthew G", "non-dropping-particle" : "", "parse-names" : false, "suffix" : "" }, { "dropping-particle" : "", "family" : "Grulich", "given" : "Andrew E", "non-dropping-particle" : "", "parse-names" : false, "suffix" : "" }, { "dropping-particle" : "", "family" : "Cooper", "given" : "David A", "non-dropping-particle" : "", "parse-names" : false, "suffix" : "" }, { "dropping-particle" : "", "family" : "Kaldor", "given" : "John M", "non-dropping-particle" : "", "parse-names" : false, "suffix" : "" } ], "container-title" : "The Lancet", "id" : "ITEM-1", "issue" : "9635", "issued" : { "date-parts" : [ [ "2008", "7" ] ] }, "page" : "314-320", "title" : "Relation between HIV viral load and infectiousness: a model-based analysis", "type" : "article-journal", "volume" : "372" }, "uris" : [ "http://www.mendeley.com/documents/?uuid=02262356-6748-3434-90cb-19b2e695c29e", "http://www.mendeley.com/documents/?uuid=6c796aab-d4af-40e7-af0a-74a1564a2aae" ] } ], "mendeley" : { "formattedCitation" : "&lt;sup&gt;31&lt;/sup&gt;", "plainTextFormattedCitation" : "31", "previouslyFormattedCitation" : "&lt;sup&gt;31&lt;/sup&gt;"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31</w:t>
            </w:r>
            <w:r w:rsidRPr="0024409C">
              <w:rPr>
                <w:rFonts w:ascii="Helvetica Neue" w:hAnsi="Helvetica Neue"/>
                <w:noProof/>
                <w:sz w:val="18"/>
                <w:vertAlign w:val="superscript"/>
              </w:rPr>
              <w:fldChar w:fldCharType="end"/>
            </w:r>
          </w:p>
        </w:tc>
      </w:tr>
      <w:tr w:rsidR="009B3BB0" w:rsidRPr="0024409C" w14:paraId="2B4838C2" w14:textId="77777777" w:rsidTr="00277378">
        <w:trPr>
          <w:trHeight w:val="450"/>
          <w:jc w:val="center"/>
        </w:trPr>
        <w:tc>
          <w:tcPr>
            <w:tcW w:w="2083" w:type="dxa"/>
            <w:vAlign w:val="center"/>
          </w:tcPr>
          <w:p w14:paraId="58A09666"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Acute stage</w:t>
            </w:r>
          </w:p>
        </w:tc>
        <w:tc>
          <w:tcPr>
            <w:tcW w:w="1704" w:type="dxa"/>
            <w:vAlign w:val="center"/>
          </w:tcPr>
          <w:p w14:paraId="23B6B8CC"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w:t>
            </w:r>
          </w:p>
        </w:tc>
        <w:tc>
          <w:tcPr>
            <w:tcW w:w="3325" w:type="dxa"/>
            <w:vAlign w:val="center"/>
          </w:tcPr>
          <w:p w14:paraId="33DC399C"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Multiplier of 6</w:t>
            </w:r>
          </w:p>
        </w:tc>
        <w:tc>
          <w:tcPr>
            <w:tcW w:w="1883" w:type="dxa"/>
            <w:vAlign w:val="center"/>
          </w:tcPr>
          <w:p w14:paraId="229AE4CC" w14:textId="17FCD70B" w:rsidR="009B3BB0" w:rsidRPr="0024409C" w:rsidRDefault="009B3BB0" w:rsidP="00E52119">
            <w:pPr>
              <w:tabs>
                <w:tab w:val="left" w:pos="540"/>
              </w:tabs>
              <w:rPr>
                <w:rFonts w:ascii="Helvetica Neue" w:hAnsi="Helvetica Neue"/>
                <w:sz w:val="18"/>
              </w:rPr>
            </w:pPr>
            <w:r w:rsidRPr="0024409C">
              <w:rPr>
                <w:rFonts w:ascii="Helvetica Neue" w:hAnsi="Helvetica Neue"/>
                <w:sz w:val="18"/>
              </w:rPr>
              <w:t>Leynaert</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"0002-9262", "PMID" : "9663408", "abstract" : "Although individuals infected with human immunodeficiency virus (HIV) seem to be more infectious in the late stages of HIV infection and possibly also during the seroconversion period, most estimates of per-sexual-contact infectivity have been obtained without allowing for variability over the course of infection. In this analysis, a probabilistic model was fitted to data from a European study carried out between 1987 and 1992 that involved 499 (359 males and 140 females) HIV-infected subjects (index cases) and their regular heterosexual partners. The model used allowed infectivity (the per-sexual-contact HIV transmission probability, mu) to vary through three stages: the first 3 months following infection, the subsequent asymptomatic period, and the advanced stage (HIV-related clinical symptoms or a CD4-positive T lymphocyte count less than 200/mm3). Male-to-female infectivity through penile-anal sex was found to be higher in both the early and advanced stages of infection (mu=0.183) than in the longer intermediate period (mu=0.014) (p &lt; 0.03). Failure to demonstrate significant differences between stages for other types of contact (male-to-female penile-vaginal contacts: mu=0.0007; female-to-male transmission: mu=0.0005) may reflect insufficient power rather than a true lack of variability. Indeed, the results for penile-anal sex suggest that persons who are in the process of seroconverting may be much more infectious than asymptomatic infected persons, whatever the type of contact. Prevention education should stress the risk of HIV transmission from subjects who may be unaware of their infection.", "author" : [ { "dropping-particle" : "", "family" : "Leynaert", "given" : "B", "non-dropping-particle" : "", "parse-names" : false, "suffix" : "" }, { "dropping-particle" : "", "family" : "Downs", "given" : "A M", "non-dropping-particle" : "", "parse-names" : false, "suffix" : "" }, { "dropping-particle" : "", "family" : "Vincenzi", "given" : "I", "non-dropping-particle" : "de", "parse-names" : false, "suffix" : "" } ], "container-title" : "Am J Epidemiol", "id" : "ITEM-1", "issue" : "1", "issued" : { "date-parts" : [ [ "1998", "7" ] ] }, "page" : "88-96", "title" : "Heterosexual transmission of human immunodeficiency virus: variability of infectivity throughout the course of infection. European Study Group on Heterosexual Transmission of HIV.", "type" : "article-journal", "volume" : "148" }, "uris" : [ "http://www.mendeley.com/documents/?uuid=a5f72fd4-2b40-4d32-9d48-0069e12e2dac", "http://www.mendeley.com/documents/?uuid=46644b83-2c8b-3352-8435-cbbbfbcb690c" ] } ], "mendeley" : { "formattedCitation" : "&lt;sup&gt;19&lt;/sup&gt;", "plainTextFormattedCitation" : "19", "previouslyFormattedCitation" : "&lt;sup&gt;19&lt;/sup&gt;"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19</w:t>
            </w:r>
            <w:r w:rsidRPr="0024409C">
              <w:rPr>
                <w:rFonts w:ascii="Helvetica Neue" w:hAnsi="Helvetica Neue"/>
                <w:noProof/>
                <w:sz w:val="18"/>
                <w:vertAlign w:val="superscript"/>
              </w:rPr>
              <w:fldChar w:fldCharType="end"/>
            </w:r>
            <w:r w:rsidRPr="0024409C">
              <w:rPr>
                <w:rFonts w:ascii="Helvetica Neue" w:hAnsi="Helvetica Neue"/>
                <w:sz w:val="18"/>
              </w:rPr>
              <w:t>, Bellan</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"1549-1676", "PMID" : "25781323", "abstract" : "BACKGROUND The infectivity of the HIV-1 acute phase has been directly measured only once, from a retrospectively identified cohort of serodiscordant heterosexual couples in Rakai, Uganda. Analyses of this cohort underlie the widespread view that the acute phase is highly infectious, even more so than would be predicted from its elevated viral load, and that transmission occurring shortly after infection may therefore compromise interventions that rely on diagnosis and treatment, such as antiretroviral treatment as prevention (TasP). Here, we re-estimate the duration and relative infectivity of the acute phase, while accounting for several possible sources of bias in published estimates, including the retrospective cohort exclusion criteria and unmeasured heterogeneity in risk. METHODS AND FINDINGS We estimated acute phase infectivity using two approaches. First, we combined viral load trajectories and viral load-infectivity relationships to estimate infectivity trajectories over the course of infection, under the assumption that elevated acute phase infectivity is caused by elevated viral load alone. Second, we estimated the relative hazard of transmission during the acute phase versus the chronic phase (RHacute) and the acute phase duration (dacute) by fitting a couples transmission model to the Rakai retrospective cohort using approximate Bayesian computation. Our model fit the data well and accounted for characteristics overlooked by previous analyses, including individual heterogeneity in infectiousness and susceptibility and the retrospective cohort's exclusion of couples that were recorded as serodiscordant only once before being censored by loss to follow-up, couple dissolution, or study termination. Finally, we replicated two highly cited analyses of the Rakai data on simulated data to identify biases underlying the discrepancies between previous estimates and our own. From the Rakai data, we estimated RHacute = 5.3 (95% credibility interval [95% CrI]: 0.79-57) and dacute = 1.7 mo (95% CrI: 0.55-6.8). The wide credibility intervals reflect an inability to distinguish a long, mildly infectious acute phase from a short, highly infectious acute phase, given the 10-mo Rakai observation intervals. The total additional risk, measured as excess hazard-months attributable to the acute phase (EHMacute) can be estimated more precisely: EHMacute = (RHacute - 1) \u00d7 dacute, and should be interpreted with respect to the 120 hazard-months generated by a constan\u2026", "author" : [ { "dropping-particle" : "", "family" : "Bellan", "given" : "Steve E", "non-dropping-particle" : "", "parse-names" : false, "suffix" : "" }, { "dropping-particle" : "", "family" : "Dushoff", "given" : "Jonathan", "non-dropping-particle" : "", "parse-names" : false, "suffix" : "" }, { "dropping-particle" : "", "family" : "Galvani", "given" : "Alison P", "non-dropping-particle" : "", "parse-names" : false, "suffix" : "" }, { "dropping-particle" : "", "family" : "Meyers", "given" : "Lauren Ancel", "non-dropping-particle" : "", "parse-names" : false, "suffix" : "" } ], "container-title" : "PLoS Med", "id" : "ITEM-1", "issue" : "3", "issued" : { "date-parts" : [ [ "2015", "3" ] ] }, "page" : "e1001801", "publisher" : "Public Library of Science", "title" : "Reassessment of HIV-1 acute phase infectivity: accounting for heterogeneity and study design with simulated cohorts.", "type" : "article-journal", "volume" : "12" }, "uris" : [ "http://www.mendeley.com/documents/?uuid=49a16f54-7fd0-319d-b2f8-7fa27c3a65f4", "http://www.mendeley.com/documents/?uuid=07d7ba7b-f707-4b10-b472-dca85b2c13b1" ] } ], "mendeley" : { "formattedCitation" : "&lt;sup&gt;32&lt;/sup&gt;", "plainTextFormattedCitation" : "32", "previouslyFormattedCitation" : "&lt;sup&gt;32&lt;/sup&gt;"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32</w:t>
            </w:r>
            <w:r w:rsidRPr="0024409C">
              <w:rPr>
                <w:rFonts w:ascii="Helvetica Neue" w:hAnsi="Helvetica Neue"/>
                <w:noProof/>
                <w:sz w:val="18"/>
                <w:vertAlign w:val="superscript"/>
              </w:rPr>
              <w:fldChar w:fldCharType="end"/>
            </w:r>
          </w:p>
        </w:tc>
      </w:tr>
      <w:tr w:rsidR="009B3BB0" w:rsidRPr="0024409C" w14:paraId="02068608" w14:textId="77777777" w:rsidTr="00277378">
        <w:trPr>
          <w:trHeight w:val="401"/>
          <w:jc w:val="center"/>
        </w:trPr>
        <w:tc>
          <w:tcPr>
            <w:tcW w:w="2083" w:type="dxa"/>
            <w:vMerge w:val="restart"/>
            <w:vAlign w:val="center"/>
          </w:tcPr>
          <w:p w14:paraId="0CB62B5E"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CCR5 status</w:t>
            </w:r>
          </w:p>
        </w:tc>
        <w:tc>
          <w:tcPr>
            <w:tcW w:w="1704" w:type="dxa"/>
            <w:vMerge w:val="restart"/>
            <w:vAlign w:val="center"/>
          </w:tcPr>
          <w:p w14:paraId="43AA742A"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w:t>
            </w:r>
          </w:p>
        </w:tc>
        <w:tc>
          <w:tcPr>
            <w:tcW w:w="3325" w:type="dxa"/>
            <w:vAlign w:val="center"/>
          </w:tcPr>
          <w:p w14:paraId="7D373FE1"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Δ32 homozygote: multiplier of 0</w:t>
            </w:r>
          </w:p>
        </w:tc>
        <w:tc>
          <w:tcPr>
            <w:tcW w:w="1883" w:type="dxa"/>
            <w:vAlign w:val="center"/>
          </w:tcPr>
          <w:p w14:paraId="4B9A85A9" w14:textId="6537DBC3" w:rsidR="009B3BB0" w:rsidRPr="0024409C" w:rsidRDefault="009B3BB0" w:rsidP="00E52119">
            <w:pPr>
              <w:tabs>
                <w:tab w:val="left" w:pos="540"/>
              </w:tabs>
              <w:rPr>
                <w:rFonts w:ascii="Helvetica Neue" w:hAnsi="Helvetica Neue"/>
                <w:sz w:val="18"/>
              </w:rPr>
            </w:pPr>
            <w:r w:rsidRPr="0024409C">
              <w:rPr>
                <w:rFonts w:ascii="Helvetica Neue" w:hAnsi="Helvetica Neue"/>
                <w:sz w:val="18"/>
              </w:rPr>
              <w:t>Marmor</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"OBJECTIVE To investigate evidence for resistance to HIV-1 infection associated with the heterozygous genotype CCR5-+/Delta32 and with the homozygous genotype CCR5-Delta32/Delta32, which results in a nonfunctional CCR5 receptor. DESIGN Cohort study of initially HIV-seronegative high-risk individuals from eight different cities. Enrollment data were analyzed to investigate the association of demographic factors and risk behaviors with CCR5 genotypes on the assumption that increased genotype prevalence among persons with histories of longer or more intensive exposure to HIV would indicate HIV resistance associated with that genotype. Longitudinal data were analyzed to investigate the association of HIV seroincidence with CCR5 genotypes. The cohort of 2996 individuals included 1892 men who have sex with men (MSM), 474 male injection drug users (IDUs), 347 women at heterosexual risk, and 283 female IDUs. MEASUREMENTS CCR5 genotype, HIV serostatus, demographic factors, and risk behaviors during the 6 months before enrollment, followed by measurement of HIV seroincidence during the subsequent 18 months (for men) and 24 months (for women). RESULTS Forty (1.3%) subjects were homozygous CCR5-Delta32/Delta32 and 387 (12.9%) were heterozygous CCR5-+/Delta32. All but 1 CCR5-Delta32/Delta32 individuals and 51 CCR5-+/Delta32 individuals were Caucasian. Among 1531 Caucasian MSM, CCR5-+/Delta32 individuals were present more frequently (22.3%) among those reporting unprotected receptive anal intercourse than among those not reporting this risk (15.9%) (p =.002), suggesting a selective advantage of the heterozygous genotype. CCR5-+/Delta32 individuals also had a significantly reduced relative risk of HIV seroconversion adjusted for unprotected receptive anal intercourse compared with CCR5-/+ individuals (relative risk = 0.30, 95% confidence interval [CI]: 0.08-0.97). CCR5-Delta32/Delta32 prevalence among Caucasian MSM was significantly associated with age among subjects recruited from high HIV seroprevalence cities (New York City and San Francisco) (odds ratio [OR] for each decade increase in age = 2.57, CI: 1.56-4.21) but not among those recruited from lower HIV prevalence sites (Boston, Chicago, Philadelphia, Seattle, and Providence/Pawtucket, Rhode Island) (OR = 1.20, CI: 0.75-1.89). CONCLUSIONS Cross-sectional and longitudinal analyses indicated that among high-risk HIV seronegative MSM, CCR5-+/Delta32 and CCR5-Delta32/Delta32 are associated with protection against HI\u2026", "author" : [ { "dropping-particle" : "", "family" : "Marmor", "given" : "M", "non-dropping-particle" : "", "parse-names" : false, "suffix" : "" }, { "dropping-particle" : "", "family" : "Sheppard", "given" : "H W", "non-dropping-particle" : "", "parse-names" : false, "suffix" : "" }, { "dropping-particle" : "", "family" : "Donnell", "given" : "D", "non-dropping-particle" : "", "parse-names" : false, "suffix" : "" }, { "dropping-particle" : "", "family" : "Bozeman", "given" : "S", "non-dropping-particle" : "", "parse-names" : false, "suffix" : "" }, { "dropping-particle" : "", "family" : "Celum", "given" : "C", "non-dropping-particle" : "", "parse-names" : false, "suffix" : "" }, { "dropping-particle" : "", "family" : "Buchbinder", "given" : "S", "non-dropping-particle" : "", "parse-names" : false, "suffix" : "" }, { "dropping-particle" : "", "family" : "Koblin", "given" : "B", "non-dropping-particle" : "", "parse-names" : false, "suffix" : "" }, { "dropping-particle" : "", "family" : "Seage", "given" : "G R", "non-dropping-particle" : "", "parse-names" : false, "suffix" : "" }, { "dropping-particle" : "", "family" : "HIV Network for Prevention Trials Vaccine Preparedness Protocol Team", "given" : "", "non-dropping-particle" : "", "parse-names" : false, "suffix" : "" } ], "container-title" : "Journal of Acquired Immune Deficiency Syndromes", "id" : "ITEM-1", "issue" : "5", "issued" : { "date-parts" : [ [ "2001", "8" ] ] }, "page" : "472-81", "title" : "Homozygous and heterozygous CCR5-Delta32 genotypes are associated with resistance to HIV infection.", "type" : "article-journal", "volume" : "27" }, "uris" : [ "http://www.mendeley.com/documents/?uuid=244a1c44-5046-426d-b400-fb1a97f32631", "http://www.mendeley.com/documents/?uuid=ba7c2225-2f76-30e5-8354-8ba09b0dcf3e" ] } ], "mendeley" : { "formattedCitation" : "&lt;sup&gt;15&lt;/sup&gt;", "plainTextFormattedCitation" : "15", "previouslyFormattedCitation" : "&lt;sup&gt;15&lt;/sup&gt;"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15</w:t>
            </w:r>
            <w:r w:rsidRPr="0024409C">
              <w:rPr>
                <w:rFonts w:ascii="Helvetica Neue" w:hAnsi="Helvetica Neue"/>
                <w:noProof/>
                <w:sz w:val="18"/>
                <w:vertAlign w:val="superscript"/>
              </w:rPr>
              <w:fldChar w:fldCharType="end"/>
            </w:r>
          </w:p>
        </w:tc>
      </w:tr>
      <w:tr w:rsidR="009B3BB0" w:rsidRPr="0024409C" w14:paraId="32D70D42" w14:textId="77777777" w:rsidTr="00277378">
        <w:trPr>
          <w:trHeight w:val="430"/>
          <w:jc w:val="center"/>
        </w:trPr>
        <w:tc>
          <w:tcPr>
            <w:tcW w:w="2083" w:type="dxa"/>
            <w:vMerge/>
            <w:vAlign w:val="center"/>
          </w:tcPr>
          <w:p w14:paraId="4F508805" w14:textId="77777777" w:rsidR="009B3BB0" w:rsidRPr="0024409C" w:rsidRDefault="009B3BB0" w:rsidP="00A2582E">
            <w:pPr>
              <w:tabs>
                <w:tab w:val="left" w:pos="540"/>
              </w:tabs>
              <w:rPr>
                <w:rFonts w:ascii="Helvetica Neue" w:hAnsi="Helvetica Neue"/>
                <w:sz w:val="18"/>
              </w:rPr>
            </w:pPr>
          </w:p>
        </w:tc>
        <w:tc>
          <w:tcPr>
            <w:tcW w:w="1704" w:type="dxa"/>
            <w:vMerge/>
            <w:vAlign w:val="center"/>
          </w:tcPr>
          <w:p w14:paraId="5F7EFA9D" w14:textId="77777777" w:rsidR="009B3BB0" w:rsidRPr="0024409C" w:rsidRDefault="009B3BB0" w:rsidP="00A2582E">
            <w:pPr>
              <w:tabs>
                <w:tab w:val="left" w:pos="540"/>
              </w:tabs>
              <w:rPr>
                <w:rFonts w:ascii="Helvetica Neue" w:hAnsi="Helvetica Neue"/>
                <w:sz w:val="18"/>
              </w:rPr>
            </w:pPr>
          </w:p>
        </w:tc>
        <w:tc>
          <w:tcPr>
            <w:tcW w:w="3325" w:type="dxa"/>
            <w:vAlign w:val="center"/>
          </w:tcPr>
          <w:p w14:paraId="25613ED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heterozygote: multiplier of 0.3</w:t>
            </w:r>
          </w:p>
        </w:tc>
        <w:tc>
          <w:tcPr>
            <w:tcW w:w="1883" w:type="dxa"/>
            <w:vAlign w:val="center"/>
          </w:tcPr>
          <w:p w14:paraId="1EB5785B" w14:textId="61973E0A" w:rsidR="009B3BB0" w:rsidRPr="0024409C" w:rsidRDefault="009B3BB0" w:rsidP="00E52119">
            <w:pPr>
              <w:tabs>
                <w:tab w:val="left" w:pos="540"/>
              </w:tabs>
              <w:rPr>
                <w:rFonts w:ascii="Helvetica Neue" w:hAnsi="Helvetica Neue"/>
                <w:sz w:val="18"/>
              </w:rPr>
            </w:pPr>
            <w:r w:rsidRPr="0024409C">
              <w:rPr>
                <w:rFonts w:ascii="Helvetica Neue" w:hAnsi="Helvetica Neue"/>
                <w:sz w:val="18"/>
              </w:rPr>
              <w:t>Marmor</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"OBJECTIVE To investigate evidence for resistance to HIV-1 infection associated with the heterozygous genotype CCR5-+/Delta32 and with the homozygous genotype CCR5-Delta32/Delta32, which results in a nonfunctional CCR5 receptor. DESIGN Cohort study of initially HIV-seronegative high-risk individuals from eight different cities. Enrollment data were analyzed to investigate the association of demographic factors and risk behaviors with CCR5 genotypes on the assumption that increased genotype prevalence among persons with histories of longer or more intensive exposure to HIV would indicate HIV resistance associated with that genotype. Longitudinal data were analyzed to investigate the association of HIV seroincidence with CCR5 genotypes. The cohort of 2996 individuals included 1892 men who have sex with men (MSM), 474 male injection drug users (IDUs), 347 women at heterosexual risk, and 283 female IDUs. MEASUREMENTS CCR5 genotype, HIV serostatus, demographic factors, and risk behaviors during the 6 months before enrollment, followed by measurement of HIV seroincidence during the subsequent 18 months (for men) and 24 months (for women). RESULTS Forty (1.3%) subjects were homozygous CCR5-Delta32/Delta32 and 387 (12.9%) were heterozygous CCR5-+/Delta32. All but 1 CCR5-Delta32/Delta32 individuals and 51 CCR5-+/Delta32 individuals were Caucasian. Among 1531 Caucasian MSM, CCR5-+/Delta32 individuals were present more frequently (22.3%) among those reporting unprotected receptive anal intercourse than among those not reporting this risk (15.9%) (p =.002), suggesting a selective advantage of the heterozygous genotype. CCR5-+/Delta32 individuals also had a significantly reduced relative risk of HIV seroconversion adjusted for unprotected receptive anal intercourse compared with CCR5-/+ individuals (relative risk = 0.30, 95% confidence interval [CI]: 0.08-0.97). CCR5-Delta32/Delta32 prevalence among Caucasian MSM was significantly associated with age among subjects recruited from high HIV seroprevalence cities (New York City and San Francisco) (odds ratio [OR] for each decade increase in age = 2.57, CI: 1.56-4.21) but not among those recruited from lower HIV prevalence sites (Boston, Chicago, Philadelphia, Seattle, and Providence/Pawtucket, Rhode Island) (OR = 1.20, CI: 0.75-1.89). CONCLUSIONS Cross-sectional and longitudinal analyses indicated that among high-risk HIV seronegative MSM, CCR5-+/Delta32 and CCR5-Delta32/Delta32 are associated with protection against HI\u2026", "author" : [ { "dropping-particle" : "", "family" : "Marmor", "given" : "M", "non-dropping-particle" : "", "parse-names" : false, "suffix" : "" }, { "dropping-particle" : "", "family" : "Sheppard", "given" : "H W", "non-dropping-particle" : "", "parse-names" : false, "suffix" : "" }, { "dropping-particle" : "", "family" : "Donnell", "given" : "D", "non-dropping-particle" : "", "parse-names" : false, "suffix" : "" }, { "dropping-particle" : "", "family" : "Bozeman", "given" : "S", "non-dropping-particle" : "", "parse-names" : false, "suffix" : "" }, { "dropping-particle" : "", "family" : "Celum", "given" : "C", "non-dropping-particle" : "", "parse-names" : false, "suffix" : "" }, { "dropping-particle" : "", "family" : "Buchbinder", "given" : "S", "non-dropping-particle" : "", "parse-names" : false, "suffix" : "" }, { "dropping-particle" : "", "family" : "Koblin", "given" : "B", "non-dropping-particle" : "", "parse-names" : false, "suffix" : "" }, { "dropping-particle" : "", "family" : "Seage", "given" : "G R", "non-dropping-particle" : "", "parse-names" : false, "suffix" : "" }, { "dropping-particle" : "", "family" : "HIV Network for Prevention Trials Vaccine Preparedness Protocol Team", "given" : "", "non-dropping-particle" : "", "parse-names" : false, "suffix" : "" } ], "container-title" : "Journal of Acquired Immune Deficiency Syndromes", "id" : "ITEM-1", "issue" : "5", "issued" : { "date-parts" : [ [ "2001", "8" ] ] }, "page" : "472-81", "title" : "Homozygous and heterozygous CCR5-Delta32 genotypes are associated with resistance to HIV infection.", "type" : "article-journal", "volume" : "27" }, "uris" : [ "http://www.mendeley.com/documents/?uuid=244a1c44-5046-426d-b400-fb1a97f32631", "http://www.mendeley.com/documents/?uuid=ba7c2225-2f76-30e5-8354-8ba09b0dcf3e" ] } ], "mendeley" : { "formattedCitation" : "&lt;sup&gt;15&lt;/sup&gt;", "plainTextFormattedCitation" : "15", "previouslyFormattedCitation" : "&lt;sup&gt;15&lt;/sup&gt;"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15</w:t>
            </w:r>
            <w:r w:rsidRPr="0024409C">
              <w:rPr>
                <w:rFonts w:ascii="Helvetica Neue" w:hAnsi="Helvetica Neue"/>
                <w:noProof/>
                <w:sz w:val="18"/>
                <w:vertAlign w:val="superscript"/>
              </w:rPr>
              <w:fldChar w:fldCharType="end"/>
            </w:r>
          </w:p>
        </w:tc>
      </w:tr>
      <w:tr w:rsidR="009B3BB0" w:rsidRPr="0024409C" w14:paraId="11AEF75F" w14:textId="77777777" w:rsidTr="00277378">
        <w:trPr>
          <w:trHeight w:val="430"/>
          <w:jc w:val="center"/>
        </w:trPr>
        <w:tc>
          <w:tcPr>
            <w:tcW w:w="2083" w:type="dxa"/>
            <w:vAlign w:val="center"/>
          </w:tcPr>
          <w:p w14:paraId="7F245A6A"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Condom use</w:t>
            </w:r>
          </w:p>
        </w:tc>
        <w:tc>
          <w:tcPr>
            <w:tcW w:w="1704" w:type="dxa"/>
            <w:vAlign w:val="center"/>
          </w:tcPr>
          <w:p w14:paraId="30AD929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Both</w:t>
            </w:r>
          </w:p>
        </w:tc>
        <w:tc>
          <w:tcPr>
            <w:tcW w:w="3325" w:type="dxa"/>
            <w:vAlign w:val="center"/>
          </w:tcPr>
          <w:p w14:paraId="0DDE5F7D"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Multiplier of 0.25</w:t>
            </w:r>
          </w:p>
        </w:tc>
        <w:tc>
          <w:tcPr>
            <w:tcW w:w="1883" w:type="dxa"/>
            <w:vAlign w:val="center"/>
          </w:tcPr>
          <w:p w14:paraId="2701F8B5" w14:textId="1C455711" w:rsidR="009B3BB0" w:rsidRPr="0024409C" w:rsidRDefault="009B3BB0" w:rsidP="00E52119">
            <w:pPr>
              <w:tabs>
                <w:tab w:val="left" w:pos="540"/>
              </w:tabs>
              <w:rPr>
                <w:rFonts w:ascii="Helvetica Neue" w:hAnsi="Helvetica Neue"/>
                <w:sz w:val="18"/>
              </w:rPr>
            </w:pPr>
            <w:r w:rsidRPr="0024409C">
              <w:rPr>
                <w:rFonts w:ascii="Helvetica Neue" w:hAnsi="Helvetica Neue"/>
                <w:sz w:val="18"/>
              </w:rPr>
              <w:t>Varghese</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"BACKGROUND Sexual acquisition of HIV is influenced by choice of partner, sex act, and condom use. However, current risk-reduction strategies focus mainly on condom use. GOAL To estimate the contribution of choice of partner, sex act, and condom use on the per-act relative and absolute risks for HIV infection. STUDY DESIGN Per-act relative risk for HIV infection was calculated with use of estimates of HIV prevalence, risk of condom failure, HIV test accuracy, and per-act risk of HIV transmission for different sex acts. Absolute risks were calculated on the basis of these relative risk estimates. RESULTS Choosing a partner who tested negative instead of an untested partner reduced the relative risk of HIV infection 47-fold; using condoms, 20-fold; and choosing insertive fellatio rather than insertive anal sex, 13-fold. Choosing one risk-reduction behavior substantially reduces absolute risk of HIV infection for heterosexuals but not for men who have sex with men. CONCLUSION Clarifying the magnitude of risk associated with different choices may help people make effective and sustainable changes in behavior.", "author" : [ { "dropping-particle" : "", "family" : "Varghese", "given" : "Beens", "non-dropping-particle" : "", "parse-names" : false, "suffix" : "" }, { "dropping-particle" : "", "family" : "Maher", "given" : "Julie E", "non-dropping-particle" : "", "parse-names" : false, "suffix" : "" }, { "dropping-particle" : "", "family" : "Peterman", "given" : "Thomas A", "non-dropping-particle" : "", "parse-names" : false, "suffix" : "" }, { "dropping-particle" : "", "family" : "Branson", "given" : "Bernard M", "non-dropping-particle" : "", "parse-names" : false, "suffix" : "" }, { "dropping-particle" : "", "family" : "Steketee", "given" : "Richard W", "non-dropping-particle" : "", "parse-names" : false, "suffix" : "" } ], "container-title" : "Sexually transmitted diseases", "id" : "ITEM-1", "issue" : "1", "issued" : { "date-parts" : [ [ "2002", "1" ] ] }, "page" : "38-43", "title" : "Reducing the risk of sexual HIV transmission: quantifying the per-act risk for HIV on the basis of choice of partner, sex act, and condom use.", "type" : "article-journal", "volume" : "29" }, "uris" : [ "http://www.mendeley.com/documents/?uuid=18383ff2-bd40-3027-813b-aae07ed8f4c5", "http://www.mendeley.com/documents/?uuid=f9b7eb3b-5bbc-4b99-a22b-29538efd398b" ] } ], "mendeley" : { "formattedCitation" : "&lt;sup&gt;33&lt;/sup&gt;", "plainTextFormattedCitation" : "33", "previouslyFormattedCitation" : "&lt;sup&gt;33&lt;/sup&gt;"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33</w:t>
            </w:r>
            <w:r w:rsidRPr="0024409C">
              <w:rPr>
                <w:rFonts w:ascii="Helvetica Neue" w:hAnsi="Helvetica Neue"/>
                <w:noProof/>
                <w:sz w:val="18"/>
                <w:vertAlign w:val="superscript"/>
              </w:rPr>
              <w:fldChar w:fldCharType="end"/>
            </w:r>
            <w:r w:rsidRPr="0024409C">
              <w:rPr>
                <w:rFonts w:ascii="Helvetica Neue" w:hAnsi="Helvetica Neue"/>
                <w:sz w:val="18"/>
              </w:rPr>
              <w:t>, Weller</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"abstract" : "BACKGROUND The amount of protection that condoms provide for HIV and other sexually transmitted infections is unknown. Cohort studies of sexually active HIV serodiscordant couples with follow-up of the seronegative partner, provide a situation in which a seronegative partner has known exposure to the disease and disease incidence can be estimated. When some individuals use condoms and some do not, namely some individuals use condoms 100% of the time and some never use (0%) condoms, condom effectiveness can be estimated by comparing the two incidence rates. Condom effectiveness is the proportionate reduction in disease due to the use of condoms. OBJECTIVES The objective of this review is to estimate condom effectiveness in reducing heterosexual transmission of HIV. SEARCH STRATEGY Studies were located using electronic databases (AIDSLINE, CINAHL, Embase, and MEDLINE) and handsearched reference lists. SELECTION CRITERIA For inclusion, studies had to have: (1) data concerning sexually active HIV serodiscordant heterosexual couples, (2) a longitudinal study design, (3) HIV status determined by serology, and (4) contain condom usage information on a cohort of always (100%) or never (0%) condom users. DATA COLLECTION AND ANALYSIS Studies identified through the above search strategy that met the inclusion criteria were reviewed for inclusion in the analysis. Sample sizes, number of seroconversions, and the person-years of disease-free exposure time were recorded for each cohort. If available, the direction of transmission in the cohort (male-to-female, female-to-male), date of study enrollment, source of infection in the index case, and the presence of other STDs was recorded. Duplicate reports on the same cohort and studies with incomplete or nonsepecific information were excluded. HIV incidence was estimated from the cohorts of \"always\" users and for the cohorts of \"never\" users. Effectiveness was estimated from these two incidence estimates. MAIN RESULTS Of the 4709 references that were initially identified, 14 were included in the final analysis. There were 13 cohorts of \"always\" users that yielded an homogeneous HIV incidence estimate of 1.14 [95% C.I.:.56, 2.04] per 100 person-years. There were 10 cohorts of \"never\" users that appeared to be heterogeneous. The studies with the longest follow-up time, consisting mainly of studies of partners of hemophiliac and transfusion patients, yielded an HIV incidence estimate of 5.75 [95% C.I.: 3.16, 9.66] per 100 p\u2026", "author" : [ { "dropping-particle" : "", "family" : "Weller", "given" : "Susan C", "non-dropping-particle" : "", "parse-names" : false, "suffix" : "" }, { "dropping-particle" : "", "family" : "Davis-Beaty", "given" : "Karen", "non-dropping-particle" : "", "parse-names" : false, "suffix" : "" } ], "container-title" : "Cochrane Database of Systematic Reviews", "editor" : [ { "dropping-particle" : "", "family" : "Weller", "given" : "Susan C", "non-dropping-particle" : "", "parse-names" : false, "suffix" : "" } ], "id" : "ITEM-1", "issue" : "1", "issued" : { "date-parts" : [ [ "2002", "1", "21" ] ] }, "page" : "CD003255", "publisher-place" : "Chichester, UK", "title" : "Condom effectiveness in reducing heterosexual HIV transmission", "type" : "article-journal" }, "uris" : [ "http://www.mendeley.com/documents/?uuid=a732ed1f-db1e-4099-b0fb-5e45c5b6bbe3" ] } ], "mendeley" : { "formattedCitation" : "&lt;sup&gt;34&lt;/sup&gt;", "plainTextFormattedCitation" : "34", "previouslyFormattedCitation" : "&lt;sup&gt;34&lt;/sup&gt;"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34</w:t>
            </w:r>
            <w:r w:rsidRPr="0024409C">
              <w:rPr>
                <w:rFonts w:ascii="Helvetica Neue" w:hAnsi="Helvetica Neue"/>
                <w:noProof/>
                <w:sz w:val="18"/>
                <w:vertAlign w:val="superscript"/>
              </w:rPr>
              <w:fldChar w:fldCharType="end"/>
            </w:r>
          </w:p>
        </w:tc>
      </w:tr>
      <w:tr w:rsidR="009B3BB0" w:rsidRPr="0024409C" w14:paraId="61034CA3" w14:textId="77777777" w:rsidTr="00277378">
        <w:trPr>
          <w:trHeight w:val="401"/>
          <w:jc w:val="center"/>
        </w:trPr>
        <w:tc>
          <w:tcPr>
            <w:tcW w:w="2083" w:type="dxa"/>
            <w:vAlign w:val="center"/>
          </w:tcPr>
          <w:p w14:paraId="0054B329"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Circumcision status</w:t>
            </w:r>
          </w:p>
        </w:tc>
        <w:tc>
          <w:tcPr>
            <w:tcW w:w="1704" w:type="dxa"/>
            <w:vAlign w:val="center"/>
          </w:tcPr>
          <w:p w14:paraId="4C69CF7C"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HIV-, insertive</w:t>
            </w:r>
          </w:p>
        </w:tc>
        <w:tc>
          <w:tcPr>
            <w:tcW w:w="3325" w:type="dxa"/>
            <w:vAlign w:val="center"/>
          </w:tcPr>
          <w:p w14:paraId="1249AC9B" w14:textId="77777777" w:rsidR="009B3BB0" w:rsidRPr="0024409C" w:rsidRDefault="009B3BB0" w:rsidP="00A2582E">
            <w:pPr>
              <w:tabs>
                <w:tab w:val="left" w:pos="540"/>
              </w:tabs>
              <w:rPr>
                <w:rFonts w:ascii="Helvetica Neue" w:hAnsi="Helvetica Neue"/>
                <w:sz w:val="18"/>
              </w:rPr>
            </w:pPr>
            <w:r w:rsidRPr="0024409C">
              <w:rPr>
                <w:rFonts w:ascii="Helvetica Neue" w:hAnsi="Helvetica Neue"/>
                <w:sz w:val="18"/>
              </w:rPr>
              <w:t>Multiplier of 0.40</w:t>
            </w:r>
          </w:p>
        </w:tc>
        <w:tc>
          <w:tcPr>
            <w:tcW w:w="1883" w:type="dxa"/>
            <w:vAlign w:val="center"/>
          </w:tcPr>
          <w:p w14:paraId="2F6F6F08" w14:textId="369E8BC0" w:rsidR="009B3BB0" w:rsidRPr="0024409C" w:rsidRDefault="009B3BB0" w:rsidP="00E52119">
            <w:pPr>
              <w:tabs>
                <w:tab w:val="left" w:pos="540"/>
              </w:tabs>
              <w:rPr>
                <w:rFonts w:ascii="Helvetica Neue" w:hAnsi="Helvetica Neue"/>
                <w:sz w:val="18"/>
              </w:rPr>
            </w:pPr>
            <w:r w:rsidRPr="0024409C">
              <w:rPr>
                <w:rFonts w:ascii="Helvetica Neue" w:hAnsi="Helvetica Neue"/>
                <w:sz w:val="18"/>
              </w:rPr>
              <w:t>Gray</w:t>
            </w:r>
            <w:r w:rsidRPr="0024409C">
              <w:rPr>
                <w:rFonts w:ascii="Helvetica Neue" w:hAnsi="Helvetica Neue"/>
                <w:noProof/>
                <w:sz w:val="18"/>
                <w:vertAlign w:val="superscript"/>
              </w:rPr>
              <w:fldChar w:fldCharType="begin" w:fldLock="1"/>
            </w:r>
            <w:r w:rsidR="00AD1715">
              <w:rPr>
                <w:rFonts w:ascii="Helvetica Neue" w:hAnsi="Helvetica Neue"/>
                <w:noProof/>
                <w:sz w:val="18"/>
                <w:vertAlign w:val="superscript"/>
              </w:rPr>
              <w:instrText>ADDIN CSL_CITATION { "citationItems" : [ { "id" : "ITEM-1", "itemData" : { "ISSN" : "01406736", "author" : [ { "dropping-particle" : "", "family" : "Gray", "given" : "Ronald H", "non-dropping-particle" : "", "parse-names" : false, "suffix" : "" }, { "dropping-particle" : "", "family" : "Kigozi", "given" : "Godfrey", "non-dropping-particle" : "", "parse-names" : false, "suffix" : "" }, { "dropping-particle" : "", "family" : "Serwadda", "given" : "David", "non-dropping-particle" : "", "parse-names" : false, "suffix" : "" }, { "dropping-particle" : "", "family" : "Makumbi", "given" : "Frederick", "non-dropping-particle" : "", "parse-names" : false, "suffix" : "" }, { "dropping-particle" : "", "family" : "Watya", "given" : "Stephen", "non-dropping-particle" : "", "parse-names" : false, "suffix" : "" }, { "dropping-particle" : "", "family" : "Nalugoda", "given" : "Fred", "non-dropping-particle" : "", "parse-names" : false, "suffix" : "" }, { "dropping-particle" : "", "family" : "Kiwanuka", "given" : "Noah", "non-dropping-particle" : "", "parse-names" : false, "suffix" : "" }, { "dropping-particle" : "", "family" : "Moulton", "given" : "Lawrence H", "non-dropping-particle" : "", "parse-names" : false, "suffix" : "" }, { "dropping-particle" : "", "family" : "Chaudhary", "given" : "Mohammad A", "non-dropping-particle" : "", "parse-names" : false, "suffix" : "" }, { "dropping-particle" : "", "family" : "Chen", "given" : "Michael Z", "non-dropping-particle" : "", "parse-names" : false, "suffix" : "" }, { "dropping-particle" : "", "family" : "Sewankambo", "given" : "Nelson K", "non-dropping-particle" : "", "parse-names" : false, "suffix" : "" }, { "dropping-particle" : "", "family" : "Wabwire-Mangen", "given" : "Fred", "non-dropping-particle" : "", "parse-names" : false, "suffix" : "" }, { "dropping-particle" : "", "family" : "Bacon", "given" : "Melanie C", "non-dropping-particle" : "", "parse-names" : false, "suffix" : "" }, { "dropping-particle" : "", "family" : "Williams", "given" : "Carolyn FM", "non-dropping-particle" : "", "parse-names" : false, "suffix" : "" }, { "dropping-particle" : "", "family" : "Opendi", "given" : "Pius", "non-dropping-particle" : "", "parse-names" : false, "suffix" : "" }, { "dropping-particle" : "", "family" : "Reynolds", "given" : "Steven J", "non-dropping-particle" : "", "parse-names" : false, "suffix" : "" }, { "dropping-particle" : "", "family" : "Laeyendecker", "given" : "Oliver", "non-dropping-particle" : "", "parse-names" : false, "suffix" : "" }, { "dropping-particle" : "", "family" : "Quinn", "given" : "Thomas C", "non-dropping-particle" : "", "parse-names" : false, "suffix" : "" }, { "dropping-particle" : "", "family" : "Wawer", "given" : "Maria J", "non-dropping-particle" : "", "parse-names" : false, "suffix" : "" }, { "dropping-particle" : "", "family" : "Weiss", "given" : "HA", "non-dropping-particle" : "", "parse-names" : false, "suffix" : "" }, { "dropping-particle" : "", "family" : "Quigley", "given" : "MA", "non-dropping-particle" : "", "parse-names" : false, "suffix" : "" }, { "dropping-particle" : "", "family" : "Hayes", "given" : "RJ", "non-dropping-particle" : "", "parse-names" : false, "suffix" : "" }, { "dropping-particle" : "", "family" : "Gray", "given" : "RH", "non-dropping-particle" : "", "parse-names" : false, "suffix" : "" }, { "dropping-particle" : "", "family" : "Kiwanuka", "given" : "N", "non-dropping-particle" : "", "parse-names" : false, "suffix" : "" }, { "dropping-particle" : "", "family" : "Quinn", "given" : "TC", "non-dropping-particle" : "", "parse-names" : false, "suffix" : "" }, { "dropping-particle" : "", "family" : "Al.", "given" : "Et", "non-dropping-particle" : "", "parse-names" : false, "suffix" : "" }, { "dropping-particle" : "", "family" : "Reynolds", "given" : "SJ", "non-dropping-particle" : "", "parse-names" : false, "suffix" : "" }, { "dropping-particle" : "", "family" : "Shepherd", "given" : "ME", "non-dropping-particle" : "", "parse-names" : false, "suffix" : "" }, { "dropping-particle" : "", "family" : "Risbud", "given" : "AR", "non-dropping-particle" : "", "parse-names" : false, "suffix" : "" }, { "dropping-particle" : "", "family" : "Al.", "given" : "Et", "non-dropping-particle" : "", "parse-names" : false, "suffix" : "" }, { "dropping-particle" : "", "family" : "Lavreys", "given" : "L", "non-dropping-particle" : "", "parse-names" : false, "suffix" : "" }, { "dropping-particle" : "", "family" : "Rakwar", "given" : "JP", "non-dropping-particle" : "", "parse-names" : false, "suffix" : "" }, { "dropping-particle" : "", "family" : "Thompson", "given" : "ML", "non-dropping-particle" : "", "parse-names" : false, "suffix" : "" }, { "dropping-particle" : "", "family" : "Al.", "given" : "Et", "non-dropping-particle" : "", "parse-names" : false, "suffix" : "" }, { "dropping-particle" : "", "family" : "Baeten", "given" : "JM", "non-dropping-particle" : "", "parse-names" : false, "suffix" : "" }, { "dropping-particle" : "", "family" : "Richardson", "given" : "BA", "non-dropping-particle" : "", "parse-names" : false, "suffix" : "" }, { "dropping-particle" : "", "family" : "Lavreys", "given" : "L", "non-dropping-particle" : "", "parse-names" : false, "suffix" : "" }, { "dropping-particle" : "", "family" : "Al.", "given" : "Et", "non-dropping-particle" : "", "parse-names" : false, "suffix" : "" }, { "dropping-particle" : "", "family" : "Auvert", "given" : "B", "non-dropping-particle" : "", "parse-names" : false, "suffix" : "" }, { "dropping-particle" : "", "family" : "Taljaard", "given" : "D", "non-dropping-particle" : "", "parse-names" : false, "suffix" : "" }, { "dropping-particle" : "", "family" : "Lagarde", "given" : "E", "non-dropping-particle" : "", "parse-names" : false, "suffix" : "" }, { "dropping-particle" : "", "family" : "Sobngwi-Tambekou", "given" : "J", "non-dropping-particle" : "", "parse-names" : false, "suffix" : "" }, { "dropping-particle" : "", "family" : "Sitta", "given" : "R", "non-dropping-particle" : "", "parse-names" : false, "suffix" : "" }, { "dropping-particle" : "", "family" : "Puren", "given" : "A", "non-dropping-particle" : "", "parse-names" : false, "suffix" : "" }, { "dropping-particle" : "", "family" : "Zablotska", "given" : "IB", "non-dropping-particle" : "", "parse-names" : false, "suffix" : "" }, { "dropping-particle" : "", "family" : "Gray", "given" : "RH", "non-dropping-particle" : "", "parse-names" : false, "suffix" : "" }, { "dropping-particle" : "", "family" : "Serwadda", "given" : "D", "non-dropping-particle" : "", "parse-names" : false, "suffix" : "" }, { "dropping-particle" : "", "family" : "Al.", "given" : "Et", "non-dropping-particle" : "", "parse-names" : false, "suffix" : "" }, { "dropping-particle" : "", "family" : "Lan", "given" : "KK", "non-dropping-particle" : "", "parse-names" : false, "suffix" : "" }, { "dropping-particle" : "", "family" : "DeMets", "given" : "DL", "non-dropping-particle" : "", "parse-names" : false, "suffix" : "" }, { "dropping-particle" : "", "family" : "O'Brien", "given" : "PC", "non-dropping-particle" : "", "parse-names" : false, "suffix" : "" }, { "dropping-particle" : "", "family" : "Fleming", "given" : "TR", "non-dropping-particle" : "", "parse-names" : false, "suffix" : "" }, { "dropping-particle" : "", "family" : "Bailey", "given" : "RC", "non-dropping-particle" : "", "parse-names" : false, "suffix" : "" }, { "dropping-particle" : "", "family" : "Moses", "given" : "S", "non-dropping-particle" : "", "parse-names" : false, "suffix" : "" }, { "dropping-particle" : "", "family" : "Parker", "given" : "CB", "non-dropping-particle" : "", "parse-names" : false, "suffix" : "" }, { "dropping-particle" : "", "family" : "Al.", "given" : "Et", "non-dropping-particle" : "", "parse-names" : false, "suffix" : "" }, { "dropping-particle" : "", "family" : "Weiss", "given" : "HA", "non-dropping-particle" : "", "parse-names" : false, "suffix" : "" }, { "dropping-particle" : "", "family" : "Thomas", "given" : "SL", "non-dropping-particle" : "", "parse-names" : false, "suffix" : "" }, { "dropping-particle" : "", "family" : "Munabi", "given" : "SK", "non-dropping-particle" : "", "parse-names" : false, "suffix" : "" }, { "dropping-particle" : "", "family" : "Hayes", "given" : "RJ", "non-dropping-particle" : "", "parse-names" : false, "suffix" : "" }, { "dropping-particle" : "", "family" : "Freeman", "given" : "EE", "non-dropping-particle" : "", "parse-names" : false, "suffix" : "" }, { "dropping-particle" : "", "family" : "Weiss", "given" : "HA", "non-dropping-particle" : "", "parse-names" : false, "suffix" : "" }, { "dropping-particle" : "", "family" : "Glynn", "given" : "JR", "non-dropping-particle" : "", "parse-names" : false, "suffix" : "" }, { "dropping-particle" : "", "family" : "Cross", "given" : "PL", "non-dropping-particle" : "", "parse-names" : false, "suffix" : "" }, { "dropping-particle" : "", "family" : "Whitworth", "given" : "JA", "non-dropping-particle" : "", "parse-names" : false, "suffix" : "" }, { "dropping-particle" : "", "family" : "Hayes", "given" : "RJ", "non-dropping-particle" : "", "parse-names" : false, "suffix" : "" }, { "dropping-particle" : "", "family" : "Reynolds", "given" : "SJ", "non-dropping-particle" : "", "parse-names" : false, "suffix" : "" }, { "dropping-particle" : "", "family" : "Risbud", "given" : "AR", "non-dropping-particle" : "", "parse-names" : false, "suffix" : "" }, { "dropping-particle" : "", "family" : "Shepherd", "given" : "ME", "non-dropping-particle" : "", "parse-names" : false, "suffix" : "" }, { "dropping-particle" : "", "family" : "Al.", "given" : "Et", "non-dropping-particle" : "", "parse-names" : false, "suffix" : "" }, { "dropping-particle" : "", "family" : "Rottingen", "given" : "JA", "non-dropping-particle" : "", "parse-names" : false, "suffix" : "" }, { "dropping-particle" : "", "family" : "Cameron", "given" : "DW", "non-dropping-particle" : "", "parse-names" : false, "suffix" : "" }, { "dropping-particle" : "", "family" : "Garnett", "given" : "GP", "non-dropping-particle" : "", "parse-names" : false, "suffix" : "" }, { "dropping-particle" : "", "family" : "Gray", "given" : "RH", "non-dropping-particle" : "", "parse-names" : false, "suffix" : "" }, { "dropping-particle" : "", "family" : "Azire", "given" : "J", "non-dropping-particle" : "", "parse-names" : false, "suffix" : "" }, { "dropping-particle" : "", "family" : "Serwadda", "given" : "D", "non-dropping-particle" : "", "parse-names" : false, "suffix" : "" }, { "dropping-particle" : "", "family" : "Al.", "given" : "Et", "non-dropping-particle" : "", "parse-names" : false, "suffix" : "" }, { "dropping-particle" : "", "family" : "Hussain", "given" : "LA", "non-dropping-particle" : "", "parse-names" : false, "suffix" : "" }, { "dropping-particle" : "", "family" : "Lehner", "given" : "T", "non-dropping-particle" : "", "parse-names" : false, "suffix" : "" }, { "dropping-particle" : "", "family" : "Donoval", "given" : "BA", "non-dropping-particle" : "", "parse-names" : false, "suffix" : "" }, { "dropping-particle" : "", "family" : "Landay", "given" : "AL", "non-dropping-particle" : "", "parse-names" : false, "suffix" : "" }, { "dropping-particle" : "", "family" : "Moses", "given" : "S", "non-dropping-particle" : "", "parse-names" : false, "suffix" : "" }, { "dropping-particle" : "", "family" : "Al.", "given" : "Et", "non-dropping-particle" : "", "parse-names" : false, "suffix" : "" }, { "dropping-particle" : "", "family" : "McCoombe", "given" : "SG", "non-dropping-particle" : "", "parse-names" : false, "suffix" : "" }, { "dropping-particle" : "", "family" : "Short", "given" : "RV", "non-dropping-particle" : "", "parse-names" : false, "suffix" : "" }, { "dropping-particle" : "", "family" : "Patterson", "given" : "BK", "non-dropping-particle" : "", "parse-names" : false, "suffix" : "" }, { "dropping-particle" : "", "family" : "Landay", "given" : "A", "non-dropping-particle" : "", "parse-names" : false, "suffix" : "" }, { "dropping-particle" : "", "family" : "Siegel", "given" : "JN", "non-dropping-particle" : "", "parse-names" : false, "suffix" : "" }, { "dropping-particle" : "", "family" : "Al.", "given" : "Et", "non-dropping-particle" : "", "parse-names" : false, "suffix" : "" }, { "dropping-particle" : "", "family" : "Szabo", "given" : "R", "non-dropping-particle" : "", "parse-names" : false, "suffix" : "" }, { "dropping-particle" : "", "family" : "Short", "given" : "RV", "non-dropping-particle" : "", "parse-names" : false, "suffix" : "" }, { "dropping-particle" : "", "family" : "Kahn", "given" : "JG", "non-dropping-particle" : "", "parse-names" : false, "suffix" : "" }, { "dropping-particle" : "", "family" : "Marseille", "given" : "E", "non-dropping-particle" : "", "parse-names" : false, "suffix" : "" }, { "dropping-particle" : "", "family" : "Auvert", "given" : "B", "non-dropping-particle" : "", "parse-names" : false, "suffix" : "" }, { "dropping-particle" : "", "family" : "Bailey", "given" : "RC", "non-dropping-particle" : "", "parse-names" : false, "suffix" : "" }, { "dropping-particle" : "", "family" : "Egesah", "given" : "O", "non-dropping-particle" : "", "parse-names" : false, "suffix" : "" }, { "dropping-particle" : "", "family" : "Kabra", "given" : "SG", "non-dropping-particle" : "", "parse-names" : false, "suffix" : "" }, { "dropping-particle" : "", "family" : "Narayanan", "given" : "R", "non-dropping-particle" : "", "parse-names" : false, "suffix" : "" }, { "dropping-particle" : "", "family" : "Kumar", "given" : "S", "non-dropping-particle" : "", "parse-names" : false, "suffix" : "" }, { "dropping-particle" : "", "family" : "Montori", "given" : "VM", "non-dropping-particle" : "", "parse-names" : false, "suffix" : "" }, { "dropping-particle" : "", "family" : "Devereaux", "given" : "PJ", "non-dropping-particle" : "", "parse-names" : false, "suffix" : "" }, { "dropping-particle" : "", "family" : "Adhikari", "given" : "NK", "non-dropping-particle" : "", "parse-names" : false, "suffix" : "" }, { "dropping-particle" : "", "family" : "Al.", "given" : "Et", "non-dropping-particle" : "", "parse-names" : false, "suffix" : "" } ], "container-title" : "Lancet", "id" : "ITEM-1", "issue" : "9562", "issued" : { "date-parts" : [ [ "2007", "2" ] ] }, "page" : "657-666", "publisher" : "Elsevier", "title" : "Male circumcision for HIV prevention in men in Rakai, Uganda: a randomised trial", "type" : "article-journal", "volume" : "369" }, "uris" : [ "http://www.mendeley.com/documents/?uuid=57591567-8a6c-482a-b017-b84fef4d9dfb", "http://www.mendeley.com/documents/?uuid=cb5d0a1f-ffe3-3a80-815b-c4991921b1a8" ] } ], "mendeley" : { "formattedCitation" : "&lt;sup&gt;14&lt;/sup&gt;", "plainTextFormattedCitation" : "14", "previouslyFormattedCitation" : "&lt;sup&gt;14&lt;/sup&gt;" }, "properties" : { "noteIndex" : 0 }, "schema" : "https://github.com/citation-style-language/schema/raw/master/csl-citation.json" }</w:instrText>
            </w:r>
            <w:r w:rsidRPr="0024409C">
              <w:rPr>
                <w:rFonts w:ascii="Helvetica Neue" w:hAnsi="Helvetica Neue"/>
                <w:noProof/>
                <w:sz w:val="18"/>
                <w:vertAlign w:val="superscript"/>
              </w:rPr>
              <w:fldChar w:fldCharType="separate"/>
            </w:r>
            <w:r w:rsidR="00E52119" w:rsidRPr="0024409C">
              <w:rPr>
                <w:rFonts w:ascii="Helvetica Neue" w:hAnsi="Helvetica Neue"/>
                <w:noProof/>
                <w:sz w:val="18"/>
                <w:vertAlign w:val="superscript"/>
              </w:rPr>
              <w:t>14</w:t>
            </w:r>
            <w:r w:rsidRPr="0024409C">
              <w:rPr>
                <w:rFonts w:ascii="Helvetica Neue" w:hAnsi="Helvetica Neue"/>
                <w:noProof/>
                <w:sz w:val="18"/>
                <w:vertAlign w:val="superscript"/>
              </w:rPr>
              <w:fldChar w:fldCharType="end"/>
            </w:r>
          </w:p>
        </w:tc>
      </w:tr>
    </w:tbl>
    <w:p w14:paraId="3B822A83" w14:textId="509DB4C0" w:rsidR="009B3BB0" w:rsidRPr="0024409C" w:rsidRDefault="009B3BB0" w:rsidP="009B3BB0">
      <w:pPr>
        <w:tabs>
          <w:tab w:val="left" w:pos="540"/>
        </w:tabs>
        <w:spacing w:before="240" w:line="360" w:lineRule="auto"/>
        <w:rPr>
          <w:rFonts w:ascii="Helvetica Neue" w:hAnsi="Helvetica Neue"/>
        </w:rPr>
      </w:pPr>
      <w:r w:rsidRPr="0024409C">
        <w:rPr>
          <w:rFonts w:ascii="Helvetica Neue" w:hAnsi="Helvetica Neue"/>
        </w:rPr>
        <w:t xml:space="preserve">For each act, the overall transmission probability was determined first with a base probability that was a function of whether the HIV- partner was in the receptive or insertive role, with the former at a 2.6-fold infection risk compared to the latter. The HIV+ partner’s viral load modifies this base probability in a non-linear formulation, upwards if the VL was above the VL set point during chronic stage infection in the absence of ART, and downwards if it was below the set point. Following others, we modeled an excess transmission risk in the acute stage of infection above that predicted by the heightened VL during that period. </w:t>
      </w:r>
      <w:r w:rsidR="00A8643C" w:rsidRPr="0024409C">
        <w:rPr>
          <w:rFonts w:ascii="Helvetica Neue" w:hAnsi="Helvetica Neue"/>
        </w:rPr>
        <w:t>Three</w:t>
      </w:r>
      <w:r w:rsidRPr="0024409C">
        <w:rPr>
          <w:rFonts w:ascii="Helvetica Neue" w:hAnsi="Helvetica Neue"/>
        </w:rPr>
        <w:t xml:space="preserve"> predictors of the HIV- </w:t>
      </w:r>
      <w:r w:rsidRPr="0024409C">
        <w:rPr>
          <w:rFonts w:ascii="Helvetica Neue" w:hAnsi="Helvetica Neue"/>
        </w:rPr>
        <w:lastRenderedPageBreak/>
        <w:t>partner could reduce the risk of infec</w:t>
      </w:r>
      <w:r w:rsidR="0034543C" w:rsidRPr="0024409C">
        <w:rPr>
          <w:rFonts w:ascii="Helvetica Neue" w:hAnsi="Helvetica Neue"/>
        </w:rPr>
        <w:t>tion: the Δ32 allele on the CCR</w:t>
      </w:r>
      <w:r w:rsidRPr="0024409C">
        <w:rPr>
          <w:rFonts w:ascii="Helvetica Neue" w:hAnsi="Helvetica Neue"/>
        </w:rPr>
        <w:t>5 gene, condom use within the act, circumcision status (only if the HIV- partner was insertive in that act)</w:t>
      </w:r>
      <w:r w:rsidR="00763A77" w:rsidRPr="0024409C">
        <w:rPr>
          <w:rFonts w:ascii="Helvetica Neue" w:hAnsi="Helvetica Neue"/>
        </w:rPr>
        <w:t>.</w:t>
      </w:r>
    </w:p>
    <w:p w14:paraId="0BA5B9B0" w14:textId="77777777" w:rsidR="009B3BB0" w:rsidRPr="0024409C" w:rsidRDefault="009B3BB0" w:rsidP="009B3BB0">
      <w:pPr>
        <w:tabs>
          <w:tab w:val="left" w:pos="540"/>
        </w:tabs>
        <w:spacing w:before="120" w:line="360" w:lineRule="auto"/>
        <w:rPr>
          <w:rFonts w:ascii="Helvetica Neue" w:hAnsi="Helvetica Neue"/>
        </w:rPr>
      </w:pPr>
      <w:r w:rsidRPr="0024409C">
        <w:rPr>
          <w:rFonts w:ascii="Helvetica Neue" w:hAnsi="Helvetica Neue"/>
        </w:rPr>
        <w:t>The final transmission rate per partnership per weekly time step was a function of the per-act probability of transmission in each act and the number of acts per time step. The per-act transmission probability could be heterogeneous within a partnership due to various types of acts in each interval: for example, a HIV- man who is versatile in role may have both insertive and receptive intercourse within a single partnership; some acts within a partnership may be protected by condom use while others are condomless. Transmission was simulated for each act within each serodiscordant dyad, based on draws from a binomial distribution with the probability parameter equal to the per-act transmission probabilities detailed above.</w:t>
      </w:r>
    </w:p>
    <w:p w14:paraId="1D883D32" w14:textId="4B15102F" w:rsidR="00EA384A" w:rsidRPr="0024409C" w:rsidRDefault="00273CDD" w:rsidP="007E3E53">
      <w:pPr>
        <w:pStyle w:val="Heading1"/>
        <w:spacing w:before="300"/>
        <w:rPr>
          <w:rFonts w:ascii="Helvetica Neue" w:hAnsi="Helvetica Neue"/>
          <w:sz w:val="24"/>
          <w:szCs w:val="24"/>
        </w:rPr>
      </w:pPr>
      <w:bookmarkStart w:id="28" w:name="_Toc466401458"/>
      <w:bookmarkStart w:id="29" w:name="_Toc522270419"/>
      <w:r w:rsidRPr="0024409C">
        <w:rPr>
          <w:rFonts w:ascii="Helvetica Neue" w:hAnsi="Helvetica Neue"/>
          <w:sz w:val="24"/>
          <w:szCs w:val="24"/>
        </w:rPr>
        <w:t>8</w:t>
      </w:r>
      <w:r w:rsidR="00EA384A" w:rsidRPr="0024409C">
        <w:rPr>
          <w:rFonts w:ascii="Helvetica Neue" w:hAnsi="Helvetica Neue"/>
          <w:sz w:val="24"/>
          <w:szCs w:val="24"/>
        </w:rPr>
        <w:t xml:space="preserve"> </w:t>
      </w:r>
      <w:r w:rsidR="00EA384A" w:rsidRPr="0024409C">
        <w:rPr>
          <w:rFonts w:ascii="Helvetica Neue" w:hAnsi="Helvetica Neue"/>
          <w:sz w:val="24"/>
          <w:szCs w:val="24"/>
        </w:rPr>
        <w:tab/>
        <w:t>STI TRANSMISSION</w:t>
      </w:r>
      <w:bookmarkEnd w:id="28"/>
      <w:bookmarkEnd w:id="29"/>
      <w:r w:rsidR="00EA384A" w:rsidRPr="0024409C">
        <w:rPr>
          <w:rFonts w:ascii="Helvetica Neue" w:hAnsi="Helvetica Neue"/>
          <w:sz w:val="24"/>
          <w:szCs w:val="24"/>
        </w:rPr>
        <w:t xml:space="preserve"> </w:t>
      </w:r>
    </w:p>
    <w:p w14:paraId="0D2F9693" w14:textId="6DA25A01" w:rsidR="004122D3" w:rsidRPr="0024409C" w:rsidRDefault="004122D3" w:rsidP="000D7F4C">
      <w:pPr>
        <w:pStyle w:val="Heading2"/>
        <w:rPr>
          <w:rFonts w:ascii="Helvetica Neue" w:hAnsi="Helvetica Neue" w:cs="Arial"/>
          <w:szCs w:val="22"/>
        </w:rPr>
      </w:pPr>
      <w:bookmarkStart w:id="30" w:name="_Toc522270420"/>
      <w:r w:rsidRPr="0024409C">
        <w:rPr>
          <w:rFonts w:ascii="Helvetica Neue" w:eastAsia="Arial" w:hAnsi="Helvetica Neue" w:cs="Arial"/>
          <w:szCs w:val="22"/>
        </w:rPr>
        <w:t xml:space="preserve">8.1 </w:t>
      </w:r>
      <w:r w:rsidRPr="0024409C">
        <w:rPr>
          <w:rFonts w:ascii="Helvetica Neue" w:eastAsia="Arial" w:hAnsi="Helvetica Neue" w:cs="Arial"/>
          <w:szCs w:val="22"/>
        </w:rPr>
        <w:tab/>
        <w:t>Overview of Model Structure</w:t>
      </w:r>
      <w:bookmarkEnd w:id="30"/>
    </w:p>
    <w:p w14:paraId="0EA07B9D" w14:textId="3010E278" w:rsidR="00EA384A" w:rsidRPr="0024409C" w:rsidRDefault="00EA384A" w:rsidP="000D7F4C">
      <w:pPr>
        <w:spacing w:line="360" w:lineRule="auto"/>
        <w:rPr>
          <w:rFonts w:ascii="Helvetica Neue" w:eastAsia="Arial" w:hAnsi="Helvetica Neue"/>
        </w:rPr>
      </w:pPr>
      <w:r w:rsidRPr="0024409C">
        <w:rPr>
          <w:rFonts w:ascii="Helvetica Neue" w:eastAsia="Arial" w:hAnsi="Helvetica Neue"/>
        </w:rPr>
        <w:t xml:space="preserve">Directional transmission of </w:t>
      </w:r>
      <w:r w:rsidRPr="0024409C">
        <w:rPr>
          <w:rFonts w:ascii="Helvetica Neue" w:hAnsi="Helvetica Neue"/>
        </w:rPr>
        <w:t>NG</w:t>
      </w:r>
      <w:r w:rsidR="004B25B5">
        <w:rPr>
          <w:rFonts w:ascii="Helvetica Neue" w:eastAsia="Arial" w:hAnsi="Helvetica Neue"/>
        </w:rPr>
        <w:t xml:space="preserve"> and </w:t>
      </w:r>
      <w:r w:rsidRPr="0024409C">
        <w:rPr>
          <w:rFonts w:ascii="Helvetica Neue" w:eastAsia="Arial" w:hAnsi="Helvetica Neue"/>
        </w:rPr>
        <w:t>CT was modeled between sexual partners who were sexually active during a given time step. At each time step, a list of active dyads (the “</w:t>
      </w:r>
      <w:proofErr w:type="spellStart"/>
      <w:r w:rsidRPr="0024409C">
        <w:rPr>
          <w:rFonts w:ascii="Helvetica Neue" w:eastAsia="Arial" w:hAnsi="Helvetica Neue"/>
        </w:rPr>
        <w:t>edgelist</w:t>
      </w:r>
      <w:proofErr w:type="spellEnd"/>
      <w:r w:rsidRPr="0024409C">
        <w:rPr>
          <w:rFonts w:ascii="Helvetica Neue" w:eastAsia="Arial" w:hAnsi="Helvetica Neue"/>
        </w:rPr>
        <w:t xml:space="preserve">”) was selected based on the current composition of the network. This </w:t>
      </w:r>
      <w:proofErr w:type="spellStart"/>
      <w:r w:rsidRPr="0024409C">
        <w:rPr>
          <w:rFonts w:ascii="Helvetica Neue" w:eastAsia="Arial" w:hAnsi="Helvetica Neue"/>
        </w:rPr>
        <w:t>edgelist</w:t>
      </w:r>
      <w:proofErr w:type="spellEnd"/>
      <w:r w:rsidRPr="0024409C">
        <w:rPr>
          <w:rFonts w:ascii="Helvetica Neue" w:eastAsia="Arial" w:hAnsi="Helvetica Neue"/>
        </w:rPr>
        <w:t xml:space="preserve"> concatenated the three types of partnerships included in the network simulations: main, casual, and one-off. Dyads were considered active at a particular time step if the terminus of that simulated edge was greater than or equal to the current time step.</w:t>
      </w:r>
    </w:p>
    <w:p w14:paraId="3DB2DE59" w14:textId="68C0321A" w:rsidR="00EA384A" w:rsidRPr="0024409C" w:rsidRDefault="00EA384A" w:rsidP="000D7F4C">
      <w:pPr>
        <w:spacing w:before="120" w:line="360" w:lineRule="auto"/>
        <w:rPr>
          <w:rFonts w:ascii="Helvetica Neue" w:eastAsia="Arial" w:hAnsi="Helvetica Neue"/>
        </w:rPr>
      </w:pPr>
      <w:r w:rsidRPr="0024409C">
        <w:rPr>
          <w:rFonts w:ascii="Helvetica Neue" w:eastAsia="Arial" w:hAnsi="Helvetica Neue"/>
        </w:rPr>
        <w:t xml:space="preserve">We created a disease-discordant subset of the </w:t>
      </w:r>
      <w:proofErr w:type="spellStart"/>
      <w:r w:rsidRPr="0024409C">
        <w:rPr>
          <w:rFonts w:ascii="Helvetica Neue" w:eastAsia="Arial" w:hAnsi="Helvetica Neue"/>
        </w:rPr>
        <w:t>edgelist</w:t>
      </w:r>
      <w:proofErr w:type="spellEnd"/>
      <w:r w:rsidRPr="0024409C">
        <w:rPr>
          <w:rFonts w:ascii="Helvetica Neue" w:eastAsia="Arial" w:hAnsi="Helvetica Neue"/>
        </w:rPr>
        <w:t xml:space="preserve"> for </w:t>
      </w:r>
      <w:r w:rsidRPr="0024409C">
        <w:rPr>
          <w:rFonts w:ascii="Helvetica Neue" w:hAnsi="Helvetica Neue"/>
        </w:rPr>
        <w:t>NG</w:t>
      </w:r>
      <w:r w:rsidR="00F35B99">
        <w:rPr>
          <w:rFonts w:ascii="Helvetica Neue" w:eastAsia="Arial" w:hAnsi="Helvetica Neue"/>
        </w:rPr>
        <w:t xml:space="preserve"> and </w:t>
      </w:r>
      <w:r w:rsidRPr="0024409C">
        <w:rPr>
          <w:rFonts w:ascii="Helvetica Neue" w:eastAsia="Arial" w:hAnsi="Helvetica Neue"/>
        </w:rPr>
        <w:t>CT at each time step by removing dyads in which both members had the disease</w:t>
      </w:r>
      <w:r w:rsidR="00347C13" w:rsidRPr="0024409C">
        <w:rPr>
          <w:rFonts w:ascii="Helvetica Neue" w:eastAsia="Arial" w:hAnsi="Helvetica Neue"/>
        </w:rPr>
        <w:t xml:space="preserve"> of interest </w:t>
      </w:r>
      <w:r w:rsidRPr="0024409C">
        <w:rPr>
          <w:rFonts w:ascii="Helvetica Neue" w:eastAsia="Arial" w:hAnsi="Helvetica Neue"/>
        </w:rPr>
        <w:t>or neither had the disease</w:t>
      </w:r>
      <w:r w:rsidR="00347C13" w:rsidRPr="0024409C">
        <w:rPr>
          <w:rFonts w:ascii="Helvetica Neue" w:eastAsia="Arial" w:hAnsi="Helvetica Neue"/>
        </w:rPr>
        <w:t xml:space="preserve"> of interest</w:t>
      </w:r>
      <w:r w:rsidRPr="0024409C">
        <w:rPr>
          <w:rFonts w:ascii="Helvetica Neue" w:eastAsia="Arial" w:hAnsi="Helvetica Neue"/>
        </w:rPr>
        <w:t>. This left dyads discordant with respect to</w:t>
      </w:r>
      <w:r w:rsidR="006A1C86" w:rsidRPr="0024409C">
        <w:rPr>
          <w:rFonts w:ascii="Helvetica Neue" w:eastAsia="Arial" w:hAnsi="Helvetica Neue"/>
        </w:rPr>
        <w:t>, respectively, NG</w:t>
      </w:r>
      <w:r w:rsidR="00F35B99">
        <w:rPr>
          <w:rFonts w:ascii="Helvetica Neue" w:eastAsia="Arial" w:hAnsi="Helvetica Neue"/>
        </w:rPr>
        <w:t xml:space="preserve"> and</w:t>
      </w:r>
      <w:r w:rsidR="00F35B99" w:rsidRPr="0024409C">
        <w:rPr>
          <w:rFonts w:ascii="Helvetica Neue" w:eastAsia="Arial" w:hAnsi="Helvetica Neue"/>
        </w:rPr>
        <w:t xml:space="preserve"> </w:t>
      </w:r>
      <w:r w:rsidR="006A1C86" w:rsidRPr="0024409C">
        <w:rPr>
          <w:rFonts w:ascii="Helvetica Neue" w:eastAsia="Arial" w:hAnsi="Helvetica Neue"/>
        </w:rPr>
        <w:t xml:space="preserve">CT </w:t>
      </w:r>
      <w:r w:rsidRPr="0024409C">
        <w:rPr>
          <w:rFonts w:ascii="Helvetica Neue" w:eastAsia="Arial" w:hAnsi="Helvetica Neue"/>
        </w:rPr>
        <w:t>infection status, which was the set of potential partnerships in which the infections could be transmitted at that time step.</w:t>
      </w:r>
    </w:p>
    <w:p w14:paraId="1208CB89" w14:textId="742A000B" w:rsidR="00EA384A" w:rsidRPr="0024409C" w:rsidRDefault="00B22A67" w:rsidP="000978A3">
      <w:pPr>
        <w:spacing w:before="120" w:line="360" w:lineRule="auto"/>
        <w:rPr>
          <w:rFonts w:ascii="Helvetica Neue" w:hAnsi="Helvetica Neue"/>
        </w:rPr>
      </w:pPr>
      <w:r>
        <w:rPr>
          <w:rFonts w:ascii="Helvetica Neue" w:hAnsi="Helvetica Neue"/>
        </w:rPr>
        <w:t xml:space="preserve">NG and CT were modeled with susceptible-infected-susceptible (SIS) dynamics, with no immunity. </w:t>
      </w:r>
      <w:r w:rsidR="00EA384A" w:rsidRPr="0024409C">
        <w:rPr>
          <w:rFonts w:ascii="Helvetica Neue" w:hAnsi="Helvetica Neue"/>
        </w:rPr>
        <w:t>Site-specific transmission of NG and CT was modeled on a sexual act-by-act basis, in which multiple acts of varying infectiousness could occur within a partnership within a weekly time step. The number of anal sex acts per week for each ongoing relationship was determined from a random draw from a Poisson distribution, with the lambda (event rate) parameter of the distribution specific to the partnership type.</w:t>
      </w:r>
      <w:r w:rsidR="00EA384A" w:rsidRPr="0024409C">
        <w:rPr>
          <w:rFonts w:ascii="Helvetica Neue" w:hAnsi="Helvetica Neue"/>
        </w:rPr>
        <w:fldChar w:fldCharType="begin" w:fldLock="1"/>
      </w:r>
      <w:r w:rsidR="00AD1715">
        <w:rPr>
          <w:rFonts w:ascii="Helvetica Neue" w:hAnsi="Helvetica Neue"/>
        </w:rPr>
        <w:instrText>ADDIN CSL_CITATION { "citationItems" : [ { "id" : "ITEM-1", "itemData" : { "ISSN" : "1537-6613", "PMID" : "27418048", "abstract" : "BACKGROUND Preexposure prophylaxis (PrEP) is effective for preventing human immunodeficiency virus (HIV) infection among men who have sex with men (MSM) within trial settings. Population impact will depend on clinical indications for PrEP initiation, coverage levels, and drug adherence. No modeling studies have estimated the impact of clinical practice guidelines for PrEP issued by the Centers for Disease Control and Prevention (CDC). METHODS Mathematical models of HIV transmission among MSM were used to estimate the percentage of infections averted (PIA) and the number needed to treat (NNT) under behavioral indications of the CDC's PrEP guidelines. We modeled the contribution of these indications while varying treatment coverage and adherence. RESULTS At 40% coverage of indicated MSM over the next decade, application of CDC guidelines would avert 1162 infections per 100 000 person-years, 33.0% of expected infections. The predicted NNT for the guidelines would be 25. Increasing coverage and adherence jointly raise the PIA, but reductions to the NNT were associated with better adherence only. CONCLUSIONS Implementation of CDC PrEP guidelines would result in strong and sustained reductions in HIV incidence among MSM in the United States. The guidelines strike a good balance between epidemiological impact (PIA) and efficiency (NNT) at plausible scale-up levels. Adherence counseling could maximize public health investment in PrEP by decreasing the NNT.", "author" : [ { "dropping-particle" : "", "family" : "Jenness", "given" : "Samuel M", "non-dropping-particle" : "", "parse-names" : false, "suffix" : "" }, { "dropping-particle" : "", "family" : "Goodreau", "given" : "Steven M", "non-dropping-particle" : "", "parse-names" : false, "suffix" : "" }, { "dropping-particle" : "", "family" : "Rosenberg", "given" : "Eli", "non-dropping-particle" : "", "parse-names" : false, "suffix" : "" }, { "dropping-particle" : "", "family" : "Beylerian", "given" : "Emily N", "non-dropping-particle" : "", "parse-names" : false, "suffix" : "" }, { "dropping-particle" : "", "family" : "Hoover", "given" : "Karen W", "non-dropping-particle" : "", "parse-names" : false, "suffix" : "" }, { "dropping-particle" : "", "family" : "Smith", "given" : "Dawn K", "non-dropping-particle" : "", "parse-names" : false, "suffix" : "" }, { "dropping-particle" : "", "family" : "Sullivan", "given" : "Patrick", "non-dropping-particle" : "", "parse-names" : false, "suffix" : "" } ], "container-title" : "J Inf Dis", "id" : "ITEM-1", "issue" : "12", "issued" : { "date-parts" : [ [ "2016" ] ] }, "page" : "1800-1807", "title" : "Impact of the Centers for Disease Control's HIV preexposure prophylaxis guidelines for men who have sex with men in the United States.", "type" : "article-journal", "volume" : "214" }, "uris" : [ "http://www.mendeley.com/documents/?uuid=519a92ba-c0b5-4c1e-8183-234b9b845078" ] } ], "mendeley" : { "formattedCitation" : "&lt;sup&gt;4&lt;/sup&gt;", "plainTextFormattedCitation" : "4", "previouslyFormattedCitation" : "&lt;sup&gt;4&lt;/sup&gt;" }, "properties" : { "noteIndex" : 0 }, "schema" : "https://github.com/citation-style-language/schema/raw/master/csl-citation.json" }</w:instrText>
      </w:r>
      <w:r w:rsidR="00EA384A" w:rsidRPr="0024409C">
        <w:rPr>
          <w:rFonts w:ascii="Helvetica Neue" w:hAnsi="Helvetica Neue"/>
        </w:rPr>
        <w:fldChar w:fldCharType="separate"/>
      </w:r>
      <w:r w:rsidR="004017C2" w:rsidRPr="0024409C">
        <w:rPr>
          <w:rFonts w:ascii="Helvetica Neue" w:hAnsi="Helvetica Neue"/>
          <w:noProof/>
          <w:vertAlign w:val="superscript"/>
        </w:rPr>
        <w:t>4</w:t>
      </w:r>
      <w:r w:rsidR="00EA384A" w:rsidRPr="0024409C">
        <w:rPr>
          <w:rFonts w:ascii="Helvetica Neue" w:hAnsi="Helvetica Neue"/>
        </w:rPr>
        <w:fldChar w:fldCharType="end"/>
      </w:r>
      <w:r w:rsidR="00EA384A" w:rsidRPr="0024409C">
        <w:rPr>
          <w:rFonts w:ascii="Helvetica Neue" w:hAnsi="Helvetica Neue"/>
        </w:rPr>
        <w:t xml:space="preserve"> For one-time contacts, the number was set deterministically to 1 for the </w:t>
      </w:r>
      <w:r w:rsidR="008C4F65" w:rsidRPr="0024409C">
        <w:rPr>
          <w:rFonts w:ascii="Helvetica Neue" w:hAnsi="Helvetica Neue"/>
        </w:rPr>
        <w:t>time step in which it occurred.</w:t>
      </w:r>
    </w:p>
    <w:p w14:paraId="7674FA04" w14:textId="11271896" w:rsidR="00EA384A" w:rsidRPr="0024409C" w:rsidRDefault="00EA384A" w:rsidP="0093094E">
      <w:pPr>
        <w:spacing w:before="120" w:line="360" w:lineRule="auto"/>
        <w:rPr>
          <w:rFonts w:ascii="Helvetica Neue" w:eastAsia="Arial" w:hAnsi="Helvetica Neue"/>
        </w:rPr>
      </w:pPr>
      <w:r w:rsidRPr="0024409C">
        <w:rPr>
          <w:rFonts w:ascii="Helvetica Neue" w:eastAsia="Arial" w:hAnsi="Helvetica Neue"/>
        </w:rPr>
        <w:lastRenderedPageBreak/>
        <w:t>For site-specific disease transmission to occur, the sexual position of partners within an MSM anal intercourse dyad was considered. For example, receptive AI with a partner infected with a urethral STI was necessary for an individual to become rectally infected.</w:t>
      </w:r>
      <w:r w:rsidR="00287153" w:rsidRPr="0024409C">
        <w:rPr>
          <w:rFonts w:ascii="Helvetica Neue" w:eastAsia="Arial" w:hAnsi="Helvetica Neue"/>
        </w:rPr>
        <w:t xml:space="preserve"> </w:t>
      </w:r>
      <w:r w:rsidRPr="0024409C">
        <w:rPr>
          <w:rFonts w:ascii="Helvetica Neue" w:eastAsia="Arial" w:hAnsi="Helvetica Neue"/>
        </w:rPr>
        <w:t xml:space="preserve">Dual-site and dual-disease infection </w:t>
      </w:r>
      <w:r w:rsidR="006157DC" w:rsidRPr="0024409C">
        <w:rPr>
          <w:rFonts w:ascii="Helvetica Neue" w:eastAsia="Arial" w:hAnsi="Helvetica Neue"/>
        </w:rPr>
        <w:t>was</w:t>
      </w:r>
      <w:r w:rsidRPr="0024409C">
        <w:rPr>
          <w:rFonts w:ascii="Helvetica Neue" w:eastAsia="Arial" w:hAnsi="Helvetica Neue"/>
        </w:rPr>
        <w:t xml:space="preserve"> possible, such that a man could have had</w:t>
      </w:r>
      <w:r w:rsidR="00EE0961" w:rsidRPr="0024409C">
        <w:rPr>
          <w:rFonts w:ascii="Helvetica Neue" w:eastAsia="Arial" w:hAnsi="Helvetica Neue"/>
        </w:rPr>
        <w:t>, for example,</w:t>
      </w:r>
      <w:r w:rsidRPr="0024409C">
        <w:rPr>
          <w:rFonts w:ascii="Helvetica Neue" w:eastAsia="Arial" w:hAnsi="Helvetica Neue"/>
        </w:rPr>
        <w:t xml:space="preserve"> rectal </w:t>
      </w:r>
      <w:r w:rsidRPr="0024409C">
        <w:rPr>
          <w:rFonts w:ascii="Helvetica Neue" w:hAnsi="Helvetica Neue"/>
        </w:rPr>
        <w:t>NG</w:t>
      </w:r>
      <w:r w:rsidRPr="0024409C">
        <w:rPr>
          <w:rFonts w:ascii="Helvetica Neue" w:eastAsia="Arial" w:hAnsi="Helvetica Neue"/>
        </w:rPr>
        <w:t xml:space="preserve"> and rectal CT infection, rectal </w:t>
      </w:r>
      <w:r w:rsidRPr="0024409C">
        <w:rPr>
          <w:rFonts w:ascii="Helvetica Neue" w:hAnsi="Helvetica Neue"/>
        </w:rPr>
        <w:t>NG</w:t>
      </w:r>
      <w:r w:rsidRPr="0024409C">
        <w:rPr>
          <w:rFonts w:ascii="Helvetica Neue" w:eastAsia="Arial" w:hAnsi="Helvetica Neue"/>
        </w:rPr>
        <w:t xml:space="preserve"> and urethral CT, or rectal </w:t>
      </w:r>
      <w:r w:rsidRPr="0024409C">
        <w:rPr>
          <w:rFonts w:ascii="Helvetica Neue" w:hAnsi="Helvetica Neue"/>
        </w:rPr>
        <w:t>NG</w:t>
      </w:r>
      <w:r w:rsidRPr="0024409C">
        <w:rPr>
          <w:rFonts w:ascii="Helvetica Neue" w:eastAsia="Arial" w:hAnsi="Helvetica Neue"/>
        </w:rPr>
        <w:t xml:space="preserve"> and urethral </w:t>
      </w:r>
      <w:r w:rsidRPr="0024409C">
        <w:rPr>
          <w:rFonts w:ascii="Helvetica Neue" w:hAnsi="Helvetica Neue"/>
        </w:rPr>
        <w:t>NG</w:t>
      </w:r>
      <w:r w:rsidRPr="0024409C">
        <w:rPr>
          <w:rFonts w:ascii="Helvetica Neue" w:eastAsia="Arial" w:hAnsi="Helvetica Neue"/>
        </w:rPr>
        <w:t xml:space="preserve"> concurrently. </w:t>
      </w:r>
      <w:r w:rsidRPr="0024409C">
        <w:rPr>
          <w:rFonts w:ascii="Helvetica Neue" w:hAnsi="Helvetica Neue"/>
        </w:rPr>
        <w:t xml:space="preserve">We modeled disease transmission by act </w:t>
      </w:r>
      <w:r w:rsidRPr="0024409C">
        <w:rPr>
          <w:rFonts w:ascii="Helvetica Neue" w:eastAsia="Arial" w:hAnsi="Helvetica Neue"/>
        </w:rPr>
        <w:t>as a stochastic process for each discordant sex act, which followed a binomial distribution with a probability parameter that was a multiplicative function of the base transmission probability and condom use.</w:t>
      </w:r>
    </w:p>
    <w:p w14:paraId="00A874F3" w14:textId="0B4BA201" w:rsidR="00EA384A" w:rsidRPr="0024409C" w:rsidRDefault="00273CDD" w:rsidP="00B020AF">
      <w:pPr>
        <w:pStyle w:val="Heading2"/>
        <w:rPr>
          <w:rFonts w:ascii="Helvetica Neue" w:hAnsi="Helvetica Neue" w:cs="Arial"/>
          <w:szCs w:val="22"/>
        </w:rPr>
      </w:pPr>
      <w:bookmarkStart w:id="31" w:name="_Toc466401459"/>
      <w:bookmarkStart w:id="32" w:name="_Toc522270421"/>
      <w:r w:rsidRPr="0024409C">
        <w:rPr>
          <w:rFonts w:ascii="Helvetica Neue" w:eastAsia="Arial" w:hAnsi="Helvetica Neue" w:cs="Arial"/>
          <w:szCs w:val="22"/>
        </w:rPr>
        <w:t>8</w:t>
      </w:r>
      <w:r w:rsidR="00690949" w:rsidRPr="0024409C">
        <w:rPr>
          <w:rFonts w:ascii="Helvetica Neue" w:eastAsia="Arial" w:hAnsi="Helvetica Neue" w:cs="Arial"/>
          <w:szCs w:val="22"/>
        </w:rPr>
        <w:t>.2</w:t>
      </w:r>
      <w:r w:rsidR="00EA384A" w:rsidRPr="0024409C">
        <w:rPr>
          <w:rFonts w:ascii="Helvetica Neue" w:eastAsia="Arial" w:hAnsi="Helvetica Neue" w:cs="Arial"/>
          <w:szCs w:val="22"/>
        </w:rPr>
        <w:t xml:space="preserve"> </w:t>
      </w:r>
      <w:r w:rsidR="00EA384A" w:rsidRPr="0024409C">
        <w:rPr>
          <w:rFonts w:ascii="Helvetica Neue" w:eastAsia="Arial" w:hAnsi="Helvetica Neue" w:cs="Arial"/>
          <w:szCs w:val="22"/>
        </w:rPr>
        <w:tab/>
      </w:r>
      <w:r w:rsidR="00D55A72">
        <w:rPr>
          <w:rFonts w:ascii="Helvetica Neue" w:eastAsia="Arial" w:hAnsi="Helvetica Neue" w:cs="Arial"/>
          <w:szCs w:val="22"/>
        </w:rPr>
        <w:t>Effect of NG/CT on HIV Acquisition Probability</w:t>
      </w:r>
      <w:bookmarkEnd w:id="31"/>
      <w:bookmarkEnd w:id="32"/>
    </w:p>
    <w:p w14:paraId="11DAB595" w14:textId="31E252A0" w:rsidR="00C57B22" w:rsidRDefault="00EA384A" w:rsidP="00B020AF">
      <w:pPr>
        <w:spacing w:line="360" w:lineRule="auto"/>
        <w:rPr>
          <w:rFonts w:ascii="Helvetica Neue" w:hAnsi="Helvetica Neue"/>
        </w:rPr>
      </w:pPr>
      <w:r w:rsidRPr="0024409C">
        <w:rPr>
          <w:rFonts w:ascii="Helvetica Neue" w:hAnsi="Helvetica Neue"/>
        </w:rPr>
        <w:t>We modeled a</w:t>
      </w:r>
      <w:r w:rsidR="00BD2E47">
        <w:rPr>
          <w:rFonts w:ascii="Helvetica Neue" w:hAnsi="Helvetica Neue"/>
        </w:rPr>
        <w:t xml:space="preserve"> range of plausible values for </w:t>
      </w:r>
      <w:r w:rsidRPr="0024409C">
        <w:rPr>
          <w:rFonts w:ascii="Helvetica Neue" w:hAnsi="Helvetica Neue"/>
        </w:rPr>
        <w:t xml:space="preserve">increased </w:t>
      </w:r>
      <w:r w:rsidR="00BD2E47">
        <w:rPr>
          <w:rFonts w:ascii="Helvetica Neue" w:hAnsi="Helvetica Neue"/>
        </w:rPr>
        <w:t xml:space="preserve">risk of </w:t>
      </w:r>
      <w:r w:rsidRPr="0024409C">
        <w:rPr>
          <w:rFonts w:ascii="Helvetica Neue" w:hAnsi="Helvetica Neue"/>
        </w:rPr>
        <w:t xml:space="preserve">HIV </w:t>
      </w:r>
      <w:r w:rsidR="000174C4">
        <w:rPr>
          <w:rFonts w:ascii="Helvetica Neue" w:hAnsi="Helvetica Neue"/>
        </w:rPr>
        <w:t>transmission</w:t>
      </w:r>
      <w:r w:rsidR="00BD2E47">
        <w:rPr>
          <w:rFonts w:ascii="Helvetica Neue" w:hAnsi="Helvetica Neue"/>
        </w:rPr>
        <w:t xml:space="preserve"> and acquisition</w:t>
      </w:r>
      <w:r w:rsidRPr="0024409C">
        <w:rPr>
          <w:rFonts w:ascii="Helvetica Neue" w:hAnsi="Helvetica Neue"/>
        </w:rPr>
        <w:t xml:space="preserve"> </w:t>
      </w:r>
      <w:r w:rsidR="00BD2E47">
        <w:rPr>
          <w:rFonts w:ascii="Helvetica Neue" w:hAnsi="Helvetica Neue"/>
        </w:rPr>
        <w:t>based on</w:t>
      </w:r>
      <w:r w:rsidRPr="0024409C">
        <w:rPr>
          <w:rFonts w:ascii="Helvetica Neue" w:hAnsi="Helvetica Neue"/>
        </w:rPr>
        <w:t xml:space="preserve"> current STI status</w:t>
      </w:r>
      <w:r w:rsidR="00BD2E47">
        <w:rPr>
          <w:rFonts w:ascii="Helvetica Neue" w:hAnsi="Helvetica Neue"/>
        </w:rPr>
        <w:t>. We isolated the effects of STI on HIV transmission from HIV-infected partners and the effects of STI on HIV acquisition by HIV-uninfected partners. These effects are difficult to estimate empirically and data are sparse. Estimates are primarily available for the effect of STI on HIV acquisition</w:t>
      </w:r>
      <w:r w:rsidR="00C57B22">
        <w:rPr>
          <w:rFonts w:ascii="Helvetica Neue" w:hAnsi="Helvetica Neue"/>
        </w:rPr>
        <w:t>, which is described in this section. The effect of NG/CT on HIV transmission is described in the next section</w:t>
      </w:r>
      <w:r w:rsidR="00BD2E47">
        <w:rPr>
          <w:rFonts w:ascii="Helvetica Neue" w:hAnsi="Helvetica Neue"/>
        </w:rPr>
        <w:t>.</w:t>
      </w:r>
    </w:p>
    <w:p w14:paraId="10910929" w14:textId="68B02651" w:rsidR="001B7B25" w:rsidRDefault="00EA384A" w:rsidP="00B020AF">
      <w:pPr>
        <w:spacing w:line="360" w:lineRule="auto"/>
        <w:rPr>
          <w:rFonts w:ascii="Helvetica Neue" w:hAnsi="Helvetica Neue"/>
        </w:rPr>
      </w:pPr>
      <w:r w:rsidRPr="0024409C">
        <w:rPr>
          <w:rFonts w:ascii="Helvetica Neue" w:hAnsi="Helvetica Neue"/>
        </w:rPr>
        <w:t>Chesson et al.</w:t>
      </w:r>
      <w:r w:rsidRPr="0024409C">
        <w:rPr>
          <w:rFonts w:ascii="Helvetica Neue" w:hAnsi="Helvetica Neue"/>
        </w:rPr>
        <w:fldChar w:fldCharType="begin" w:fldLock="1"/>
      </w:r>
      <w:r w:rsidR="00AD1715">
        <w:rPr>
          <w:rFonts w:ascii="Helvetica Neue" w:hAnsi="Helvetica Neue"/>
        </w:rPr>
        <w:instrText>ADDIN CSL_CITATION { "citationItems" : [ { "id" : "ITEM-1", "itemData" : { "ISSN" : "1525-4135", "PMID" : "10877495", "abstract" : "We estimated the annual number and cost of new HIV infections in the United States attributable to other sexually transmitted diseases (STDs). We used a mathematical model of HIV transmission to estimate the probability that a given STD infection would facilitate HIV transmission from an HIV-infected person to his or her partner and to calculate the number of HIV infections due to these facilitative effects. In 1996, an estimated 5,052 new HIV cases were attributable to the four STDs considered here: chlamydia (3,249 cases), syphilis (1,002 cases), gonorrhea (430 cases), and genital herpes (371 cases). These new HIV cases account for approximately $985 million U.S. in direct HIV treatment costs. The model suggested that syphilis is far more likely than the other STDs (on a per-case basis) to facilitate HIV transmission. This analysis provides a framework for incorporating STD-attributable HIV treatment costs into cost-effectiveness analyses of STD prevention programs.", "author" : [ { "dropping-particle" : "", "family" : "Chesson", "given" : "H W", "non-dropping-particle" : "", "parse-names" : false, "suffix" : "" }, { "dropping-particle" : "", "family" : "Pinkerton", "given" : "S D", "non-dropping-particle" : "", "parse-names" : false, "suffix" : "" } ], "container-title" : "J Acquir Immune Defic Syndr", "id" : "ITEM-1", "issue" : "1", "issued" : { "date-parts" : [ [ "2000", "5" ] ] }, "page" : "48-56", "title" : "Sexually transmitted diseases and the increased risk for HIV transmission: Implications for cost-effectiveness analyses of sexually transmitted disease prevention interventions", "type" : "article-journal", "volume" : "24" }, "uris" : [ "http://www.mendeley.com/documents/?uuid=db15da29-3ff8-373c-9b23-508ff1b7864d", "http://www.mendeley.com/documents/?uuid=6a147c06-6bc3-4dc9-8b82-f8d80069e88a" ] } ], "mendeley" : { "formattedCitation" : "&lt;sup&gt;35&lt;/sup&gt;", "plainTextFormattedCitation" : "35", "previouslyFormattedCitation" : "&lt;sup&gt;35&lt;/sup&gt;" }, "properties" : { "noteIndex" : 0 }, "schema" : "https://github.com/citation-style-language/schema/raw/master/csl-citation.json" }</w:instrText>
      </w:r>
      <w:r w:rsidRPr="0024409C">
        <w:rPr>
          <w:rFonts w:ascii="Helvetica Neue" w:hAnsi="Helvetica Neue"/>
        </w:rPr>
        <w:fldChar w:fldCharType="separate"/>
      </w:r>
      <w:r w:rsidR="00E52119" w:rsidRPr="0024409C">
        <w:rPr>
          <w:rFonts w:ascii="Helvetica Neue" w:hAnsi="Helvetica Neue"/>
          <w:noProof/>
          <w:vertAlign w:val="superscript"/>
        </w:rPr>
        <w:t>35</w:t>
      </w:r>
      <w:r w:rsidRPr="0024409C">
        <w:rPr>
          <w:rFonts w:ascii="Helvetica Neue" w:hAnsi="Helvetica Neue"/>
        </w:rPr>
        <w:fldChar w:fldCharType="end"/>
      </w:r>
      <w:r w:rsidR="00BD2E47">
        <w:rPr>
          <w:rFonts w:ascii="Helvetica Neue" w:hAnsi="Helvetica Neue"/>
        </w:rPr>
        <w:t xml:space="preserve"> have</w:t>
      </w:r>
      <w:r w:rsidRPr="0024409C">
        <w:rPr>
          <w:rFonts w:ascii="Helvetica Neue" w:hAnsi="Helvetica Neue"/>
        </w:rPr>
        <w:t xml:space="preserve"> described </w:t>
      </w:r>
      <w:r w:rsidR="00C57B22">
        <w:rPr>
          <w:rFonts w:ascii="Helvetica Neue" w:hAnsi="Helvetica Neue"/>
        </w:rPr>
        <w:t>the effect of STI on HIV acquisition</w:t>
      </w:r>
      <w:r w:rsidRPr="0024409C">
        <w:rPr>
          <w:rFonts w:ascii="Helvetica Neue" w:hAnsi="Helvetica Neue"/>
        </w:rPr>
        <w:t xml:space="preserve"> for several STIs.</w:t>
      </w:r>
      <w:r w:rsidR="00EB7E9A" w:rsidRPr="0024409C">
        <w:rPr>
          <w:rFonts w:ascii="Helvetica Neue" w:hAnsi="Helvetica Neue"/>
        </w:rPr>
        <w:t xml:space="preserve"> </w:t>
      </w:r>
      <w:r w:rsidRPr="0024409C">
        <w:rPr>
          <w:rFonts w:ascii="Helvetica Neue" w:hAnsi="Helvetica Neue"/>
        </w:rPr>
        <w:t xml:space="preserve">Starting with a baseline HIV transmission probability per sex-act of 0.001 (95% CI: 0.0005–0.0015), they estimated a 10-fold </w:t>
      </w:r>
      <w:r w:rsidRPr="0024409C">
        <w:rPr>
          <w:rFonts w:ascii="Helvetica Neue" w:eastAsia="Arial" w:hAnsi="Helvetica Neue"/>
        </w:rPr>
        <w:t xml:space="preserve">(95% CI: 5–15) </w:t>
      </w:r>
      <w:r w:rsidRPr="0024409C">
        <w:rPr>
          <w:rFonts w:ascii="Helvetica Neue" w:hAnsi="Helvetica Neue"/>
        </w:rPr>
        <w:t>increase in per-act HIV transmission probability, to 0.014 (95% CI: 0.01–0.05), in the presence of NG infection. For CT infection, they estimated a 5-fold increase (95% CI: 3–15) in per-act HIV transmission probability</w:t>
      </w:r>
      <w:r w:rsidR="00A01AE3" w:rsidRPr="0024409C">
        <w:rPr>
          <w:rFonts w:ascii="Helvetica Neue" w:hAnsi="Helvetica Neue"/>
        </w:rPr>
        <w:t xml:space="preserve"> to 0.0078 (95% CI: 0.003–0.01). </w:t>
      </w:r>
      <w:r w:rsidRPr="0024409C">
        <w:rPr>
          <w:rFonts w:ascii="Helvetica Neue" w:hAnsi="Helvetica Neue"/>
        </w:rPr>
        <w:t>Vaughan et al.</w:t>
      </w:r>
      <w:r w:rsidRPr="0024409C">
        <w:rPr>
          <w:rFonts w:ascii="Helvetica Neue" w:hAnsi="Helvetica Neue"/>
        </w:rPr>
        <w:fldChar w:fldCharType="begin" w:fldLock="1"/>
      </w:r>
      <w:r w:rsidR="00AD1715">
        <w:rPr>
          <w:rFonts w:ascii="Helvetica Neue" w:hAnsi="Helvetica Neue"/>
        </w:rPr>
        <w:instrText>ADDIN CSL_CITATION { "citationItems" : [ { "id" : "ITEM-1", "itemData" : { "abstract" : "Exploring causal associations in HIV research requires careful consideration of numerous epidemiologic limitations. First, a primary cause of HIV, unprotected anal intercourse (UAI), is time-varying and, if it is also associated with an exposure of interest, may be on a confounding path. Second, HIV is a rare outcome, even in high-risk populations. Finally, for most causal, non-preventive exposures, a randomized trial is impossible. In order to address these limitations and provide a practical illustration of efficient statistical control via propensity-score weighting, we examine the causal association between rectal STI and HIV acquisition in the InvolveMENt study, a cohort of Atlanta-area men who have sex with men (MSM). We hypothesized that, after controlling for potentially confounding behavioral and demographic factors, the significant STI-HIV association would attenuate, but yield an estimate of the causal effect. The exposure of interest was incident rectal gonorrhea or chlamydia infection; the outcome was incident HIV infection. To adjust for behavioral confounding, while accounting for limited HIV infections, we used an inverse probability of treatment weighted (IPTW) Cox proportional hazards (PH) model for incident HIV. Weights were derived from propensity score modeling of the probability of incident rectal STI as a function of potential confounders, including UAI in the interval of rectal STI acquisition/censoring. Of 556 HIV-negative MSM at baseline, 552 (99%) men were included in this analysis. 79 men were diagnosed with an incident rectal STI and 26 with HIV. 6 HIV-infected men were previously diagnosed with a rectal STI. In unadjusted analysis, incident rectal STI was significantly associated with subsequent incident HIV (HR (95%CI): 3.6 (1.4-9.2)). In the final weighted and adjusted model, the association was attenuated and more precise (HR (95% CI): 2.7 (1.2-6.4)). We found that, controlling for time-varying risk behaviors and time-invariant demographic factors, diagnosis with HIV was significantly associated with prior diagnosis of rectal CT or GC. Our analysis lends support to the causal effect of incident rectal STI on HIV diagnosis and provides a framework for similar analyses of HIV incidence.", "author" : [ { "dropping-particle" : "", "family" : "Vaughan", "given" : "Adam S", "non-dropping-particle" : "", "parse-names" : false, "suffix" : "" }, { "dropping-particle" : "", "family" : "Kelley", "given" : "Colleen F", "non-dropping-particle" : "", "parse-names" : false, "suffix" : "" }, { "dropping-particle" : "", "family" : "Luisi", "given" : "Nicole",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"dropping-particle" : "", "family" : "Mayer", "given" : "KH", "non-dropping-particle" : "", "parse-names" : false, "suffix" : "" }, { "dropping-particle" : "", "family" : "Venkatesh", "given" : "KK", "non-dropping-particle" : "", "parse-names" : false, "suffix" : "" }, { "dropping-particle" : "", "family" : "Howards", "given" : "PP", "non-dropping-particle" : "", "parse-names" : false, "suffix" : "" }, { "dropping-particle" : "", "family" : "Schisterman", "given" : "EF", "non-dropping-particle" : "", "parse-names" : false, "suffix" : "" }, { "dropping-particle" : "", "family" : "Poole", "given" : "C", "non-dropping-particle" : "", "parse-names" : false, "suffix" : "" }, { "dropping-particle" : "", "family" : "Kaufman", "given" : "JS", "non-dropping-particle" : "", "parse-names" : false, "suffix" : "" }, { "dropping-particle" : "", "family" : "Weinberg", "given" : "CR", "non-dropping-particle" : "", "parse-names" : false, "suffix" : "" }, { "dropping-particle" : "", "family" : "Solomon", "given" : "MM", "non-dropping-particle" : "", "parse-names" : false, "suffix" : "" }, { "dropping-particle" : "", "family" : "Mayer", "given" : "KH", "non-dropping-particle" : "", "parse-names" : false, "suffix" : "" }, { "dropping-particle" : "", "family" : "Glidden", "given" : "DV", "non-dropping-particle" : "", "parse-names" : false, "suffix" : "" }, { "dropping-particle" : "", "family" : "Liu", "given" : "AY", "non-dropping-particle" : "", "parse-names" : false, "suffix" : "" }, { "dropping-particle" : "", "family" : "McMahan", "given" : "VM", "non-dropping-particle" : "", "parse-names" : false, "suffix" : "" }, { "dropping-particle" : "", "family" : "Guanira", "given" : "JV", "non-dropping-particle" : "", "parse-names" : false, "suffix" : "" }, { "dropping-particle" : "", "family" : "Bernstein", "given" : "KT", "non-dropping-particle" : "", "parse-names" : false, "suffix" : "" }, { "dropping-particle" : "", "family" : "Marcus", "given" : "JL", "non-dropping-particle" : "", "parse-names" : false, "suffix" : "" }, { "dropping-particle" : "", "family" : "Nieri", "given" : "G", "non-dropping-particle" : "", "parse-names" : false, "suffix" : "" }, { "dropping-particle" : "", "family" : "Philip", "given" : "SS", "non-dropping-particle" : "", "parse-names" : false, "suffix" : "" }, { "dropping-particle" : "", "family" : "Klausner", "given" : "JD", "non-dropping-particle" : "", "parse-names" : false, "suffix" : "" }, { "dropping-particle" : "", "family" : "Buchbinder", "given" : "SP", "non-dropping-particle" : "", "parse-names" : false, "suffix" : "" }, { "dropping-particle" : "", "family" : "Glidden", "given" : "DV", "non-dropping-particle" : "", "parse-names" : false, "suffix" : "" }, { "dropping-particle" : "", "family" : "Liu", "given" : "AY", "non-dropping-particle" : "", "parse-names" : false, "suffix" : "" }, { "dropping-particle" : "", "family" : "McMahan", "given" : "V", "non-dropping-particle" : "", "parse-names" : false, "suffix" : "" }, { "dropping-particle" : "", "family" : "Guanira", "given" : "JV", "non-dropping-particle" : "", "parse-names" : false, "suffix" : "" }, { "dropping-particle" : "", "family" : "Mayer", "given" : "KH", "non-dropping-particle" : "", "parse-names" : false, "suffix" : "" }, { "dropping-particle" : "", "family" : "Jin", "given" : "F", "non-dropping-particle" : "", "parse-names" : false, "suffix" : "" }, { "dropping-particle" : "", "family" : "Prestage", "given" : "GP", "non-dropping-particle" : "", "parse-names" : false, "suffix" : "" }, { "dropping-particle" : "", "family" : "Imrie", "given" : "J", "non-dropping-particle" : "", "parse-names" : false, "suffix" : "" }, { "dropping-particle" : "", "family" : "Kippax", "given" : "SC", "non-dropping-particle" : "", "parse-names" : false, "suffix" : "" }, { "dropping-particle" : "", "family" : "Donovan", "given" : "B", "non-dropping-particle" : "", "parse-names" : false, "suffix" : "" }, { "dropping-particle" : "", "family" : "Templeton", "given" : "DJ", "non-dropping-particle" : "", "parse-names" : false, "suffix" : "" }, { "dropping-particle" : "", "family" : "Pathela", "given" : "P", "non-dropping-particle" : "", "parse-names" : false, "suffix" : "" }, { "dropping-particle" : "", "family" : "Braunstein", "given" : "SL", "non-dropping-particle" : "", "parse-names" : false, "suffix" : "" }, { "dropping-particle" : "", "family" : "Blank", "given" : "S", "non-dropping-particle" : "", "parse-names" : false, "suffix" : "" }, { "dropping-particle" : "", "family" : "Schillinger", "given" : "JA", "non-dropping-particle" : "", "parse-names" : false, "suffix" : "" }, { "dropping-particle" : "", "family" : "Austin", "given" : "PC", "non-dropping-particle" : "", "parse-names" : false, "suffix" : "" }, { "dropping-particle" : "", "family" : "R\u00f8ttingen", "given" : "J-A", "non-dropping-particle" : "", "parse-names" : false, "suffix" : "" }, { "dropping-particle" : "", "family" : "Cameron", "given" : "DW", "non-dropping-particle" : "", "parse-names" : false, "suffix" : "" }, { "dropping-particle" : "", "family" : "Garnett", "given" : "GP", "non-dropping-particle" : "", "parse-names" : false, "suffix" : "" }, { "dropping-particle" : "", "family" : "Sexton", "given" : "J", "non-dropping-particle" : "", "parse-names" : false, "suffix" : "" }, { "dropping-particle" : "", "family" : "Garnett", "given" : "G", "non-dropping-particle" : "", "parse-names" : false, "suffix" : "" }, { "dropping-particle" : "", "family" : "R\u00f8ttingen", "given" : "J-A", "non-dropping-particle" : "", "parse-names" : false, "suffix" : "" }, { "dropping-particle" : "", "family" : "Payn", "given" : "B", "non-dropping-particle" : "", "parse-names" : false, "suffix" : "" }, { "dropping-particle" : "", "family" : "Tanfer", "given" : "K", "non-dropping-particle" : "", "parse-names" : false, "suffix" : "" }, { "dropping-particle" : "", "family" : "Billy", "given" : "JOG", "non-dropping-particle" : "", "parse-names" : false, "suffix" : "" }, { "dropping-particle" : "", "family" : "Grady", "given" : "WR", "non-dropping-particle" : "", "parse-names" : false, "suffix" : "" }, { "dropping-particle" : "", "family" : "Fox", "given" : "J", "non-dropping-particle" : "", "parse-names" : false, "suffix" : "" }, { "dropping-particle" : "", "family" : "White", "given" : "PJ", "non-dropping-particle" : "", "parse-names" : false, "suffix" : "" }, { "dropping-particle" : "", "family" : "Macdonald", "given" : "N", "non-dropping-particle" : "", "parse-names" : false, "suffix" : "" }, { "dropping-particle" : "", "family" : "Weber", "given" : "J", "non-dropping-particle" : "", "parse-names" : false, "suffix" : "" }, { "dropping-particle" : "", "family" : "McClure", "given" : "M", "non-dropping-particle" : "", "parse-names" : false, "suffix" : "" }, { "dropping-particle" : "", "family" : "Fidler", "given" : "S", "non-dropping-particle" : "", "parse-names" : false, "suffix" : "" }, { "dropping-particle" : "", "family" : "Fortenberry", "given" : "JD", "non-dropping-particle" : "", "parse-names" : false, "suffix" : "" }, { "dropping-particle" : "", "family" : "Sullivan", "given" : "PS", "non-dropping-particle" : "", "parse-names" : false, "suffix" : "" }, { "dropping-particle" : "", "family" : "Peterson", "given" : "J", "non-dropping-particle" : "", "parse-names" : false, "suffix" : "" }, { "dropping-particle" : "", "family" : "Rosenberg", "given" : "ES", "non-dropping-particle" : "", "parse-names" : false, "suffix" : "" }, { "dropping-particle" : "", "family" : "Kelley", "given" : "CF", "non-dropping-particle" : "", "parse-names" : false, "suffix" : "" }, { "dropping-particle" : "", "family" : "Cooper", "given" : "H", "non-dropping-particle" : "", "parse-names" : false, "suffix" : "" }, { "dropping-particle" : "", "family" : "Vaughan", "given" : "AS", "non-dropping-particle" : "", "parse-names" : false, "suffix" : "" }, { "dropping-particle" : "", "family" : "Portnoy", "given" : "J", "non-dropping-particle" : "", "parse-names" : false, "suffix" : "" }, { "dropping-particle" : "", "family" : "Garson", "given" : "W", "non-dropping-particle" : "", "parse-names" : false, "suffix" : "" }, { "dropping-particle" : "", "family" : "Smith", "given" : "CA", "non-dropping-particle" : "", "parse-names" : false, "suffix" : "" }, { "dropping-particle" : "", "family" : "Pol", "given" : "B", "non-dropping-particle" : "", "parse-names" : false, "suffix" : "" }, { "dropping-particle" : "", "family" : "Ferrero", "given" : "DV", "non-dropping-particle" : "", "parse-names" : false, "suffix" : "" }, { "dropping-particle" : "", "family" : "Buck-Barrington", "given" : "L", "non-dropping-particle" : "", "parse-names" : false, "suffix" : "" }, { "dropping-particle" : "", "family" : "Hook", "given" : "E", "non-dropping-particle" : "", "parse-names" : false, "suffix" : "" }, { "dropping-particle" : "", "family" : "Lenderman", "given" : "C", "non-dropping-particle" : "", "parse-names" : false, "suffix" : "" }, { "dropping-particle" : "", "family" : "Quinn", "given" : "T", "non-dropping-particle" : "", "parse-names" : false, "suffix" : "" }, { "dropping-particle" : "", "family" : "Rosenberg", "given" : "ES", "non-dropping-particle" : "", "parse-names" : false, "suffix" : "" }, { "dropping-particle" : "", "family" : "Sullivan", "given" : "PS", "non-dropping-particle" : "", "parse-names" : false, "suffix" : "" }, { "dropping-particle" : "", "family" : "Kelley", "given" : "CF", "non-dropping-particle" : "", "parse-names" : false, "suffix" : "" }, { "dropping-particle" : "", "family" : "Sanchez", "given" : "TH", "non-dropping-particle" : "", "parse-names" : false, "suffix" : "" }, { "dropping-particle" : "", "family" : "Luisi", "given" : "N", "non-dropping-particle" : "", "parse-names" : false, "suffix" : "" }, { "dropping-particle" : "", "family" : "Rio", "given" : "C", "non-dropping-particle" : "", "parse-names" : false, "suffix" : "" }, { "dropping-particle" : "", "family" : "Robins", "given" : "JM", "non-dropping-particle" : "", "parse-names" : false, "suffix" : "" }, { "dropping-particle" : "", "family" : "Hern\u00e1n", "given" : "M\u00c1", "non-dropping-particle" : "", "parse-names" : false, "suffix" : "" }, { "dropping-particle" : "", "family" : "Brumback", "given" : "B", "non-dropping-particle" : "", "parse-names" : false, "suffix" : "" }, { "dropping-particle" : "", "family" : "Williamson", "given" : "EJ", "non-dropping-particle" : "", "parse-names" : false, "suffix" : "" }, { "dropping-particle" : "", "family" : "Forbes", "given" : "A", "non-dropping-particle" : "", "parse-names" : false, "suffix" : "" }, { "dropping-particle" : "", "family" : "White", "given" : "IR", "non-dropping-particle" : "", "parse-names" : false, "suffix" : "" }, { "dropping-particle" : "", "family" : "Austin", "given" : "PC", "non-dropping-particle" : "", "parse-names" : false, "suffix" : "" }, { "dropping-particle" : "", "family" : "Harder", "given" : "VS", "non-dropping-particle" : "", "parse-names" : false, "suffix" : "" }, { "dropping-particle" : "", "family" : "Stuart", "given" : "EA", "non-dropping-particle" : "", "parse-names" : false, "suffix" : "" }, { "dropping-particle" : "", "family" : "Anthony", "given" : "JC", "non-dropping-particle" : "", "parse-names" : false, "suffix" : "" }, { "dropping-particle" : "", "family" : "Hern\u00e1n", "given" : "M\u00c1", "non-dropping-particle" : "", "parse-names" : false, "suffix" : "" }, { "dropping-particle" : "", "family" : "Robins", "given" : "JM", "non-dropping-particle" : "", "parse-names" : false, "suffix" : "" }, { "dropping-particle" : "", "family" : "Ho", "given" : "DE", "non-dropping-particle" : "", "parse-names" : false, "suffix" : "" }, { "dropping-particle" : "", "family" : "Imai", "given" : "K", "non-dropping-particle" : "", "parse-names" : false, "suffix" : "" }, { "dropping-particle" : "", "family" : "King", "given" : "G", "non-dropping-particle" : "", "parse-names" : false, "suffix" : "" }, { "dropping-particle" : "", "family" : "Stuart", "given" : "EA", "non-dropping-particle" : "", "parse-names" : false, "suffix" : "" }, { "dropping-particle" : "", "family" : "Normand", "given" : "ST", "non-dropping-particle" : "", "parse-names" : false, "suffix" : "" }, { "dropping-particle" : "", "family" : "Landrum", "given" : "MB", "non-dropping-particle" : "", "parse-names" : false, "suffix" : "" }, { "dropping-particle" : "", "family" : "Guadagnoli", "given" : "E", "non-dropping-particle" : "", "parse-names" : false, "suffix" : "" }, { "dropping-particle" : "", "family" : "Ayanian", "given" : "JZ", "non-dropping-particle" : "", "parse-names" : false, "suffix" : "" }, { "dropping-particle" : "", "family" : "Ryan", "given" : "TJ", "non-dropping-particle" : "", "parse-names" : false, "suffix" : "" }, { "dropping-particle" : "", "family" : "Cleary", "given" : "PD", "non-dropping-particle" : "", "parse-names" : false, "suffix" : "" }, { "dropping-particle" : "", "family" : "Imai", "given" : "K", "non-dropping-particle" : "", "parse-names" : false, "suffix" : "" }, { "dropping-particle" : "", "family" : "King", "given" : "G", "non-dropping-particle" : "", "parse-names" : false, "suffix" : "" }, { "dropping-particle" : "", "family" : "Stuart", "given" : "EA", "non-dropping-particle" : "", "parse-names" : false, "suffix" : "" }, { "dropping-particle" : "", "family" : "Austin", "given" : "PC", "non-dropping-particle" : "", "parse-names" : false, "suffix" : "" }, { "dropping-particle" : "", "family" : "Kelley", "given" : "CF", "non-dropping-particle" : "", "parse-names" : false, "suffix" : "" }, { "dropping-particle" : "", "family" : "Rosenberg", "given" : "ES", "non-dropping-particle" : "", "parse-names" : false, "suffix" : "" }, { "dropping-particle" : "", "family" : "O\u2019Hara", "given" : "BM", "non-dropping-particle" : "", "parse-names" : false, "suffix" : "" }, { "dropping-particle" : "", "family" : "Frew", "given" : "PM", "non-dropping-particle" : "", "parse-names" : false, "suffix" : "" }, { "dropping-particle" : "", "family" : "Sanchez", "given" : "TH", "non-dropping-particle" : "", "parse-names" : false, "suffix" : "" }, { "dropping-particle" : "", "family" : "Peterson", "given" : "JL", "non-dropping-particle" : "", "parse-names" : false, "suffix" : "" }, { "dropping-particle" : "", "family" : "Newcomb", "given" : "ME", "non-dropping-particle" : "", "parse-names" : false, "suffix" : "" }, { "dropping-particle" : "", "family" : "Mustanski", "given" : "B", "non-dropping-particle" : "", "parse-names" : false, "suffix" : "" }, { "dropping-particle" : "", "family" : "Millett", "given" : "GA", "non-dropping-particle" : "", "parse-names" : false, "suffix" : "" }, { "dropping-particle" : "", "family" : "Peterson", "given" : "JL", "non-dropping-particle" : "", "parse-names" : false, "suffix" : "" }, { "dropping-particle" : "", "family" : "Flores", "given" : "SA", "non-dropping-particle" : "", "parse-names" : false, "suffix" : "" }, { "dropping-particle" : "", "family" : "Hart", "given" : "TA", "non-dropping-particle" : "", "parse-names" : false, "suffix" : "" }, { "dropping-particle" : "", "family" : "Jeffries", "given" : "WL", "non-dropping-particle" : "", "parse-names" : false, "suffix" : "" }, { "dropping-particle" : "", "family" : "Wilson", "given" : "PA", "non-dropping-particle" : "", "parse-names" : false, "suffix" : "" }, { "dropping-particle" : "", "family" : "Morgan", "given" : "SL", "non-dropping-particle" : "", "parse-names" : false, "suffix" : "" }, { "dropping-particle" : "", "family" : "Todd", "given" : "JJ", "non-dropping-particle" : "", "parse-names" : false, "suffix" : "" }, { "dropping-particle" : "", "family" : "Flury", "given" : "BK", "non-dropping-particle" : "", "parse-names" : false, "suffix" : "" }, { "dropping-particle" : "", "family" : "Riedwyl", "given" : "H", "non-dropping-particle" : "", "parse-names" : false, "suffix" : "" }, { "dropping-particle" : "", "family" : "Robins", "given" : "JM", "non-dropping-particle" : "", "parse-names" : false, "suffix" : "" }, { "dropping-particle" : "", "family" : "Kleinbaum", "given" : "DG", "non-dropping-particle" : "", "parse-names" : false, "suffix" : "" }, { "dropping-particle" : "", "family" : "Klein", "given" : "M", "non-dropping-particle" : "", "parse-names" : false, "suffix" : "" }, { "dropping-particle" : "", "family" : "Cole", "given" : "SR", "non-dropping-particle" : "", "parse-names" : false, "suffix" : "" }, { "dropping-particle" : "", "family" : "Hern\u00e1n", "given" : "M\u00c1", "non-dropping-particle" : "", "parse-names" : false, "suffix" : "" }, { "dropping-particle" : "", "family" : "Lanehart", "given" : "RE", "non-dropping-particle" : "", "parse-names" : false, "suffix" : "" }, { "dropping-particle" : "", "family" : "Gil", "given" : "PR", "non-dropping-particle" : "", "parse-names" : false, "suffix" : "" }, { "dropping-particle" : "", "family" : "Kim", "given" : "ES", "non-dropping-particle" : "", "parse-names" : false, "suffix" : "" }, { "dropping-particle" : "", "family" : "Bellara", "given" : "AP", "non-dropping-particle" : "", "parse-names" : false, "suffix" : "" }, { "dropping-particle" : "", "family" : "Kromrey", "given" : "JD", "non-dropping-particle" : "", "parse-names" : false, "suffix" : "" }, { "dropping-particle" : "", "family" : "Lee", "given" : "RS", "non-dropping-particle" : "", "parse-names" : false, "suffix" : "" }, { "dropping-particle" : "", "family" : "Peduzzi", "given" : "P", "non-dropping-particle" : "", "parse-names" : false, "suffix" : "" }, { "dropping-particle" : "", "family" : "Concato", "given" : "J", "non-dropping-particle" : "", "parse-names" : false, "suffix" : "" }, { "dropping-particle" : "", "family" : "Feinstein", "given" : "A", "non-dropping-particle" : "", "parse-names" : false, "suffix" : "" }, { "dropping-particle" : "", "family" : "Holford", "given" : "T", "non-dropping-particle" : "", "parse-names" : false, "suffix" : "" }, { "dropping-particle" : "", "family" : "Jansen", "given" : "IAV", "non-dropping-particle" : "", "parse-names" : false, "suffix" : "" }, { "dropping-particle" : "", "family" : "Geskus", "given" : "RB", "non-dropping-particle" : "", "parse-names" : false, "suffix" : "" }, { "dropping-particle" : "", "family" : "Davidovich", "given" : "U", "non-dropping-particle" : "", "parse-names" : false, "suffix" : "" }, { "dropping-particle" : "", "family" : "Jurriaans", "given" : "S", "non-dropping-particle" : "", "parse-names" : false, "suffix" : "" }, { "dropping-particle" : "", "family" : "Coutinho", "given" : "RA", "non-dropping-particle" : "", "parse-names" : false, "suffix" : "" }, { "dropping-particle" : "", "family" : "Prins", "given" : "M", "non-dropping-particle" : "", "parse-names" : false, "suffix" : "" }, { "dropping-particle" : "", "family" : "Anderson", "given" : "C", "non-dropping-particle" : "", "parse-names" : false, "suffix" : "" }, { "dropping-particle" : "", "family" : "Gallo", "given" : "MF", "non-dropping-particle" : "", "parse-names" : false, "suffix" : "" }, { "dropping-particle" : "", "family" : "Hylton-Kong", "given" : "T", "non-dropping-particle" : "", "parse-names" : false, "suffix" : "" }, { "dropping-particle" : "", "family" : "Steiner", "given" : "MJ", "non-dropping-particle" : "", "parse-names" : false, "suffix" : "" }, { "dropping-particle" : "", "family" : "Hobbs", "given" : "MM", "non-dropping-particle" : "", "parse-names" : false, "suffix" : "" }, { "dropping-particle" : "", "family" : "Macaluso", "given" : "M", "non-dropping-particle" : "", "parse-names" : false, "suffix" : "" }, { "dropping-particle" : "", "family" : "Mayer", "given" : "KH", "non-dropping-particle" : "", "parse-names" : false, "suffix" : "" }, { "dropping-particle" : "", "family" : "Wang", "given" : "L", "non-dropping-particle" : "", "parse-names" : false, "suffix" : "" }, { "dropping-particle" : "", "family" : "Koblin", "given" : "B", "non-dropping-particle" : "", "parse-names" : false, "suffix" : "" }, { "dropping-particle" : "", "family" : "Mannheimer", "given" : "S", "non-dropping-particle" : "", "parse-names" : false, "suffix" : "" }, { "dropping-particle" : "", "family" : "Magnus", "given" : "M", "non-dropping-particle" : "", "parse-names" : false, "suffix" : "" }, { "dropping-particle" : "", "family" : "Rio", "given" : "C", "non-dropping-particle" : "", "parse-names" : false, "suffix" : "" }, { "dropping-particle" : "", "family" : "Sanders", "given" : "EJ", "non-dropping-particle" : "", "parse-names" : false, "suffix" : "" }, { "dropping-particle" : "", "family" : "Okuku", "given" : "HS", "non-dropping-particle" : "", "parse-names" : false, "suffix" : "" }, { "dropping-particle" : "", "family" : "Smith", "given" : "AD", "non-dropping-particle" : "", "parse-names" : false, "suffix" : "" }, { "dropping-particle" : "", "family" : "Mwangome", "given" : "M", "non-dropping-particle" : "", "parse-names" : false, "suffix" : "" }, { "dropping-particle" : "", "family" : "Wahome", "given" : "E", "non-dropping-particle" : "", "parse-names" : false, "suffix" : "" }, { "dropping-particle" : "", "family" : "Fegan", "given" : "G", "non-dropping-particle" : "", "parse-names" : false, "suffix" : "" }, { "dropping-particle" : "", "family" : "Sullivan", "given" : "PS", "non-dropping-particle" : "", "parse-names" : false, "suffix" : "" }, { "dropping-particle" : "", "family" : "Carballo-Di\u00e9guez", "given" : "A", "non-dropping-particle" : "", "parse-names" : false, "suffix" : "" }, { "dropping-particle" : "", "family" : "Coates", "given" : "T", "non-dropping-particle" : "", "parse-names" : false, "suffix" : "" }, { "dropping-particle" : "", "family" : "Goodreau", "given" : "SM", "non-dropping-particle" : "", "parse-names" : false, "suffix" : "" }, { "dropping-particle" : "", "family" : "McGowan", "given" : "I", "non-dropping-particle" : "", "parse-names" : false, "suffix" : "" }, { "dropping-particle" : "", "family" : "Sanders", "given" : "EJ", "non-dropping-particle" : "", "parse-names" : false, "suffix" : "" } ], "container-title" : "BMC Medical Research Methodology", "id" : "ITEM-1", "issue" : "1", "issued" : { "date-parts" : [ [ "2015", "12", "21" ] ] }, "page" : "25", "publisher" : "BioMed Central", "title" : "An application of propensity score weighting to quantify the causal effect of rectal sexually transmitted infections on incident HIV among men who have sex with men", "type" : "article-journal", "volume" : "15" }, "uris" : [ "http://www.mendeley.com/documents/?uuid=9f838d7d-4b58-42fe-9721-31df93595fb5" ] } ], "mendeley" : { "formattedCitation" : "&lt;sup&gt;36&lt;/sup&gt;", "plainTextFormattedCitation" : "36", "previouslyFormattedCitation" : "&lt;sup&gt;36&lt;/sup&gt;" }, "properties" : { "noteIndex" : 0 }, "schema" : "https://github.com/citation-style-language/schema/raw/master/csl-citation.json" }</w:instrText>
      </w:r>
      <w:r w:rsidRPr="0024409C">
        <w:rPr>
          <w:rFonts w:ascii="Helvetica Neue" w:hAnsi="Helvetica Neue"/>
        </w:rPr>
        <w:fldChar w:fldCharType="separate"/>
      </w:r>
      <w:r w:rsidR="00E52119" w:rsidRPr="0024409C">
        <w:rPr>
          <w:rFonts w:ascii="Helvetica Neue" w:hAnsi="Helvetica Neue"/>
          <w:noProof/>
          <w:vertAlign w:val="superscript"/>
        </w:rPr>
        <w:t>36</w:t>
      </w:r>
      <w:r w:rsidRPr="0024409C">
        <w:rPr>
          <w:rFonts w:ascii="Helvetica Neue" w:hAnsi="Helvetica Neue"/>
        </w:rPr>
        <w:fldChar w:fldCharType="end"/>
      </w:r>
      <w:r w:rsidRPr="0024409C">
        <w:rPr>
          <w:rFonts w:ascii="Helvetica Neue" w:hAnsi="Helvetica Neue"/>
        </w:rPr>
        <w:t xml:space="preserve"> found that the hazard ratio for existing rectal NG or CT infection on HIV seroconversion was 2.7 (95% CI:1.2–6.4), and </w:t>
      </w:r>
      <w:proofErr w:type="spellStart"/>
      <w:r w:rsidRPr="0024409C">
        <w:rPr>
          <w:rFonts w:ascii="Helvetica Neue" w:hAnsi="Helvetica Neue"/>
        </w:rPr>
        <w:t>Pathela</w:t>
      </w:r>
      <w:proofErr w:type="spellEnd"/>
      <w:r w:rsidRPr="0024409C">
        <w:rPr>
          <w:rFonts w:ascii="Helvetica Neue" w:hAnsi="Helvetica Neue"/>
        </w:rPr>
        <w:t xml:space="preserve"> et al.</w:t>
      </w:r>
      <w:r w:rsidRPr="0024409C">
        <w:rPr>
          <w:rFonts w:ascii="Helvetica Neue" w:hAnsi="Helvetica Neue"/>
        </w:rPr>
        <w:fldChar w:fldCharType="begin" w:fldLock="1"/>
      </w:r>
      <w:r w:rsidR="00AD1715">
        <w:rPr>
          <w:rFonts w:ascii="Helvetica Neue" w:hAnsi="Helvetica Neue"/>
        </w:rPr>
        <w:instrText>ADDIN CSL_CITATION { "citationItems" : [ { "id" : "ITEM-1", "itemData" : { "DOI" : "10.1093/cid/cit437", "ISSN" : "1058-4838", "author" : [ { "dropping-particle" : "", "family" : "Pathela", "given" : "P.", "non-dropping-particle" : "", "parse-names" : false, "suffix" : "" }, { "dropping-particle" : "", "family" : "Braunstein", "given" : "S. L.", "non-dropping-particle" : "", "parse-names" : false, "suffix" : "" }, { "dropping-particle" : "", "family" : "Blank", "given" : "S.", "non-dropping-particle" : "", "parse-names" : false, "suffix" : "" }, { "dropping-particle" : "", "family" : "Schillinger", "given" : "J. A.", "non-dropping-particle" : "", "parse-names" : false, "suffix" : "" } ], "container-title" : "Clinical Infectious Diseases", "id" : "ITEM-1", "issue" : "8", "issued" : { "date-parts" : [ [ "2013", "10", "15" ] ] }, "page" : "1203-1209", "title" : "HIV Incidence Among Men With and Those Without Sexually Transmitted Rectal Infections: Estimates From Matching Against an HIV Case Registry", "type" : "article-journal", "volume" : "57" }, "uris" : [ "http://www.mendeley.com/documents/?uuid=87277f1b-c1a4-31c6-aee7-216703185ac9" ] } ], "mendeley" : { "formattedCitation" : "&lt;sup&gt;37&lt;/sup&gt;", "plainTextFormattedCitation" : "37", "previouslyFormattedCitation" : "&lt;sup&gt;37&lt;/sup&gt;" }, "properties" : { "noteIndex" : 0 }, "schema" : "https://github.com/citation-style-language/schema/raw/master/csl-citation.json" }</w:instrText>
      </w:r>
      <w:r w:rsidRPr="0024409C">
        <w:rPr>
          <w:rFonts w:ascii="Helvetica Neue" w:hAnsi="Helvetica Neue"/>
        </w:rPr>
        <w:fldChar w:fldCharType="separate"/>
      </w:r>
      <w:r w:rsidR="00E52119" w:rsidRPr="0024409C">
        <w:rPr>
          <w:rFonts w:ascii="Helvetica Neue" w:hAnsi="Helvetica Neue"/>
          <w:noProof/>
          <w:vertAlign w:val="superscript"/>
        </w:rPr>
        <w:t>37</w:t>
      </w:r>
      <w:r w:rsidRPr="0024409C">
        <w:rPr>
          <w:rFonts w:ascii="Helvetica Neue" w:hAnsi="Helvetica Neue"/>
        </w:rPr>
        <w:fldChar w:fldCharType="end"/>
      </w:r>
      <w:r w:rsidRPr="0024409C">
        <w:rPr>
          <w:rFonts w:ascii="Helvetica Neue" w:hAnsi="Helvetica Neue"/>
        </w:rPr>
        <w:t xml:space="preserve"> estimated a similar risk ratio for the effect of rectal NG or CT infection on HIV </w:t>
      </w:r>
      <w:r w:rsidR="000174C4">
        <w:rPr>
          <w:rFonts w:ascii="Helvetica Neue" w:hAnsi="Helvetica Neue"/>
        </w:rPr>
        <w:t>transmission</w:t>
      </w:r>
      <w:r w:rsidRPr="0024409C">
        <w:rPr>
          <w:rFonts w:ascii="Helvetica Neue" w:hAnsi="Helvetica Neue"/>
        </w:rPr>
        <w:t>, which was slightly elevated over estimates not taking site-specific infection into account.</w:t>
      </w:r>
      <w:r w:rsidRPr="0024409C">
        <w:rPr>
          <w:rFonts w:ascii="Helvetica Neue" w:hAnsi="Helvetica Neue"/>
        </w:rPr>
        <w:fldChar w:fldCharType="begin" w:fldLock="1"/>
      </w:r>
      <w:r w:rsidR="00AD1715">
        <w:rPr>
          <w:rFonts w:ascii="Helvetica Neue" w:hAnsi="Helvetica Neue"/>
        </w:rPr>
        <w:instrText>ADDIN CSL_CITATION { "citationItems" : [ { "id" : "ITEM-1", "itemData" : { "ISSN" : "1537-4521", "PMID" : "23588125", "abstract" : "BACKGROUND Men who have sex with men (MSM) who have a current or recent history of rectal Chlamydia trachomatis (CT) and Neisseria gonorrhoeae (GC) infection are at greater risk for HIV than MSM with no history of rectal infection. Screening and treating MSM for rectal CT/GC infection may help reduce any increased biological susceptibility to HIV infection. METHODS We used 2 versions of a Markov state-transition model to examine the impact and cost-effectiveness of screening MSM for rectal CT/GC infection in San Francisco: a static version that included only the benefits to those screened and a dynamic version that accounted for population-level impacts of screening. HIV prevention through reduced susceptibility to HIV was the only potential benefit of rectal CT/GC screening that we included in our analysis. Parameter values were based on San Francisco program data and the literature. RESULTS In the base case, the cost per quality-adjusted life year gained through screening MSM for rectal CT/GC infection was $16,300 in the static version of the model. In the dynamic model, the cost per quality-adjusted life year gained was less than $0, meaning that rectal screening was cost-saving. The impact of rectal CT/GC infection on the risk of HIV acquisition was the most influential model parameter. CONCLUSIONS Although more information is needed regarding the impact of rectal CT/GC screening on HIV incidence, rectal CT/GC screening of MSM can potentially be a cost-effective, scalable intervention targeted to at-risk MSM in certain urban settings such as San Francisco.", "author" : [ { "dropping-particle" : "", "family" : "Chesson", "given" : "Harrell W", "non-dropping-particle" : "", "parse-names" : false, "suffix" : "" }, { "dropping-particle" : "", "family" : "Bernstein", "given" : "Kyle T", "non-dropping-particle" : "", "parse-names" : false, "suffix" : "" }, { "dropping-particle" : "", "family" : "Gift", "given" : "Thomas L", "non-dropping-particle" : "", "parse-names" : false, "suffix" : "" }, { "dropping-particle" : "", "family" : "Marcus", "given" : "Julia L", "non-dropping-particle" : "", "parse-names" : false, "suffix" : "" }, { "dropping-particle" : "", "family" : "Pipkin", "given" : "Sharon", "non-dropping-particle" : "", "parse-names" : false, "suffix" : "" }, { "dropping-particle" : "", "family" : "Kent", "given" : "Charlotte K", "non-dropping-particle" : "", "parse-names" : false, "suffix" : "" } ], "container-title" : "Sex Transm Dis", "id" : "ITEM-1", "issue" : "5", "issued" : { "date-parts" : [ [ "2013", "5" ] ] }, "page" : "366-71", "title" : "The cost-effectiveness of screening men who have sex with men for rectal chlamydial and gonococcal infection to prevent HIV Infection.", "type" : "article-journal", "volume" : "40" }, "uris" : [ "http://www.mendeley.com/documents/?uuid=a4be3bae-bc0b-4f41-8839-b77815413a6f" ] } ], "mendeley" : { "formattedCitation" : "&lt;sup&gt;38&lt;/sup&gt;", "plainTextFormattedCitation" : "38", "previouslyFormattedCitation" : "&lt;sup&gt;38&lt;/sup&gt;" }, "properties" : { "noteIndex" : 0 }, "schema" : "https://github.com/citation-style-language/schema/raw/master/csl-citation.json" }</w:instrText>
      </w:r>
      <w:r w:rsidRPr="0024409C">
        <w:rPr>
          <w:rFonts w:ascii="Helvetica Neue" w:hAnsi="Helvetica Neue"/>
        </w:rPr>
        <w:fldChar w:fldCharType="separate"/>
      </w:r>
      <w:r w:rsidR="00E52119" w:rsidRPr="0024409C">
        <w:rPr>
          <w:rFonts w:ascii="Helvetica Neue" w:hAnsi="Helvetica Neue"/>
          <w:noProof/>
          <w:vertAlign w:val="superscript"/>
        </w:rPr>
        <w:t>38</w:t>
      </w:r>
      <w:r w:rsidRPr="0024409C">
        <w:rPr>
          <w:rFonts w:ascii="Helvetica Neue" w:hAnsi="Helvetica Neue"/>
        </w:rPr>
        <w:fldChar w:fldCharType="end"/>
      </w:r>
      <w:r w:rsidRPr="0024409C">
        <w:rPr>
          <w:rFonts w:ascii="Helvetica Neue" w:hAnsi="Helvetica Neue"/>
        </w:rPr>
        <w:t xml:space="preserve"> Using these estimates, we established a </w:t>
      </w:r>
      <w:r w:rsidR="0008105C" w:rsidRPr="0024409C">
        <w:rPr>
          <w:rFonts w:ascii="Helvetica Neue" w:hAnsi="Helvetica Neue"/>
        </w:rPr>
        <w:t>Bayesian prior distribution of 1</w:t>
      </w:r>
      <w:r w:rsidRPr="0024409C">
        <w:rPr>
          <w:rFonts w:ascii="Helvetica Neue" w:hAnsi="Helvetica Neue"/>
        </w:rPr>
        <w:t>.</w:t>
      </w:r>
      <w:r w:rsidR="0008105C" w:rsidRPr="0024409C">
        <w:rPr>
          <w:rFonts w:ascii="Helvetica Neue" w:hAnsi="Helvetica Neue"/>
        </w:rPr>
        <w:t>5</w:t>
      </w:r>
      <w:r w:rsidRPr="0024409C">
        <w:rPr>
          <w:rFonts w:ascii="Helvetica Neue" w:hAnsi="Helvetica Neue"/>
        </w:rPr>
        <w:t xml:space="preserve">0–3.00 for the relative increase in per-act HIV </w:t>
      </w:r>
      <w:r w:rsidR="00837706">
        <w:rPr>
          <w:rFonts w:ascii="Helvetica Neue" w:hAnsi="Helvetica Neue"/>
        </w:rPr>
        <w:t>acquisition</w:t>
      </w:r>
      <w:r w:rsidR="00837706" w:rsidRPr="0024409C">
        <w:rPr>
          <w:rFonts w:ascii="Helvetica Neue" w:hAnsi="Helvetica Neue"/>
        </w:rPr>
        <w:t xml:space="preserve"> </w:t>
      </w:r>
      <w:r w:rsidRPr="0024409C">
        <w:rPr>
          <w:rFonts w:ascii="Helvetica Neue" w:hAnsi="Helvetica Neue"/>
        </w:rPr>
        <w:t>risk for rectal STI infections, and 1.00–2.</w:t>
      </w:r>
      <w:r w:rsidR="0008105C" w:rsidRPr="0024409C">
        <w:rPr>
          <w:rFonts w:ascii="Helvetica Neue" w:hAnsi="Helvetica Neue"/>
        </w:rPr>
        <w:t>5</w:t>
      </w:r>
      <w:r w:rsidRPr="0024409C">
        <w:rPr>
          <w:rFonts w:ascii="Helvetica Neue" w:hAnsi="Helvetica Neue"/>
        </w:rPr>
        <w:t xml:space="preserve">0 for urethral STI infections. These estimates incorporate site-specific infection and assume an increased risk associated with rectal infection. After model fitting, the estimated posterior multiplier values </w:t>
      </w:r>
      <w:r w:rsidRPr="008C6FD9">
        <w:rPr>
          <w:rFonts w:ascii="Helvetica Neue" w:hAnsi="Helvetica Neue"/>
        </w:rPr>
        <w:t xml:space="preserve">for risk of HIV </w:t>
      </w:r>
      <w:r w:rsidR="00837706">
        <w:rPr>
          <w:rFonts w:ascii="Helvetica Neue" w:hAnsi="Helvetica Neue"/>
        </w:rPr>
        <w:t>acquisition</w:t>
      </w:r>
      <w:r w:rsidR="00837706" w:rsidRPr="0024409C">
        <w:rPr>
          <w:rFonts w:ascii="Helvetica Neue" w:hAnsi="Helvetica Neue"/>
        </w:rPr>
        <w:t xml:space="preserve"> </w:t>
      </w:r>
      <w:r w:rsidRPr="008C6FD9">
        <w:rPr>
          <w:rFonts w:ascii="Helvetica Neue" w:hAnsi="Helvetica Neue"/>
        </w:rPr>
        <w:t>were</w:t>
      </w:r>
      <w:r w:rsidR="00FB4DEC">
        <w:rPr>
          <w:rFonts w:ascii="Helvetica Neue" w:hAnsi="Helvetica Neue"/>
        </w:rPr>
        <w:t xml:space="preserve"> 1.97</w:t>
      </w:r>
      <w:r w:rsidRPr="008C6FD9">
        <w:rPr>
          <w:rFonts w:ascii="Helvetica Neue" w:hAnsi="Helvetica Neue"/>
        </w:rPr>
        <w:t xml:space="preserve"> for rectal NG and CT</w:t>
      </w:r>
      <w:r w:rsidR="00936B1F" w:rsidRPr="008C6FD9">
        <w:rPr>
          <w:rFonts w:ascii="Helvetica Neue" w:hAnsi="Helvetica Neue"/>
        </w:rPr>
        <w:t xml:space="preserve"> at a rectal site</w:t>
      </w:r>
      <w:r w:rsidR="008C6FD9" w:rsidRPr="008C6FD9">
        <w:rPr>
          <w:rFonts w:ascii="Helvetica Neue" w:hAnsi="Helvetica Neue"/>
        </w:rPr>
        <w:t xml:space="preserve">, </w:t>
      </w:r>
      <w:r w:rsidR="00075559">
        <w:rPr>
          <w:rFonts w:ascii="Helvetica Neue" w:hAnsi="Helvetica Neue"/>
        </w:rPr>
        <w:t>1.48</w:t>
      </w:r>
      <w:r w:rsidR="00075559" w:rsidRPr="008C6FD9">
        <w:rPr>
          <w:rFonts w:ascii="Helvetica Neue" w:hAnsi="Helvetica Neue"/>
        </w:rPr>
        <w:t xml:space="preserve"> </w:t>
      </w:r>
      <w:r w:rsidRPr="008C6FD9">
        <w:rPr>
          <w:rFonts w:ascii="Helvetica Neue" w:hAnsi="Helvetica Neue"/>
        </w:rPr>
        <w:t>for urethral NG and CT</w:t>
      </w:r>
      <w:r w:rsidRPr="0024409C">
        <w:rPr>
          <w:rFonts w:ascii="Helvetica Neue" w:hAnsi="Helvetica Neue"/>
        </w:rPr>
        <w:t>.</w:t>
      </w:r>
      <w:r w:rsidR="00C57B22">
        <w:rPr>
          <w:rFonts w:ascii="Helvetica Neue" w:hAnsi="Helvetica Neue"/>
        </w:rPr>
        <w:t xml:space="preserve"> These posterior values were obtained in the absence of an effect of NG/CT on HIV transmission. Therefore, we examined a range of plausible values for multipliers of HIV acquisition risk conditional on NG/CT infection at rectal and urethral sites. These risk multipliers were 1.0, 2.0, </w:t>
      </w:r>
      <w:r w:rsidR="00C57B22">
        <w:rPr>
          <w:rFonts w:ascii="Helvetica Neue" w:hAnsi="Helvetica Neue"/>
        </w:rPr>
        <w:lastRenderedPageBreak/>
        <w:t xml:space="preserve">and 3.0. </w:t>
      </w:r>
      <w:r w:rsidR="001B7B25">
        <w:rPr>
          <w:rFonts w:ascii="Helvetica Neue" w:hAnsi="Helvetica Neue"/>
        </w:rPr>
        <w:t>The effect of NG/CT on HIV transmission (described below) was held constant as the risk multipliers for HIV acquisition were varied to isolate the effect of NG/CT on HIV acquisition.</w:t>
      </w:r>
    </w:p>
    <w:p w14:paraId="4DC20DBD" w14:textId="7277B115" w:rsidR="00D55A72" w:rsidRDefault="00D55A72" w:rsidP="003508C2">
      <w:pPr>
        <w:pStyle w:val="Heading2"/>
      </w:pPr>
      <w:bookmarkStart w:id="33" w:name="_Toc522270422"/>
      <w:r>
        <w:t>8.3. Effect of NG/CT on HIV Transmission Probability</w:t>
      </w:r>
      <w:bookmarkEnd w:id="33"/>
    </w:p>
    <w:p w14:paraId="73E216A0" w14:textId="4E20E45E" w:rsidR="00C57B22" w:rsidRPr="00721A10" w:rsidRDefault="00151C85" w:rsidP="00151C85">
      <w:pPr>
        <w:spacing w:line="360" w:lineRule="auto"/>
        <w:rPr>
          <w:rFonts w:ascii="Helvetica Neue" w:hAnsi="Helvetica Neue"/>
        </w:rPr>
      </w:pPr>
      <w:r w:rsidRPr="003508C2">
        <w:rPr>
          <w:rFonts w:ascii="Helvetica Neue" w:hAnsi="Helvetica Neue"/>
        </w:rPr>
        <w:t xml:space="preserve">Fewer data are available to estimate the effect of NG/CT on HIV transmission from HIV-infected to HIV-uninfected partners. </w:t>
      </w:r>
      <w:r w:rsidR="003658A7">
        <w:rPr>
          <w:rFonts w:ascii="Helvetica Neue" w:hAnsi="Helvetica Neue"/>
        </w:rPr>
        <w:t>We are unaware of any studies that explicitly estimate this quantity among MSM; however, an estimate is available based on heterosexual partnerships in an African cohort.</w:t>
      </w:r>
      <w:r w:rsidR="00721A10">
        <w:rPr>
          <w:rFonts w:ascii="Helvetica Neue" w:hAnsi="Helvetica Neue"/>
        </w:rPr>
        <w:fldChar w:fldCharType="begin" w:fldLock="1"/>
      </w:r>
      <w:r w:rsidR="002E5A1F">
        <w:rPr>
          <w:rFonts w:ascii="Helvetica Neue" w:hAnsi="Helvetica Neue"/>
        </w:rPr>
        <w:instrText>ADDIN CSL_CITATION { "citationItems" : [ { "id" : "ITEM-1", "itemData" : { "DOI" : "10.1093/ije/dyx045", "ISSN" : "0300-5771", "PMID" : "28402442", "abstract" : "Background Studies have demonstrated the role of ulcerative and non-ulcerative sexually transmitted infections (STI) in HIV transmission/acquisition risk; less is understood about the role of non-specific inflammatory genital abnormalities. Methods HIV-discordant heterosexual Zambian couples were enrolled into longitudinal follow-up (1994-2012). Multivariable models estimated the effect of genital ulcers and inflammation in both partners on time-to-HIV transmission within the couple. Population-attributable fractions (PAFs) were calculated. Results A total of 207 linked infections in women occurred over 2756 couple-years (7.5/100 CY) and 171 in men over 3216 CY (5.3/100 CY). Incident HIV among women was associated with a woman's non-STI genital inflammation (adjusted hazard ratio (aHR) = 1.55; PAF = 8%), bilateral inguinal adenopathy (BIA; aHR = 2.33; PAF = 8%), genital ulceration (aHR = 2.08; PAF = 7%) and the man's STI genital inflammation (aHR = 3.33; PAF = 5%), BIA (aHR = 3.35; PAF = 33%) and genital ulceration (aHR = 1.49; PAF = 9%). Infection among men was associated with a man's BIA (aHR = 4.11; PAF = 22%) and genital ulceration (aHR = 3.44; PAF = 15%) as well as with the woman's non-STI genital inflammation (aHR = 1.92; PAF = 13%) and BIA (aHR = 2.76; PAF = 14%). In HIV-M+F- couples, the man being uncircumcised. with foreskin smegma. was associated with the woman's seroconversion (aHR = 3.16) relative to being circumcised. In F+M- couples, uncircumcised men with BIA had an increased hazard of seroconversion (aHR = 13.03 with smegma and 4.95 without) relative to being circumcised. Self-reporting of symptoms was low for ulcerative and non-ulcerative STIs. Conclusions Our findings confirm the role of STIs and highlight the contribution of non-specific genital inflammation to both male-to-female and female-to-male HIV transmission/acquisition risk. Studies are needed to characterize pathogenesis of non-specific inflammation including inguinal adenopathy. A better understanding of genital practices could inform interventions.", "author" : [ { "dropping-particle" : "", "family" : "Wall", "given" : "Kristin M", "non-dropping-particle" : "", "parse-names" : false, "suffix" : "" }, { "dropping-particle" : "", "family" : "Kilembe", "given" : "William", "non-dropping-particle" : "", "parse-names" : false, "suffix" : "" }, { "dropping-particle" : "", "family" : "Vwalika", "given" : "Bellington", "non-dropping-particle" : "", "parse-names" : false, "suffix" : "" }, { "dropping-particle" : "", "family" : "Haddad", "given" : "Lisa B", "non-dropping-particle" : "", "parse-names" : false, "suffix" : "" }, { "dropping-particle" : "", "family" : "Hunter", "given" : "Eric", "non-dropping-particle" : "", "parse-names" : false, "suffix" : "" }, { "dropping-particle" : "", "family" : "Lakhi", "given" : "Shabir", "non-dropping-particle" : "", "parse-names" : false, "suffix" : "" }, { "dropping-particle" : "", "family" : "Chavuma", "given" : "Roy", "non-dropping-particle" : "", "parse-names" : false, "suffix" : "" }, { "dropping-particle" : "", "family" : "Htee Khu", "given" : "Naw", "non-dropping-particle" : "", "parse-names" : false, "suffix" : "" }, { "dropping-particle" : "", "family" : "Brill", "given" : "Ilene", "non-dropping-particle" : "", "parse-names" : false, "suffix" : "" }, { "dropping-particle" : "", "family" : "Vwalika", "given" : "Cheswa", "non-dropping-particle" : "", "parse-names" : false, "suffix" : "" }, { "dropping-particle" : "", "family" : "Mwananyanda", "given" : "Lawrence", "non-dropping-particle" : "", "parse-names" : false, "suffix" : "" }, { "dropping-particle" : "", "family" : "Chomba", "given" : "Elwyn", "non-dropping-particle" : "", "parse-names" : false, "suffix" : "" }, { "dropping-particle" : "", "family" : "Mulenga", "given" : "Joseph", "non-dropping-particle" : "", "parse-names" : false, "suffix" : "" }, { "dropping-particle" : "", "family" : "Tichacek", "given" : "Amanda", "non-dropping-particle" : "", "parse-names" : false, "suffix" : "" }, { "dropping-particle" : "", "family" : "Allen", "given" : "Susan", "non-dropping-particle" : "", "parse-names" : false, "suffix" : "" } ], "container-title" : "International Journal of Epidemiology", "id" : "ITEM-1", "issue" : "5", "issued" : { "date-parts" : [ [ "2017", "10", "1" ] ] }, "page" : "1593-1606", "title" : "Risk of heterosexual HIV transmission attributable to sexually transmitted infections and non-specific genital inflammation in Zambian discordant couples, 1994\u20132012", "type" : "article-journal", "volume" : "46" }, "uris" : [ "http://www.mendeley.com/documents/?uuid=29957e33-0986-4ff8-a4ba-e3bfd5bbf374" ] } ], "mendeley" : { "formattedCitation" : "&lt;sup&gt;39&lt;/sup&gt;", "plainTextFormattedCitation" : "39", "previouslyFormattedCitation" : "&lt;sup&gt;39&lt;/sup&gt;" }, "properties" : { "noteIndex" : 0 }, "schema" : "https://github.com/citation-style-language/schema/raw/master/csl-citation.json" }</w:instrText>
      </w:r>
      <w:r w:rsidR="00721A10">
        <w:rPr>
          <w:rFonts w:ascii="Helvetica Neue" w:hAnsi="Helvetica Neue"/>
        </w:rPr>
        <w:fldChar w:fldCharType="separate"/>
      </w:r>
      <w:r w:rsidR="00721A10" w:rsidRPr="00721A10">
        <w:rPr>
          <w:rFonts w:ascii="Helvetica Neue" w:hAnsi="Helvetica Neue"/>
          <w:noProof/>
          <w:vertAlign w:val="superscript"/>
        </w:rPr>
        <w:t>39</w:t>
      </w:r>
      <w:r w:rsidR="00721A10">
        <w:rPr>
          <w:rFonts w:ascii="Helvetica Neue" w:hAnsi="Helvetica Neue"/>
        </w:rPr>
        <w:fldChar w:fldCharType="end"/>
      </w:r>
      <w:r w:rsidR="003658A7" w:rsidDel="003658A7">
        <w:rPr>
          <w:rFonts w:ascii="Helvetica Neue" w:hAnsi="Helvetica Neue"/>
        </w:rPr>
        <w:t xml:space="preserve"> </w:t>
      </w:r>
      <w:r w:rsidR="001B7B25">
        <w:rPr>
          <w:rFonts w:ascii="Helvetica Neue" w:hAnsi="Helvetica Neue"/>
        </w:rPr>
        <w:t xml:space="preserve">Based on these data, we selected a plausible multiplier of 1.3 for the effect of NG/CT on HIV transmission from rectal and urethral sites. This value was used to hold the effect of NG/CT on HIV transmission constant in sensitivity analyses examining the effect of NG/CT on HIV acquisition. </w:t>
      </w:r>
      <w:r w:rsidR="0000026C">
        <w:rPr>
          <w:rFonts w:ascii="Helvetica Neue" w:hAnsi="Helvetica Neue"/>
        </w:rPr>
        <w:t>To examine a possible range of values for the effect of NG/CT on HIV transmission, we held the risk multipliers for the effect of NG/CT on HIV acquisition constant at the model-derived values (1.97 for rectal infection, 1.48 for urethral infection) and modeled scenarios with the same values from the HIV acquisition sensitivity analysis (1.0, 2.0, and 3.0).</w:t>
      </w:r>
    </w:p>
    <w:p w14:paraId="36024618" w14:textId="521F4210" w:rsidR="00EA384A" w:rsidRPr="0024409C" w:rsidRDefault="00273CDD" w:rsidP="003658A7">
      <w:pPr>
        <w:pStyle w:val="Heading2"/>
      </w:pPr>
      <w:bookmarkStart w:id="34" w:name="_Toc466401460"/>
      <w:bookmarkStart w:id="35" w:name="_Toc522270423"/>
      <w:proofErr w:type="gramStart"/>
      <w:r w:rsidRPr="0024409C">
        <w:t>8</w:t>
      </w:r>
      <w:r w:rsidR="00690949" w:rsidRPr="0024409C">
        <w:t>.</w:t>
      </w:r>
      <w:r w:rsidR="00D55A72">
        <w:t>4</w:t>
      </w:r>
      <w:r w:rsidR="00D55A72" w:rsidRPr="0024409C">
        <w:t xml:space="preserve"> </w:t>
      </w:r>
      <w:r w:rsidR="00D55A72">
        <w:t xml:space="preserve"> </w:t>
      </w:r>
      <w:r w:rsidR="00EA384A" w:rsidRPr="0024409C">
        <w:t>Chlamydia</w:t>
      </w:r>
      <w:proofErr w:type="gramEnd"/>
      <w:r w:rsidR="00EA384A" w:rsidRPr="0024409C">
        <w:t xml:space="preserve"> </w:t>
      </w:r>
      <w:r w:rsidR="00FD207A">
        <w:t>Transmission</w:t>
      </w:r>
      <w:r w:rsidR="00EA384A" w:rsidRPr="0024409C">
        <w:t xml:space="preserve"> Probability</w:t>
      </w:r>
      <w:bookmarkEnd w:id="34"/>
      <w:bookmarkEnd w:id="35"/>
    </w:p>
    <w:p w14:paraId="1047E462" w14:textId="23B077D6" w:rsidR="00EA384A" w:rsidRPr="0024409C" w:rsidRDefault="00EA384A" w:rsidP="00574651">
      <w:pPr>
        <w:spacing w:line="360" w:lineRule="auto"/>
        <w:rPr>
          <w:rFonts w:ascii="Helvetica Neue" w:hAnsi="Helvetica Neue"/>
        </w:rPr>
      </w:pPr>
      <w:r w:rsidRPr="0024409C">
        <w:rPr>
          <w:rFonts w:ascii="Helvetica Neue" w:hAnsi="Helvetica Neue"/>
        </w:rPr>
        <w:t>Estimated values of the per-sex-act CT transmission risk in previous STI-only and HIV/STI models have depended on whether the infection was symptomatic, the type of sex act, as well as the role and position of the infected partner. The baseline per-act CT transmission risk for heterosexual encounters has been estimated in multiple models, with the middle 50% of per-act probability estimates describing MTF transmission clustered between 0.09–0.20</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"ITEM-1", "issue" : "2", "issued" : { "date-parts" : [ [ "2012", "2" ] ] }, "page" : "161-8", "title" : "The role of sexually transmitted infections in the evolution of the South African HIV epidemic.", "type" : "article-journal", "volume" : "17" }, "uris" : [ "http://www.mendeley.com/documents/?uuid=0e1ea8f2-849f-41da-864c-66e864358726" ] }, { "id" : "ITEM-2", "itemData" : { "ISSN" : "0956-4624", "PMID" : "12803939", "abstract" : "The same sexual behaviours that transmit HIV are implicated in the transmission of certain other STDs, including chlamydia, gonorrhoea, and syphilis. Consequently, it is often assumed that preventive methods that are effective against HIV should be equally effective against other STDs. The purpose of this study was to examine this assumption. We applied a mathematical model of HIV/STD transmission to empirical data from a large HIV prevention intervention that stressed sexual behaviour change. We modelled the effects of two behavioural strategies - reducing the number of sex partners and increasing condom use-on the proportionate change in intervention participants' cumulative risk of acquiring HIV or a highly-infectious STD, such as gonorrhoea. The results of this modelling exercise indicate that decreasing the number of partners is a more effective strategy for reducing STD risk than it is for HIV risk. In contrast, condoms are somewhat more effective at reducing the cumulative transmission risk for HIV than for highly infectious STDs. The protection provided by condoms for multiple acts of intercourse critically depends on the infectiousness of the STD. The results of this study suggest caution in extrapolating from one STD to another, or from one behavioural risk reduction strategy to another.", "author" : [ { "dropping-particle" : "", "family" : "Pinkerton", "given" : "S D", "non-dropping-particle" : "", "parse-names" : false, "suffix" : "" }, { "dropping-particle" : "", "family" : "Layde", "given" : "P M", "non-dropping-particle" : "", "parse-names" : false, "suffix" : "" }, { "dropping-particle" : "", "family" : "DiFranceisco", "given" : "W", "non-dropping-particle" : "", "parse-names" : false, "suffix" : "" }, { "dropping-particle" : "", "family" : "Chesson", "given" : "H W", "non-dropping-particle" : "", "parse-names" : false, "suffix" : "" }, { "dropping-particle" : "", "family" : "NIMH Multisite HIV Prevention Trial Group", "given" : "", "non-dropping-particle" : "", "parse-names" : false, "suffix" : "" } ], "container-title" : "Int J STD AIDS", "id" : "ITEM-2", "issue" : "5", "issued" : { "date-parts" : [ [ "2003", "5" ] ] }, "page" : "320-8", "title" : "All STDs are not created equal: An analysis of the differential effects of sexual behaviour changes on different STDs", "type" : "article-journal", "volume" : "14" }, "uris" : [ "http://www.mendeley.com/documents/?uuid=52fb46aa-46a1-4af9-9eca-f3a2fe822614" ] }, { "id" : "ITEM-3", "itemData" : { "ISSN" : "1525-4135", "PMID" : "12352153", "abstract" : "Most sexually transmitted disease (STD)/HIV sexual risk reduction intervention trials are evaluated using behavioral outcomes as their main indicators of intervention effectiveness. How good are behavioral measures as surrogate markers for STD infection? Do the behavioral changes that are commonly assessed in risk reduction interventions accurately reflect changes in STD risk? We applied a mathematical model of STD/HIV transmission to empiric data from a large HIV prevention intervention to estimate pre- to postintervention changes in intervention participants' STD risk. We then used the coefficient of determination (R(2)) to assess the strength of association between changes in STD risk and changes in three behavioral measures: proportion of acts of intercourse for which condoms were used, number of sex partners, and number of acts of unprotected intercourse. The results indicate that change in the number of acts of unprotected intercourse is a superior marker of STD risk changes for less infectious STDs such as HIV, whereas change in the number of partners may be preferable for highly infectious STDs such as gonorrhea. Changes in the proportion of acts of intercourse for which condoms were used were not strongly correlated with changes in STD risk under most of the conditions examined in this analysis. The utility of different measures of sexual behavior change as markers for changes in STD risk and, hence, expected incidence, depends on the infectivity and prevalence of the target STD.", "author" : [ { "dropping-particle" : "", "family" : "Pinkerton", "given" : "Steven David", "non-dropping-particle" : "", "parse-names" : false, "suffix" : "" }, { "dropping-particle" : "", "family" : "Chesson", "given" : "Harrell Warren", "non-dropping-particle" : "", "parse-names" : false, "suffix" : "" }, { "dropping-particle" : "", "family" : "Layde", "given" : "Peter Mark", "non-dropping-particle" : "", "parse-names" : false, "suffix" : "" }, { "dropping-particle" : "", "family" : "National Institute of Mental Health Multisite HIV Prevention Trial Group", "given" : "", "non-dropping-particle" : "", "parse-names" : false, "suffix" : "" } ], "container-title" : "J Acquir Immune Defic Syndr", "id" : "ITEM-3", "issue" : "1", "issued" : { "date-parts" : [ [ "2002", "9", "1" ] ] }, "page" : "71-9", "title" : "Utility of behavioral changes as markers of sexually transmitted disease risk reduction in sexually transmitted disease/HIV prevention trials.", "type" : "article-journal", "volume" : "31" }, "uris" : [ "http://www.mendeley.com/documents/?uuid=4972f14e-cde3-40ed-a29b-99061b6c5d9f" ] }, { "id" : "ITEM-4", "itemData" : { "ISSN" : "0300-5771", "author" : [ { "dropping-particle" : "", "family" : "Stigum", "given" : "Hein", "non-dropping-particle" : "", "parse-names" : false, "suffix" : "" }, { "dropping-particle" : "", "family" : "Magnus", "given" : "Per", "non-dropping-particle" : "", "parse-names" : false, "suffix" : "" }, { "dropping-particle" : "", "family" : "Veierod", "given" : "Marit", "non-dropping-particle" : "", "parse-names" : false, "suffix" : "" }, { "dropping-particle" : "", "family" : "Bakketeig", "given" : "Leiv S", "non-dropping-particle" : "", "parse-names" : false, "suffix" : "" } ], "container-title" : "Int J Epidem", "id" : "ITEM-4", "issue" : "4", "issued" : { "date-parts" : [ [ "1995" ] ] }, "page" : "813-820", "publisher" : "Oxford University Press", "title" : "Impact on Sexually Transmitted Disease Spread of Increased Condom Use by Young Females, 1987\u20131992", "type" : "article-journal", "volume" : "24" }, "uris" : [ "http://www.mendeley.com/documents/?uuid=fc5b02b4-bb3e-4e0f-9e83-3adac47bbe37" ] }, { "id" : "ITEM-5", "itemData" : { "ISSN" : "1368-4973", "PMID" : "17012515", "abstract" : "BACKGROUND In sub-Saharan Africa, gonococcal and chlamydial infections are usually managed using the syndromic approach. However, many infections are asymptomatic in women, and the syndromic algorithm has poor sensitivity and specificity for infections caused by Neisseria gonorrhoeae (Ng) and Chlamydia trachomatis (Ct). Because of this, rapid point of care (POC) tests for Ct/Ng could improve sexually transmitted infection (STI) management in women. This study uses mathematical modelling to estimate the incremental cost effectiveness of using POC tests to diagnose Ng/Ct instead of the current syndromic approach used by the SIDA2 HIV/STI prevention project for female sex workers in Cotonou, Benin. METHODS A dynamic mathematical model was used with data from Cotonou to estimate the HIV impact of the existing SIDA2 project (1995-8), and to project how impact would change if POC tests had been used. As observed in test evaluations, the POC tests were assumed to have high specificity, but a range of sensitivities. The incremental economic cost effectiveness of using POC tests was modelled using data on intervention costs and an evaluation of an Ng POC test in Cotonou in 2004. All costs were in 2004 US dollars. RESULTS The model estimated the STI treatment aspect of the intervention averted 18 553 Ng/Ct and 359 HIV infections over 4 years when the syndromic approach was used. In contrast, if Ng/Ct had been diagnosed with a 70-80% sensitive and 95% specific POC test then 24-31% fewer clinic attenders would have been treated, 40-60% more Ng/Ct and HIV infections would have been averted, and the incremental cost effectiveness of using them would have been 107-151 dollars per HIV infection averted if the POC tests cost 2 dollars and 58-81 dollars if they cost 1 dollar. CONCLUSIONS POC tests can be a cost effective strategy for substantially increasing the impact on HIV transmission, and decreasing the degree of inappropriate treatment of STI treatment interventions that use syndromic management to diagnose Ng/Ct.", "author" : [ { "dropping-particle" : "", "family" : "Vickerman", "given" : "P", "non-dropping-particle" : "", "parse-names" : false, "suffix" : "" }, { "dropping-particle" : "", "family" : "Watts", "given" : "C", "non-dropping-particle" : "", "parse-names" : false, "suffix" : "" }, { "dropping-particle" : "", "family" : "Peeling", "given" : "R W", "non-dropping-particle" : "", "parse-names" : false, "suffix" : "" }, { "dropping-particle" : "", "family" : "Mabey", "given" : "D", "non-dropping-particle" : "", "parse-names" : false, "suffix" : "" }, { "dropping-particle" : "", "family" : "Alary", "given" : "M", "non-dropping-particle" : "", "parse-names" : false, "suffix" : "" } ], "container-title" : "Sex Transm Infect", "id" : "ITEM-5", "issue" : "5", "issued" : { "date-parts" : [ [ "2006", "10" ] ] }, "page" : "403-12", "title" : "Modelling the cost effectiveness of rapid point of care diagnostic tests for the control of HIV and other sexually transmitted infections among female sex workers.", "type" : "article-journal", "volume" : "82" }, "uris" : [ "http://www.mendeley.com/documents/?uuid=34653315-add2-4125-a9d5-d49b26f46065" ] }, { "id" : "ITEM-6", "itemData" : { "ISSN" : "1932-6203", "PMID" : "23251534", "abstract" : "Partner notification (PN or contact tracing) is an important aspect of treating bacterial sexually transmitted infections (STIs), such as Chlamydia trachomatis. It facilitates the identification of new infected cases that can be treated through individual case management. PN also acts indirectly by limiting onward transmission in the general population. However, the impact of PN, both at the level of individuals and the population, remains unclear. Since it is difficult to study the effects of PN empirically, mathematical and computational models are useful tools for investigating its potential as a public health intervention. To this end, we developed an individual-based modeling framework called Rstisim. It allows the implementation of different models of STI transmission with various levels of complexity and the reconstruction of the complete dynamic sexual partnership network over any time period. A key feature of this framework is that we can trace an individual's partnership history in detail and investigate the outcome of different PN strategies for C. trachomatis. For individual case management, the results suggest that notifying three or more partners from the preceding 18 months yields substantial numbers of new cases. In contrast, the successful treatment of current partners is most important for preventing re-infection of index cases and reducing further transmission of C. trachomatis at the population level. The findings of this study demonstrate the difference between individual and population level outcomes of public health interventions for STIs.", "author" : [ { "dropping-particle" : "", "family" : "Althaus", "given" : "Christian L", "non-dropping-particle" : "", "parse-names" : false, "suffix" : "" }, { "dropping-particle" : "", "family" : "Heijne", "given" : "Janneke C M", "non-dropping-particle" : "", "parse-names" : false, "suffix" : "" }, { "dropping-particle" : "", "family" : "Herzog", "given" : "Sereina A", "non-dropping-particle" : "", "parse-names" : false, "suffix" : "" }, { "dropping-particle" : "", "family" : "Roellin", "given" : "Adrian", "non-dropping-particle" : "", "parse-names" : false, "suffix" : "" }, { "dropping-particle" : "", "family" : "Low", "given" : "Nicola", "non-dropping-particle" : "", "parse-names" : false, "suffix" : "" } ], "container-title" : "PLoS ONE", "id" : "ITEM-6", "issue" : "12", "issued" : { "date-parts" : [ [ "2012" ] ] }, "page" : "e51438", "title" : "Individual and population level effects of partner notification for Chlamydia trachomatis.", "type" : "article-journal", "volume" : "7" }, "uris" : [ "http://www.mendeley.com/documents/?uuid=44fbd593-42c5-44d8-b09b-d3a92ac88f8b" ] }, { "id" : "ITEM-7", "itemData" : { "ISSN" : "0148-5717", "PMID" : "16601656", "abstract" : "OBJECTIVE To estimate the incremental effects and costs of a home sampling screening approach for Chlamydia trachomatis over the current in-office screening practice in Denmark. GOALS To assess the effect of a new screening strategy. STUDY DESIGN A dynamic Monte Carlo model estimated prevalence and incidence over 10 years for a home sampling screening program and the current in-office screening. Subsequently, the incremental number of major outcomes averted (MOA) and the related direct and indirect costs were estimated. RESULTS Infection prevalence after 10 years was 1.0% with a home sampling program and 4.2% with the current in-office screening practice. The total costs per MOA reached 3186 US dollars during the first year of the home sampling strategy, but in year 4, the accumulated indirect costs offset the direct costs, and the program henceforth saved society costs. CONCLUSIONS Home sampling should be considered a relevant alternative to the current practice of in-office screening.", "author" : [ { "dropping-particle" : "", "family" : "Andersen", "given" : "Berit", "non-dropping-particle" : "", "parse-names" : false, "suffix" : "" }, { "dropping-particle" : "", "family" : "Gundgaard", "given" : "Jens", "non-dropping-particle" : "", "parse-names" : false, "suffix" : "" }, { "dropping-particle" : "", "family" : "Kretzschmar", "given" : "Mirjam", "non-dropping-particle" : "", "parse-names" : false, "suffix" : "" }, { "dropping-particle" : "", "family" : "Olsen", "given" : "Jens", "non-dropping-particle" : "", "parse-names" : false, "suffix" : "" }, { "dropping-particle" : "", "family" : "Welte", "given" : "Robert", "non-dropping-particle" : "", "parse-names" : false, "suffix" : "" }, { "dropping-particle" : "", "family" : "Oster-Gaard", "given" : "Lars", "non-dropping-particle" : "", "parse-names" : false, "suffix" : "" } ], "container-title" : "Sex Transm Dis", "id" : "ITEM-7", "issue" : "7", "issued" : { "date-parts" : [ [ "2006", "7" ] ] }, "page" : "407-15", "title" : "Prediction of costs, effectiveness, and disease control of a population-based program using home sampling for diagnosis of urogenital Chlamydia trachomatis infections", "type" : "article-journal", "volume" : "33" }, "uris" : [ "http://www.mendeley.com/documents/?uuid=ad4655e6-1796-4a64-b0b1-a55b81b1875a" ] }, { "id" : "ITEM-8", "itemData" : { "ISSN" : "1742-4682", "PMID" : "24476335", "abstract" : "Transmission dynamic models linked to economic analyses often form part of the decision making process when introducing new chlamydia screening interventions. Outputs from these transmission dynamic models can vary depending on the values of the parameters used to describe the infection. Therefore these values can have an important influence on policy and resource allocation. The risk of progression from infection to pelvic inflammatory disease has been extensively studied but the parameters which govern the transmission dynamics are frequently neglected. We conducted a systematic review of transmission dynamic models linked to economic analyses of chlamydia screening interventions to critically assess the source and variability of the proportion of infections that are asymptomatic, the duration of infection and the transmission probability. We identified nine relevant studies in Pubmed, Embase and the Cochrane database. We found that there is a wide variation in their natural history parameters, including an absolute difference in the proportion of asymptomatic infections of 25% in women and 75% in men, a six-fold difference in the duration of asymptomatic infection and a four-fold difference in the per act transmission probability. We consider that much of this variation can be explained by a lack of consensus in the literature. We found that a significant proportion of parameter values were referenced back to the early chlamydia literature, before the introduction of nucleic acid modes of diagnosis and the widespread testing of asymptomatic individuals. In conclusion, authors should use high quality contemporary evidence to inform their parameter values, clearly document their assumptions and make appropriate use of sensitivity analysis. This will help to make models more transparent and increase their utility to policy makers.", "author" : [ { "dropping-particle" : "", "family" : "Davies", "given" : "Bethan", "non-dropping-particle" : "", "parse-names" : false, "suffix" : "" }, { "dropping-particle" : "", "family" : "Anderson", "given" : "Sarah-Jane", "non-dropping-particle" : "", "parse-names" : false, "suffix" : "" }, { "dropping-particle" : "", "family" : "Turner", "given" : "Katy M E", "non-dropping-particle" : "", "parse-names" : false, "suffix" : "" }, { "dropping-particle" : "", "family" : "Ward", "given" : "Helen", "non-dropping-particle" : "", "parse-names" : false, "suffix" : "" } ], "container-title" : "Theor Biol Med Model", "id" : "ITEM-8", "issued" : { "date-parts" : [ [ "2014" ] ] }, "page" : "8", "title" : "How robust are the natural history parameters used in chlamydia transmission dynamic models? A systematic review.", "type" : "article-journal", "volume" : "11" }, "uris" : [ "http://www.mendeley.com/documents/?uuid=f90fe104-71cf-4538-a950-a8847e13cd93" ] }, { "id" : "ITEM-9", "itemData" : { "ISSN" : "1472-3263", "PMID" : "22683893", "abstract" : "OBJECTIVES The objective of this study was to determine the optimal time interval for a repeated Chlamydia trachomatis (chlamydia) test. METHODS The authors used claims data for US women aged 15-25 years who were enrolled in commercial health insurance plans in the MarketScan database between 2002 and 2006. The authors determined the numbers of initial positive and negative tests that were followed by a repeated test and the positivity of repeated tests. The authors used a dynamic transmission pair model that reflects the partnership formation and separation processes in 15-25 year olds to determine the time course of repeated infections in women under different levels of notifying the current partner. The authors then explored the additional impact of repeated testing uptake on reducing chlamydia prevalence. RESULTS 40% (4949/12 413) of positive tests were followed by a repeated test compared with 22% (89 119/402 659) of negative tests at any time. Positivity of repeated tests followed by an initial positive test was high: 15% (736) after a positive test versus 3% (2886) after a negative test. The transmission model showed a peak in repeated infections between 2 and 5 months after treatment. For a chlamydia testing uptake of 10% per year, the additional impact of repeated testing on reducing chlamydia population prevalence was modest. CONCLUSIONS The mathematical model predictions support the recommended interval for repeat chlamydia testing. This study provides information that can be used to design randomised controlled trials to determine more effective interventions to prevent chlamydial reinfection.", "author" : [ { "dropping-particle" : "", "family" : "Heijne", "given" : "Janneke Cornelia Maria", "non-dropping-particle" : "", "parse-names" : false, "suffix" : "" }, { "dropping-particle" : "", "family" : "Herzog", "given" : "Sereina Annik", "non-dropping-particle" : "", "parse-names" : false, "suffix" : "" }, { "dropping-particle" : "", "family" : "Althaus", "given" : "Christian Lorenz", "non-dropping-particle" : "", "parse-names" : false, "suffix" : "" }, { "dropping-particle" : "", "family" : "Tao", "given" : "Guoyu", "non-dropping-particle" : "", "parse-names" : false, "suffix" : "" }, { "dropping-particle" : "", "family" : "Kent", "given" : "Charlotte Kathleen", "non-dropping-particle" : "", "parse-names" : false, "suffix" : "" }, { "dropping-particle" : "", "family" : "Low", "given" : "Nicola", "non-dropping-particle" : "", "parse-names" : false, "suffix" : "" } ], "container-title" : "Sex Transm Infect", "id" : "ITEM-9", "issue" : "1", "issued" : { "date-parts" : [ [ "2013", "2" ] ] }, "page" : "57-62", "title" : "Insights into the timing of repeated testing after treatment for Chlamydia trachomatis: data and modelling study.", "type" : "article-journal", "volume" : "89" }, "uris" : [ "http://www.mendeley.com/documents/?uuid=9698cc20-2eec-4f3d-a54d-c48f804eb8ae" ] }, { "id" : "ITEM-10",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"ITEM-10", "issued" : { "date-parts" : [ [ "2013" ] ] }, "page" : "188", "title" : "Population movement can sustain STI prevalence in remote Australian indigenous communities.", "type" : "article-journal", "volume" : "13" }, "uris" : [ "http://www.mendeley.com/documents/?uuid=439c8ade-8864-4f5e-9dff-966b3d367e00" ] }, { "id" : "ITEM-11", "itemData" : { "ISSN" : "1537-4521", "PMID" : "22504590", "abstract" : "OBJECTIVES Model impact of increasing screening and partner notification (PN) on chlamydia positivity. METHODS We used a stochastic simulation model describing pair formation and dissolution in an age-structured heterosexual population. The model accounts for steady, casual, and concurrent partnerships and a highly sexually active core group. The model used existing sexual behavior data from the United States and was validated using chlamydia positivity data from Region X (Alaska, Idaho, Oregon, Washington). A screening program with a coverage rate of 20% was implemented among women aged 15 to 24 years. After 10 years, we increased screening coverage to 35%, 50%, and 65% and partner treatment rates from 20% to 40% and 55%. Finally, we included male screening (aged 15-24, screening coverage: 20% and 35%, partner treatment: 25% and 40%). We analyzed the effects on chlamydia positivity in women and the frequency of reinfection 6 months after treatment. RESULTS The model described the decline in positivity observed from 1988 to 1997 in Region X, given screening coverage of 20% and a 25% partner treatment rate. Increasing screening coverage from 35% to 65% resulted in incremental decreases in positivity as did increasing the PN rate; a 23% reduction in positivity was achieved by either increasing screening by 3-fold or PN by 2-fold. Adding male screening to the program had less impact than increasing screening coverage or PN among women. Increased PN and treatment reduced reinfection rates considerably. CONCLUSIONS Increasing efforts in PN may contribute at least as much to control of chlamydia infection as increasing screening coverage rates.", "author" : [ { "dropping-particle" : "", "family" : "Kretzschmar", "given" : "Mirjam", "non-dropping-particle" : "", "parse-names" : false, "suffix" : "" }, { "dropping-particle" : "", "family" : "Satterwhite", "given" : "Catherine", "non-dropping-particle" : "", "parse-names" : false, "suffix" : "" }, { "dropping-particle" : "", "family" : "Leichliter", "given" : "Jami", "non-dropping-particle" : "", "parse-names" : false, "suffix" : "" }, { "dropping-particle" : "", "family" : "Berman", "given" : "Stuart", "non-dropping-particle" : "", "parse-names" : false, "suffix" : "" } ], "container-title" : "Sex Transm Dis", "id" : "ITEM-11", "issue" : "5", "issued" : { "date-parts" : [ [ "2012", "5" ] ] }, "page" : "325-31", "title" : "Effects of screening and partner notification on Chlamydia positivity in the United States: a modeling study.", "type" : "article-journal", "volume" : "39" }, "uris" : [ "http://www.mendeley.com/documents/?uuid=9e28b657-b832-4f92-822f-ede371cccbda" ] }, { "id" : "ITEM-12", "itemData" : { "ISSN" : "0002-9262", "PMID" : "11159151", "abstract" : "The design of a screening program for asymptomatic genital infections with Chlamydia trachomatis, requires decisions about which sex or age group should be targeted and whether partner referral should be included in the program. To investigate the effects of various screening programs on the prevalence and incidence of asymptomatic C. trachomatis infections in women, in May 1996 to April 1997 in Bilthoven, the Netherlands, the authors used a stochastic simulation model for C. trachomatis transmission in an age-structured, heterosexual population with a sexually highly active core group. Different screening scenarios were implemented over a time period of 10 years. Prevalence, incidence, and the fraction of infected persons found by partner referral were computed. Through screening of men and women between ages 15 and 24 years (baseline scenario), the prevalence of asymptomatic infections in women could be reduced from 4.2% to 1.4% in 10 years. Increasing the age range of screening up to ages 29 or 34 years led to prevalences of 0.4% and 0.06%, respectively, after 10 years. About 28% of all infected persons were found via partner referral. There are considerable indirect positive effects of screening on those population groups that are not included in the screening because of the reduced risk of becoming infected. Partner referral contributes substantially to prevalence reduction.", "author" : [ { "dropping-particle" : "", "family" : "Kretzschmar", "given" : "M", "non-dropping-particle" : "", "parse-names" : false, "suffix" : "" }, { "dropping-particle" : "", "family" : "Welte", "given" : "R", "non-dropping-particle" : "", "parse-names" : false, "suffix" : "" }, { "dropping-particle" : "", "family" : "Hoek", "given" : "A", "non-dropping-particle" : "van den", "parse-names" : false, "suffix" : "" }, { "dropping-particle" : "", "family" : "Postma", "given" : "M J", "non-dropping-particle" : "", "parse-names" : false, "suffix" : "" } ], "container-title" : "Am J Epidemiol", "id" : "ITEM-12", "issue" : "1", "issued" : { "date-parts" : [ [ "2001", "1", "1" ] ] }, "page" : "90-101", "title" : "Comparative model-based analysis of screening programs for Chlamydia trachomatis infections.", "type" : "article-journal", "volume" : "153" }, "uris" : [ "http://www.mendeley.com/documents/?uuid=37158024-4fed-4aa7-8960-1c7d1c10b124" ] }, { "id" : "ITEM-13", "itemData" : { "ISSN" : "0148-5717", "PMID" : "16041248", "abstract" : "OBJECTIVE The objective of this study was to assess the impact of modeling type on the economic evaluation of screening programs for asymptomatic Chlamydia trachomatis infections. STUDY We compared a stochastic network simulation model (dynamic model) with a decision analysis model (static model) for estimating the cost-effectiveness of an opportunistic screening program. The influence of the model type on the required data, the computed results, and the sensitivity of model parameters were investigated. RESULTS When compared with static modeling, dynamic modeling yielded different cost-effectiveness ratios and identified other optimal screening strategies as it considers changes in the force of infection caused by screening. However, it is more complex, data- and time-demanding, and more sensitive to some parameters affecting the force of infection than static modeling. CONCLUSIONS Dynamic models should be applied for the economic evaluation of prevention measures that have the potential to lower the force of infection such as large-scale chlamydial screening programs.", "author" : [ { "dropping-particle" : "", "family" : "Welte", "given" : "Robert", "non-dropping-particle" : "", "parse-names" : false, "suffix" : "" }, { "dropping-particle" : "", "family" : "Postma", "given" : "Maarten", "non-dropping-particle" : "", "parse-names" : false, "suffix" : "" }, { "dropping-particle" : "", "family" : "Leidl", "given" : "Reiner", "non-dropping-particle" : "", "parse-names" : false, "suffix" : "" }, { "dropping-particle" : "", "family" : "Kretzschmar", "given" : "Mirjam", "non-dropping-particle" : "", "parse-names" : false, "suffix" : "" } ], "container-title" : "Sex Transm Dis", "id" : "ITEM-13", "issue" : "8", "issued" : { "date-parts" : [ [ "2005", "8" ] ] }, "page" : "474-83", "title" : "Costs and effects of chlamydial screening: dynamic versus static modeling.", "type" : "article-journal", "volume" : "32" }, "uris" : [ "http://www.mendeley.com/documents/?uuid=450d2aca-0702-33b7-a297-9c0c2cb83c3b", "http://www.mendeley.com/documents/?uuid=e09e3f5e-a85f-4dde-85a0-b1861d31674c" ] }, { "id" : "ITEM-14", "itemData" : { "ISSN" : "1742-4682", "PMID" : "16426453", "abstract" : "BACKGROUND A national chlamydia screening programme is currently being rolled out in the UK and other countries. However, much of the epidemiology remains poorly understood. In this paper we present a stochastic, individual based, dynamic sexual network model of chlamydia transmission and its parameterisation. Mathematical models provide a theoretical framework for understanding the key epidemiological features of chlamydia: sexual behaviour, health care seeking and transmission dynamics. RESULTS The model parameters were estimated either directly or by systematic fitting to a variety of appropriate data sources. The fitted model was representative of sexual behaviour, chlamydia epidemiology and health care use in England. We were able to recapture the observed age distribution of chlamydia prevalence. CONCLUSION Estimating parameters for models of sexual behaviour and transmission of chlamydia is complex. Most of the parameter values are highly correlated, highly variable and there is little empirical evidence to inform estimates. We used a novel approach to estimate the rate of active treatment seeking, by combining data sources, which improved the credibility of the model results. The model structure is flexible and is broadly applicable to other developed world settings and provides a practical tool for public health decision makers.", "author" : [ { "dropping-particle" : "", "family" : "Turner", "given" : "Katherine M E", "non-dropping-particle" : "", "parse-names" : false, "suffix" : "" }, { "dropping-particle" : "", "family" : "Adams", "given" : "Elisabeth J", "non-dropping-particle" : "", "parse-names" : false, "suffix" : "" }, { "dropping-particle" : "", "family" : "Gay", "given" : "Nigel", "non-dropping-particle" : "", "parse-names" : false, "suffix" : "" }, { "dropping-particle" : "", "family" : "Ghani", "given" : "Azra C", "non-dropping-particle" : "", "parse-names" : false, "suffix" : "" }, { "dropping-particle" : "", "family" : "Mercer", "given" : "Catherine", "non-dropping-particle" : "", "parse-names" : false, "suffix" : "" }, { "dropping-particle" : "", "family" : "Edmunds", "given" : "W John", "non-dropping-particle" : "", "parse-names" : false, "suffix" : "" } ], "container-title" : "Theor Biol Med Model", "id" : "ITEM-14", "issued" : { "date-parts" : [ [ "2006" ] ] }, "page" : "3", "title" : "Developing a realistic sexual network model of chlamydia transmission in Britain.", "type" : "article-journal", "volume" : "3" }, "uris" : [ "http://www.mendeley.com/documents/?uuid=d5089e58-930f-47f0-8958-55ecbfb070a5" ] }, { "id" : "ITEM-15",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"ITEM-15",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"&lt;sup&gt;40\u201354&lt;/sup&gt;", "plainTextFormattedCitation" : "40\u201354", "previouslyFormattedCitation" : "&lt;sup&gt;40\u201354&lt;/sup&gt;"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40–54</w:t>
      </w:r>
      <w:r w:rsidRPr="0024409C">
        <w:rPr>
          <w:rFonts w:ascii="Helvetica Neue" w:hAnsi="Helvetica Neue"/>
        </w:rPr>
        <w:fldChar w:fldCharType="end"/>
      </w:r>
      <w:r w:rsidRPr="0024409C">
        <w:rPr>
          <w:rFonts w:ascii="Helvetica Neue" w:hAnsi="Helvetica Neue"/>
        </w:rPr>
        <w:t xml:space="preserve"> with a wider range of 0.025 to 0.6.</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"1552-3926", "PMID" : "22201639", "abstract" : "A mathematical model of HIV/sexually transmitted infections (STI) transmission was used to examine how linearity or nonlinearity in the relationship between the number of unprotected sex acts (or the number of sex partners) and the risk of acquiring HIV or a highly infectious STI (such as gonorrhea or chlamydia) affects the utility of sexual behavior change measures as indicators of the effectiveness of HIV/STI risk-reduction interventions. Findings indicate that the risk of acquiring HIV through vaginal intercourse is essentially a linear function of the number of unprotected sex acts and is nearly independent of the number of sex partners. Consequently, the number of unprotected sex acts is an excellent marker for the risk of acquiring HIV through vaginal intercourse, whereas the number of sex partners is largely uninformative. In general, the number of unprotected sex acts is not an adequate marker for the risk of acquiring a highly infectious STI due to the highly nonlinear per act transmission dynamics of these STIs. The number of sex partners is a reasonable indicator of STI risk only under highly circumscribed conditions. A theoretical explanation for this pattern of results is provided. The contrasting extent to which HIV and highly infectious STIs deviate from the linearity assumption that underlies sexual behavior outcome measures has important implications for the use of these measures to assess the effectiveness of HIV/STI risk-reduction interventions.", "author" : [ { "dropping-particle" : "", "family" : "Pinkerton", "given" : "Steven D", "non-dropping-particle" : "", "parse-names" : false, "suffix" : "" }, { "dropping-particle" : "", "family" : "Chesson", "given" : "Harrell W", "non-dropping-particle" : "", "parse-names" : false, "suffix" : "" }, { "dropping-particle" : "", "family" : "Crosby", "given" : "Richard A", "non-dropping-particle" : "", "parse-names" : false, "suffix" : "" }, { "dropping-particle" : "", "family" : "Layde", "given" : "Peter M", "non-dropping-particle" : "", "parse-names" : false, "suffix" : "" } ], "container-title" : "Evaluation review", "id" : "ITEM-2", "issue" : "5", "issued" : { "date-parts" : [ [ "2011", "10" ] ] }, "page" : "550-65", "title" : "Linearity and nonlinearity in HIV/STI transmission: implications for the evaluation of sexual risk reduction interventions.", "type" : "article-journal", "volume" : "35" }, "uris" : [ "http://www.mendeley.com/documents/?uuid=2aa0763d-848f-3348-90c5-3f86a6c79f36", "http://www.mendeley.com/documents/?uuid=ba33c3b9-70d4-4605-87be-949d735dc67a" ] }, { "id" : "ITEM-3", "itemData" : { "ISSN" : "0265-0746", "PMID" : "1517673", "abstract" : "Sexually transmitted diseases such as gonorrhoea are a significant cause of infertility in women when the infection is untreated. They have the potential to alter human population growth rates in many developing countries where sexually transmitted diseases are prevalent due to limited public health facilities for diagnosis and treatment. The authors develop a simple model describing the conditions under which such a disease can exist in a growing population in which sexual partners are chosen at random by proportionate mixing. Using the model, the impact that such a disease could have for a range of possible parameters is examined. Then a full parameter set for gonorrhoea in a developing country is estimated. Analysis demonstrates the significant influence gonococcal infection may have in reducing population growth rate in some communities. For example, the simple model predicts that a prevalence of 20% in sexually active adults results in a 50% reduction in the population growth rate. Finally, the authors discuss how potential control initiatives may change the parameter values that determine transmission and alter the demographic impact of gonorrhoea.", "author" : [ { "dropping-particle" : "", "family" : "Swinton", "given" : "J", "non-dropping-particle" : "", "parse-names" : false, "suffix" : "" }, { "dropping-particle" : "", "family" : "Garnett", "given" : "G P",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"ITEM-3", "issue" : "2", "issued" : { "date-parts" : [ [ "1992" ] ] }, "page" : "107-26", "title" : "Gonococcal infection, infertility, and population growth: I. Endemic states in behaviourally homogeneous growing populations.", "type" : "article-journal", "volume" : "9" }, "uris" : [ "http://www.mendeley.com/documents/?uuid=54b6137f-184c-3b3a-a9e5-1d7a30ac7f97", "http://www.mendeley.com/documents/?uuid=a9f6bed3-5634-43ba-b20e-a0b8932feab2" ] }, { "id" : "ITEM-4",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"ITEM-4",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"ITEM-5", "itemData" : { "ISSN" : "0022-1899", "PMID" : "19432550", "abstract" : "BACKGROUND We investigated the likely impact of vaccines on the prevalence of and morbidity due to Chlamydia trachomatis (chlamydia) infections in heterosexual populations. METHODS An individual-based mathematical model of chlamydia transmission was developed and linked to the infection course in chlamydia-infected individuals. The model describes the impact of a vaccine through its effect on the chlamydial load required to infect susceptible individuals (the \"critical load\"), the load in infected individuals, and their subsequent infectiousness. The model was calibrated using behavioral, biological, and clinical data. RESULTS A fully protective chlamydia vaccine administered before sexual debut can theoretically eliminate chlamydia epidemics within 20 years. Partially effective vaccines can still greatly reduce the incidence of chlamydia infection. Vaccines should aim primarily to increase the critical load in susceptible individuals and secondarily to decrease the peak load and/or the duration of infection in vaccinated individuals who become infected. Vaccinating both sexes has a beneficial impact on chlamydia-related morbidity, but targeting women is more effective than targeting men. CONCLUSIONS Our findings can be used in laboratory settings to evaluate vaccine candidates in animal models, by regulatory bodies in the promotion of candidates for clinical trials, and by public health authorities in deciding on optimal intervention strategies.", "author" : [ { "dropping-particle" : "", "family" : "Gray", "given" : "Richard T", "non-dropping-particle" : "", "parse-names" : false, "suffix" : "" }, { "dropping-particle" : "", "family" : "Beagley", "given" : "Kenneth W", "non-dropping-particle" : "", "parse-names" : false, "suffix" : "" }, { "dropping-particle" : "", "family" : "Timms", "given" : "Peter", "non-dropping-particle" : "", "parse-names" : false, "suffix" : "" }, { "dropping-particle" : "", "family" : "Wilson", "given" : "David P", "non-dropping-particle" : "", "parse-names" : false, "suffix" : "" } ], "container-title" : "J Inf Dis", "id" : "ITEM-5", "issue" : "11", "issued" : { "date-parts" : [ [ "2009", "6" ] ] }, "page" : "1680-8", "title" : "Modeling the impact of potential vaccines on epidemics of sexually transmitted Chlamydia trachomatis infection.", "type" : "article-journal", "volume" : "199" }, "uris" : [ "http://www.mendeley.com/documents/?uuid=30257bd5-5f99-38b8-a1d8-dabd11bf07b4", "http://www.mendeley.com/documents/?uuid=b8f7da0c-a8c0-45b8-b274-a0d3b3bc2eb6" ] }, { "id" : "ITEM-6", "itemData" : { "ISSN" : "1553-7358", "PMID" : "22570594", "abstract" : "There are four major quantities that are measured in sexual behavior surveys that are thought to be especially relevant for the performance of sexual network models in terms of disease transmission. These are (i) the cumulative distribution of lifetime number of partners, (ii) the distribution of partnership durations, (iii) the distribution of gap lengths between partnerships, and (iv) the number of recent partners. Fitting a network model to these quantities as measured in sexual behavior surveys is expected to result in a good description of Chlamydia trachomatis transmission in terms of the heterogeneity of the distribution of infection in the population. Here we present a simulation model of a sexual contact network, in which we explored the role of behavioral heterogeneity of simulated individuals on the ability of the model to reproduce population-level sexual survey data from the Netherlands and UK. We find that a high level of heterogeneity in the ability of individuals to acquire and maintain (additional) partners strongly facilitates the ability of the model to accurately simulate the powerlaw-like distribution of the lifetime number of partners, and the age at which these partnerships were accumulated, as surveyed in actual sexual contact networks. Other sexual network features, such as the gap length between partnerships and the partnership duration, could-at the current level of detail of sexual survey data against which they were compared-be accurately modeled by a constant value (for transitional concurrency) and by exponential distributions (for partnership duration). Furthermore, we observe that epidemiological measures on disease prevalence in survey data can be used as a powerful tool for building accurate sexual contact networks, as these measures provide information on the level of mixing between individuals of different levels of sexual activity in the population, a parameter that is hard to acquire through surveying individuals.", "author" : [ { "dropping-particle" : "V", "family" : "Schmid", "given" : "Boris", "non-dropping-particle" : "", "parse-names" : false, "suffix" : "" }, { "dropping-particle" : "", "family" : "Kretzschmar", "given" : "Mirjam", "non-dropping-particle" : "", "parse-names" : false, "suffix" : "" } ], "container-title" : "PLoS Comput Biol", "id" : "ITEM-6", "issue" : "4", "issued" : { "date-parts" : [ [ "2012" ] ] }, "page" : "e1002470", "title" : "Determinants of sexual network structure and their impact on cumulative network measures.", "type" : "article-journal", "volume" : "8" }, "uris" : [ "http://www.mendeley.com/documents/?uuid=5decc760-231c-3da7-ae50-cbe56f48b440", "http://www.mendeley.com/documents/?uuid=a1e755bd-090b-4a64-adb0-52e0b3ce18c7" ] }, { "id" : "ITEM-7", "itemData" : { "ISSN" : "1472-3263", "PMID" : "24273127", "abstract" : "OBJECTIVES To estimate the costs and benefits of clinical pathways incorporating a point of care (POC) nucleic acid amplification test (NAAT) for chlamydia and gonorrhoea in genitourinary medicine (GUM) clinics compared with standard off-site laboratory testing. METHOD We simulated 1.2 million GUM clinic attendees in England. A simulation in Microsoft Excel was developed to compare existing standard pathways of management for chlamydia and gonorrhoea with a POC NAAT. We conducted scenario analyses to evaluate the robustness of the model findings. The primary outcome was the incremental cost-effectiveness ratio. Secondary outcomes included the number of inappropriate treatments, complications and transmissions averted. RESULTS The baseline cost of using the point of POC NAAT was \u00a3103.9 million compared with \u00a3115.6 million for standard care. The POC NAAT was also associated with a small increase of 46 quality adjusted life years, making the new test both more effective and cheaper. Over 95 000 inappropriate treatments might be avoided by using a POC NAAT. Patients receive diagnosis and treatment on the same day as testing, which may also prevent 189 cases of pelvic inflammatory disease and 17 561 onward transmissions annually. DISCUSSION Replacing standard laboratory tests for chlamydia and gonorrhoea with a POC test could be cost saving and patients would benefit from more accurate diagnosis and less unnecessary treatment. Overtreatment currently accounts for about a tenth of the reported treatments for chlamydia and gonorrhoea and POC NAATs would effectively eliminate the need for presumptive treatment.", "author" : [ { "dropping-particle" : "", "family" : "Turner", "given" : "Katherine M E", "non-dropping-particle" : "", "parse-names" : false, "suffix" : "" }, { "dropping-particle" : "", "family" : "Round", "given" : "Jeff", "non-dropping-particle" : "", "parse-names" : false, "suffix" : "" }, { "dropping-particle" : "", "family" : "Horner", "given" : "Patrick", "non-dropping-particle" : "", "parse-names" : false, "suffix" : "" }, { "dropping-particle" : "", "family" : "Macleod", "given" : "John", "non-dropping-particle" : "", "parse-names" : false, "suffix" : "" }, { "dropping-particle" : "", "family" : "Goldenberg", "given" : "Simon", "non-dropping-particle" : "", "parse-names" : false, "suffix" : "" }, { "dropping-particle" : "", "family" : "Deol", "given" : "Arminder", "non-dropping-particle" : "", "parse-names" : false, "suffix" : "" }, { "dropping-particle" : "", "family" : "Adams", "given" : "Elisabeth J", "non-dropping-particle" : "", "parse-names" : false, "suffix" : "" } ], "container-title" : "Sex Transm Infect", "id" : "ITEM-7", "issue" : "2", "issued" : { "date-parts" : [ [ "2014", "3" ] ] }, "page" : "104-11", "title" : "An early evaluation of clinical and economic costs and benefits of implementing point of care NAAT tests for Chlamydia trachomatis and Neisseria gonorrhoea in genitourinary medicine clinics in England.", "type" : "article-journal", "volume" : "90" }, "uris" : [ "http://www.mendeley.com/documents/?uuid=a5843ce2-3049-36bd-81de-6855a2dcb6c5", "http://www.mendeley.com/documents/?uuid=839e0394-dfc6-4cc9-a76a-47483ec8b07d" ] }, { "id" : "ITEM-8", "itemData" : { "ISSN" : "1368-4973", "PMID" : "17151036", "abstract" : "BACKGROUND Several developed countries have initiated chlamydia screening programmes. Screening for a sexually transmitted infection has both direct individual and indirect population-wide effects. Mathematical models can incorporate these non-linear effects and estimate the likely impact of different screening programmes and identify areas where more data are needed. METHODS A stochastic, individual based dynamic network model, parameterised from UK screening studies and data on sexual behaviour and chlamydia epidemiology, was used to investigate the likely impact of opportunistic screening on chlamydia prevalence. Three main strategies were considered for &lt;25 year olds: (1) annual offer to women; (2) annual offer to women or if changed partner within last 6 months; (3) annual offer to men and women. Sensitivity analyses were performed for key screening parameters including uptake rate, targeted age range, percentage of partners notified, and screening interval. RESULTS Under strategy 1, continuous opportunistic screening of women &lt;25 years of age is expected to reduce the population prevalence by over 50% after 5 years. Prevalence is also expected to decrease in unscreened older women and in men. For all three strategies screening those aged over 25 results in small additional reductions in prevalence. Including men led to a faster and greater reduction in overall prevalence, but involved approximately twice as many tests as strategy 1 and 10% more than strategy 2. The frequency of attendance at healthcare sites limits the number of opportunities to screen and the effect of changing the screening interval. CONCLUSIONS The model suggests that continuous opportunistic screening at high uptake rates could significantly reduced chlamydia prevalence within a few years. Opportunistic programmes depend on regular attendance at healthcare providers, but there is a lack of high quality data on patterns of attendance. Inequalities in coverage may result in a less efficient and less equitable outcome.", "author" : [ { "dropping-particle" : "", "family" : "Turner", "given" : "K M E", "non-dropping-particle" : "", "parse-names" : false, "suffix" : "" }, { "dropping-particle" : "", "family" : "Adams", "given" : "E J", "non-dropping-particle" : "", "parse-names" : false, "suffix" : "" }, { "dropping-particle" : "", "family" : "Lamontagne", "given" : "D S", "non-dropping-particle" : "", "parse-names" : false, "suffix" : "" }, { "dropping-particle" : "", "family" : "Emmett", "given" : "L", "non-dropping-particle" : "", "parse-names" : false, "suffix" : "" }, { "dropping-particle" : "", "family" : "Baster", "given" : "K", "non-dropping-particle" : "", "parse-names" : false, "suffix" : "" }, { "dropping-particle" : "", "family" : "Edmunds", "given" : "W J", "non-dropping-particle" : "", "parse-names" : false, "suffix" : "" } ], "container-title" : "Sex Transm Infect", "id" : "ITEM-8", "issue" : "6", "issued" : { "date-parts" : [ [ "2006", "12" ] ] }, "page" : "496-502", "title" : "Modelling the effectiveness of chlamydia screening in England.", "type" : "article-journal", "volume" : "82" }, "uris" : [ "http://www.mendeley.com/documents/?uuid=3fae35ac-da4e-3e19-968e-7807db9e3f34", "http://www.mendeley.com/documents/?uuid=0adc53e8-21ac-464f-a345-005c96085f03" ] } ], "mendeley" : { "formattedCitation" : "&lt;sup&gt;55\u201362&lt;/sup&gt;", "plainTextFormattedCitation" : "55\u201362", "previouslyFormattedCitation" : "&lt;sup&gt;55\u201362&lt;/sup&gt;"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55–62</w:t>
      </w:r>
      <w:r w:rsidRPr="0024409C">
        <w:rPr>
          <w:rFonts w:ascii="Helvetica Neue" w:hAnsi="Helvetica Neue"/>
        </w:rPr>
        <w:fldChar w:fldCharType="end"/>
      </w:r>
      <w:r w:rsidRPr="0024409C">
        <w:rPr>
          <w:rFonts w:ascii="Helvetica Neue" w:hAnsi="Helvetica Neue"/>
        </w:rPr>
        <w:t xml:space="preserve"> Estimated per-act transmission risk was generally higher in non-main partnerships when models incorporated or characterized different risk estimates by partnership types.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"1932-6203", "PMID" : "23251534", "abstract" : "Partner notification (PN or contact tracing) is an important aspect of treating bacterial sexually transmitted infections (STIs), such as Chlamydia trachomatis. It facilitates the identification of new infected cases that can be treated through individual case management. PN also acts indirectly by limiting onward transmission in the general population. However, the impact of PN, both at the level of individuals and the population, remains unclear. Since it is difficult to study the effects of PN empirically, mathematical and computational models are useful tools for investigating its potential as a public health intervention. To this end, we developed an individual-based modeling framework called Rstisim. It allows the implementation of different models of STI transmission with various levels of complexity and the reconstruction of the complete dynamic sexual partnership network over any time period. A key feature of this framework is that we can trace an individual's partnership history in detail and investigate the outcome of different PN strategies for C. trachomatis. For individual case management, the results suggest that notifying three or more partners from the preceding 18 months yields substantial numbers of new cases. In contrast, the successful treatment of current partners is most important for preventing re-infection of index cases and reducing further transmission of C. trachomatis at the population level. The findings of this study demonstrate the difference between individual and population level outcomes of public health interventions for STIs.", "author" : [ { "dropping-particle" : "", "family" : "Althaus", "given" : "Christian L", "non-dropping-particle" : "", "parse-names" : false, "suffix" : "" }, { "dropping-particle" : "", "family" : "Heijne", "given" : "Janneke C M", "non-dropping-particle" : "", "parse-names" : false, "suffix" : "" }, { "dropping-particle" : "", "family" : "Herzog", "given" : "Sereina A", "non-dropping-particle" : "", "parse-names" : false, "suffix" : "" }, { "dropping-particle" : "", "family" : "Roellin", "given" : "Adrian", "non-dropping-particle" : "", "parse-names" : false, "suffix" : "" }, { "dropping-particle" : "", "family" : "Low", "given" : "Nicola", "non-dropping-particle" : "", "parse-names" : false, "suffix" : "" } ], "container-title" : "PLoS ONE", "id" : "ITEM-1", "issue" : "12", "issued" : { "date-parts" : [ [ "2012" ] ] }, "page" : "e51438", "title" : "Individual and population level effects of partner notification for Chlamydia trachomatis.", "type" : "article-journal", "volume" : "7" }, "uris" : [ "http://www.mendeley.com/documents/?uuid=44fbd593-42c5-44d8-b09b-d3a92ac88f8b" ] } ], "mendeley" : { "formattedCitation" : "&lt;sup&gt;45&lt;/sup&gt;", "plainTextFormattedCitation" : "45", "previouslyFormattedCitation" : "&lt;sup&gt;45&lt;/sup&gt;"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45</w:t>
      </w:r>
      <w:r w:rsidRPr="0024409C">
        <w:rPr>
          <w:rFonts w:ascii="Helvetica Neue" w:hAnsi="Helvetica Neue"/>
        </w:rPr>
        <w:fldChar w:fldCharType="end"/>
      </w:r>
      <w:r w:rsidRPr="0024409C">
        <w:rPr>
          <w:rFonts w:ascii="Helvetica Neue" w:hAnsi="Helvetica Neue"/>
        </w:rPr>
        <w:t xml:space="preserve"> Per-partnership transmission risk estimates ranged widely from 0.09 to 0.7,</w:t>
      </w:r>
      <w:r w:rsidRPr="0024409C">
        <w:rPr>
          <w:rFonts w:ascii="Helvetica Neue" w:hAnsi="Helvetica Neue"/>
        </w:rPr>
        <w:fldChar w:fldCharType="begin" w:fldLock="1"/>
      </w:r>
      <w:r w:rsidR="002E5A1F">
        <w:rPr>
          <w:rFonts w:ascii="Helvetica Neue" w:hAnsi="Helvetica Neue"/>
        </w:rPr>
        <w:instrText>ADDIN CSL_CITATION { "citationItems" : [ { "id" : "ITEM-1", "itemData" : { "ISSN" : "1537-4521", "PMID" : "22504608", "abstract" : "There is a lack of a common concept on how to estimate transmissibility of Chlamydia trachomatis from cross-sectional sexual partnership studies. Using a mathematical model that takes into account the dynamics of chlamydia transmission and sexual partnership formation, we report refined estimates of chlamydia transmissibility in heterosexual partnerships.", "author" : [ { "dropping-particle" : "", "family" : "Althaus", "given" : "Christian L", "non-dropping-particle" : "", "parse-names" : false, "suffix" : "" }, { "dropping-particle" : "", "family" : "Heijne", "given" : "Janneke C M", "non-dropping-particle" : "", "parse-names" : false, "suffix" : "" }, { "dropping-particle" : "", "family" : "Low", "given" : "Nicola", "non-dropping-particle" : "", "parse-names" : false, "suffix" : "" } ], "container-title" : "Sex Transm Dis", "id" : "ITEM-1", "issue" : "5", "issued" : { "date-parts" : [ [ "2012", "5" ] ] }, "page" : "402-4", "title" : "Towards more robust estimates of the transmissibility of Chlamydia trachomatis.", "type" : "article-journal", "volume" : "39" }, "uris" : [ "http://www.mendeley.com/documents/?uuid=f82eda26-4396-4abf-a07c-638091ec53b6" ] }, { "id" : "ITEM-2", "itemData" : { "ISSN" : "0148-5717", "PMID" : "11984448", "abstract" : "BACKGROUND Because many of the sexual behaviors that place individuals at risk of acquiring HIV are the same as those that place them at risk for other sexually transmitted diseases (STDs), researchers and policymakers have called for the use of non-HIV STDs as surrogate markers for HIV infection. GOALS This study examined the epidemiologic conditions under which changes in STD incidence are associated with changes in HIV incidence. STUDY DESIGN A mathematical model of HIV/STD transmission was applied to empirical data from a large HIV prevention intervention. The association between participants' HIV infection risk reduction scores and their STD risk reduction scores was measured with use of the Pearson product-moment correlation. The authors examined how the strength of association varied across different epidemiologic parameters and heterosexual behaviors. RESULTS Moderate to strong associations were noted when the infectivity of the STD was similar to the infectivity of HIV. The association was attenuated for larger STD infectivity values. The prevalence of STD infection was a less important determinant of the strength of association. Stronger associations were obtained when the number of sex partners was large or the number of sex acts was small. CONCLUSIONS Easily transmitted STDs, such as gonorrhea, are unsuitable for general use as surrogate markers for HIV infection. Hepatitis B, syphilis, and chlamydial infection have more promising epidemiologic profiles. Careful studies of STD infectivity are needed to aid in the identification of potential marker STDs.", "author" : [ { "dropping-particle" : "", "family" : "Pinkerton", "given" : "Steven D", "non-dropping-particle" : "", "parse-names" : false, "suffix" : "" }, { "dropping-particle" : "", "family" : "Layde", "given" : "Peter M", "non-dropping-particle" : "", "parse-names" : false, "suffix" : "" }, { "dropping-particle" : "", "family" : "NIMH multisite HIV prevention trial group", "given" : "", "non-dropping-particle" : "", "parse-names" : false, "suffix" : "" } ], "container-title" : "Sex Transm Dis", "id" : "ITEM-2", "issue" : "5", "issued" : { "date-parts" : [ [ "2002", "5" ] ] }, "page" : "298-307", "title" : "Using sexually transmitted disease incidence as a surrogate marker for HIV incidence in prevention trials: a modeling study.", "type" : "article-journal", "volume" : "29" }, "uris" : [ "http://www.mendeley.com/documents/?uuid=ee316a28-9acf-468c-8cc4-aa064d938629" ] }, { "id" : "ITEM-3", "itemData" : { "ISSN" : "1873-2607", "PMID" : "26952078", "abstract" : "INTRODUCTION In spite of chlamydia screening recommendations, U.S. testing coverage continues to be low. This study explored the cost-effectiveness of a patient-directed, universal, opportunistic Opt-Out Testing strategy (based on insurance coverage, healthcare utilization, and test acceptance probabilities) for all women aged 15-24 years compared with current Risk-Based Screening (30% coverage) from a societal perspective. METHODS Based on insurance coverage (80%); healthcare utilization (83%); and test acceptance (75%), the proposed Opt-Out Testing strategy would have an expected annual testing coverage of approximately 50% for sexually active women aged 15-24 years. A basic compartmental heterosexual transmission model was developed to account for population-level transmission dynamics. Two groups were assumed based on self-reported sexual activity. All model parameters were obtained from the literature. Costs and benefits were tracked over a 50-year period. The relative sensitivity of the estimated incremental cost-effectiveness ratios to the variables/parameters was determined. This study was conducted in 2014-2015. RESULTS Based on the model, the Opt-Out Testing strategy decreased the overall chlamydia prevalence by &gt;55% (2.7% to 1.2%). The Opt-Out Testing strategy was cost saving compared with the current Risk-Based Screening strategy. The estimated incremental cost-effectiveness ratio was most sensitive to the female pre-opt out prevalence, followed by the probability of female sequelae and discount rate. CONCLUSIONS The proposed Opt-Out Testing strategy was cost saving, improving health outcomes at a lower net cost than current testing. However, testing gaps would remain because many women might not have health insurance coverage, or not utilize health care.", "author" : [ { "dropping-particle" : "", "family" : "Owusu-Edusei", "given" : "Kwame", "non-dropping-particle" : "", "parse-names" : false, "suffix" : "" }, { "dropping-particle" : "", "family" : "Hoover", "given" : "Karen W", "non-dropping-particle" : "", "parse-names" : false, "suffix" : "" }, { "dropping-particle" : "", "family" : "Gift", "given" : "Thomas L", "non-dropping-particle" : "", "parse-names" : false, "suffix" : "" } ], "container-title" : "Am J Prev Med", "id" : "ITEM-3", "issue" : "2", "issued" : { "date-parts" : [ [ "2016", "8" ] ] }, "page" : "216-24", "title" : "Cost-effectiveness of opt-out chlamydia testing for high-risk young women in the US", "type" : "article-journal", "volume" : "51" }, "uris" : [ "http://www.mendeley.com/documents/?uuid=9fdf9f8a-a31a-4318-b59a-dcc965726109" ] }, { "id" : "ITEM-4", "itemData" : { "ISSN" : "1098-3015", "PMID" : "16441519", "abstract" : "OBJECTIVE To estimate the cost-effectiveness of a systematic one-off Chlamydia trachomatis (CT) screening program including partner treatment for Dutch young adults. METHODS Data on infection prevalence, participation rates, and sexual behavior were obtained from a large pilot study conducted in The Netherlands. Opposite to almost all previous economic evaluations of CT screening, we developed a dynamic Susceptible-Infected-Susceptible (SIS) model to estimate the impact of the screening program on the incidence and prevalence of CT in the population. SIS models are widely used in epidemiology of infectious diseases, for modeling the transmission dynamics over time. Subsequently, a predictive decision model was used to calculate the complications averted by the screening program. Cost-effectiveness was expressed as the net costs per major outcome averted (MOA) and was estimated in the baseline analysis and in sensitivity analysis. RESULTS The overall prevalence decreased from 1.79% to 1.05% as a result of the screening program directed at both men and women. The program costs were mainly offset by the averted costs, although not fully. Resulting net costs per MOA were 373 euro sin the baseline analysis. Sensitivity analysis showed that partner treatment and sending a reminder are important aspects improving cost-effectiveness. Additionally, restricting the screening to women only was estimated to save costs. CONCLUSIONS Our cost-effectiveness analysis shows that the Dutch society has net to pay for the prevention of CT-complications through screening young men and women. One could argue although that 373 euros per MOA presents a reasonable cost. A screening program consisting of screening women only should always be adopted from a pharmacoeconomic point of view. Our dynamic approach appreciates better the specific characteristics of an infectious disease, such as CT.", "author" : [ { "dropping-particle" : "", "family" : "Vries", "given" : "Robin", "non-dropping-particle" : "de", "parse-names" : false, "suffix" : "" }, { "dropping-particle" : "", "family" : "Bergen", "given" : "Jan E A M", "non-dropping-particle" : "van", "parse-names" : false, "suffix" : "" }, { "dropping-particle" : "", "family" : "Jong-van den Berg", "given" : "Lolkje T W", "non-dropping-particle" : "de", "parse-names" : false, "suffix" : "" }, { "dropping-particle" : "", "family" : "Postma", "given" : "Maarten J", "non-dropping-particle" : "", "parse-names" : false, "suffix" : "" }, { "dropping-particle" : "", "family" : "PILOT-CT Study Group", "given" : "", "non-dropping-particle" : "", "parse-names" : false, "suffix" : "" } ], "container-title" : "Value Health", "id" : "ITEM-4", "issue" : "1", "issued" : { "date-parts" : [ [ "2006" ] ] }, "page" : "1-11", "title" : "Systematic screening for Chlamydia trachomatis: estimating cost-effectiveness using dynamic modeling and Dutch data.", "type" : "article-journal", "volume" : "9" }, "uris" : [ "http://www.mendeley.com/documents/?uuid=e6b2746c-5513-35bc-a1ee-f7a7254cb93e", "http://www.mendeley.com/documents/?uuid=61604c03-0238-4209-a717-7a9a4a4c0970" ] }, { "id" : "ITEM-5", "itemData" : { "ISSN" : "0148-5717", "PMID" : "16041248", "abstract" : "OBJECTIVE The objective of this study was to assess the impact of modeling type on the economic evaluation of screening programs for asymptomatic Chlamydia trachomatis infections. STUDY We compared a stochastic network simulation model (dynamic model) with a decision analysis model (static model) for estimating the cost-effectiveness of an opportunistic screening program. The influence of the model type on the required data, the computed results, and the sensitivity of model parameters were investigated. RESULTS When compared with static modeling, dynamic modeling yielded different cost-effectiveness ratios and identified other optimal screening strategies as it considers changes in the force of infection caused by screening. However, it is more complex, data- and time-demanding, and more sensitive to some parameters affecting the force of infection than static modeling. CONCLUSIONS Dynamic models should be applied for the economic evaluation of prevention measures that have the potential to lower the force of infection such as large-scale chlamydial screening programs.", "author" : [ { "dropping-particle" : "", "family" : "Welte", "given" : "Robert", "non-dropping-particle" : "", "parse-names" : false, "suffix" : "" }, { "dropping-particle" : "", "family" : "Postma", "given" : "Maarten", "non-dropping-particle" : "", "parse-names" : false, "suffix" : "" }, { "dropping-particle" : "", "family" : "Leidl", "given" : "Reiner", "non-dropping-particle" : "", "parse-names" : false, "suffix" : "" }, { "dropping-particle" : "", "family" : "Kretzschmar", "given" : "Mirjam", "non-dropping-particle" : "", "parse-names" : false, "suffix" : "" } ], "container-title" : "Sex Transm Dis", "id" : "ITEM-5", "issue" : "8", "issued" : { "date-parts" : [ [ "2005", "8" ] ] }, "page" : "474-83", "title" : "Costs and effects of chlamydial screening: dynamic versus static modeling.", "type" : "article-journal", "volume" : "32" }, "uris" : [ "http://www.mendeley.com/documents/?uuid=e09e3f5e-a85f-4dde-85a0-b1861d31674c", "http://www.mendeley.com/documents/?uuid=450d2aca-0702-33b7-a297-9c0c2cb83c3b" ] } ], "mendeley" : { "formattedCitation" : "&lt;sup&gt;52,63\u201366&lt;/sup&gt;", "plainTextFormattedCitation" : "52,63\u201366", "previouslyFormattedCitation" : "&lt;sup&gt;52,63\u201366&lt;/sup&gt;"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52,63–66</w:t>
      </w:r>
      <w:r w:rsidRPr="0024409C">
        <w:rPr>
          <w:rFonts w:ascii="Helvetica Neue" w:hAnsi="Helvetica Neue"/>
        </w:rPr>
        <w:fldChar w:fldCharType="end"/>
      </w:r>
      <w:r w:rsidRPr="0024409C">
        <w:rPr>
          <w:rFonts w:ascii="Helvetica Neue" w:hAnsi="Helvetica Neue"/>
        </w:rPr>
        <w:t xml:space="preserve"> and per-day infection probabilities ranged from 0.001571 to 0.154, with higher estimates for casual partnerships relative to main partnerships.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"1522-9602", "PMID" : "23812958", "abstract" : "Using a modified one-dimensional model for the spread of an SIS disease on a network, we show that the behaviour of complex network simulations can be replicated with a simpler model. This model is then used to design optimal controls for use on the network, which would otherwise be unfeasible to obtain, resulting in information about how best to combine a population-level random intervention with one that is more targeted. This technique is used to minimise intervention costs over a short time interval with a target prevalence, and also to minimise prevalence with a specified budget. When applied to chlamydia, we find results consistent with previous work; that is maximising targeted control (contact tracing) is important to using resources effectively, while high-intensity bursts of population control (screening) are more effective than maintaining a high level of coverage.", "author" : [ { "dropping-particle" : "", "family" : "Clarke", "given" : "James", "non-dropping-particle" : "", "parse-names" : false, "suffix" : "" }, { "dropping-particle" : "", "family" : "White", "given" : "K A Jane", "non-dropping-particle" : "", "parse-names" : false, "suffix" : "" }, { "dropping-particle" : "", "family" : "Turner", "given" : "Katy", "non-dropping-particle" : "", "parse-names" : false, "suffix" : "" } ], "container-title" : "Bull Math Biol", "id" : "ITEM-1", "issue" : "10", "issued" : { "date-parts" : [ [ "2013", "10" ] ] }, "page" : "1747-77", "title" : "Approximating optimal controls for networks when there are combinations of population-level and targeted measures available: chlamydia infection as a case-study.", "type" : "article-journal", "volume" : "75" }, "uris" : [ "http://www.mendeley.com/documents/?uuid=9e713392-1194-3468-8c9c-f68ada75ebb0", "http://www.mendeley.com/documents/?uuid=b36455f4-14c8-46ca-a3d7-23ea1b621524" ] }, { "id" : "ITEM-2",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"ITEM-2", "issue" : "3", "issued" : { "date-parts" : [ [ "1996", "8" ] ] }, "page" : "306-17", "title" : "Modeling prevention strategies for gonorrhea and Chlamydia using stochastic network simulations.", "type" : "article-journal", "volume" : "144" }, "uris" : [ "http://www.mendeley.com/documents/?uuid=5b3af868-c441-32a9-bba7-3e96628e7836", "http://www.mendeley.com/documents/?uuid=d8b3bfe1-8a1d-4217-9bab-df93a86643b5" ] }, { "id" : "ITEM-3",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"ITEM-3",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"http://www.mendeley.com/documents/?uuid=79167eaa-7546-3c44-8cc8-210cd54f8e72", "http://www.mendeley.com/documents/?uuid=068ae4c2-fc1a-407c-9042-659f35956723" ] }, { "id" : "ITEM-4", "itemData" : { "ISSN" : "1932-6203", "PMID" : "23527005", "abstract" : "BACKGROUND A large trial to investigate the effectiveness of population based screening for chlamydia infections was conducted in the Netherlands in 2008-2012. The trial was register based and consisted of four rounds of screening of women and men in the age groups 16-29 years in three regions in the Netherlands. Data were collected on participation rates and positivity rates per round. A modeling study was conducted to project screening effects for various screening strategies into the future. METHODS AND FINDINGS We used a stochastic network simulation model incorporating partnership formation and dissolution, aging and a sexual life course perspective. Trends in baseline rates of chlamydia testing and treatment were used to describe the epidemiological situation before the start of the screening program. Data on participation rates was used to describe screening uptake in rural and urban areas. Simulations were used to project the effectiveness of screening on chlamydia prevalence for a time period of 10 years. In addition, we tested alternative screening strategies, such as including only women, targeting different age groups, and biennial screening. Screening reduced prevalence by about 1% in the first two screening rounds and leveled off after that. Extrapolating observed participation rates into the future indicated very low participation in the long run. Alternative strategies only marginally changed the effectiveness of screening. Higher participation rates as originally foreseen in the program would have succeeded in reducing chlamydia prevalence to very low levels in the long run. CONCLUSIONS Decreasing participation rates over time profoundly impact the effectiveness of population based screening for chlamydia infections. Using data from several consecutive rounds of screening in a simulation model enabled us to assess the future effectiveness of screening on prevalence. If participation rates cannot be kept at a sufficient level, the effectiveness of screening on prevalence will remain limited.", "author" : [ { "dropping-particle" : "V", "family" : "Schmid", "given" : "Boris", "non-dropping-particle" : "", "parse-names" : false, "suffix" : "" }, { "dropping-particle" : "", "family" : "Over", "given" : "Eelco A B", "non-dropping-particle" : "", "parse-names" : false, "suffix" : "" }, { "dropping-particle" : "", "family" : "Broek", "given" : "Ingrid V F", "non-dropping-particle" : "van den", "parse-names" : false, "suffix" : "" }, { "dropping-particle" : "", "family" : "Coul", "given" : "Eline L M", "non-dropping-particle" : "Op de", "parse-names" : false, "suffix" : "" }, { "dropping-particle" : "", "family" : "Bergen", "given" : "Jan E A M", "non-dropping-particle" : "van", "parse-names" : false, "suffix" : "" }, { "dropping-particle" : "", "family" : "Fennema", "given" : "Johan S A", "non-dropping-particle" : "", "parse-names" : false, "suffix" : "" }, { "dropping-particle" : "", "family" : "G\u00f6tz", "given" : "Hannelore M", "non-dropping-particle" : "", "parse-names" : false, "suffix" : "" }, { "dropping-particle" : "", "family" : "Hoebe", "given" : "Christian J P A", "non-dropping-particle" : "", "parse-names" : false, "suffix" : "" }, { "dropping-particle" : "", "family" : "Wit", "given" : "G Ardine", "non-dropping-particle" : "de", "parse-names" : false, "suffix" : "" }, { "dropping-particle" : "", "family" : "Sande", "given" : "Marianne A B", "non-dropping-particle" : "van der", "parse-names" : false, "suffix" : "" }, { "dropping-particle" : "", "family" : "Kretzschmar", "given" : "Mirjam E E", "non-dropping-particle" : "", "parse-names" : false, "suffix" : "" } ], "container-title" : "PloS One", "id" : "ITEM-4", "issue" : "3", "issued" : { "date-parts" : [ [ "2013" ] ] }, "page" : "e58674", "title" : "Effects of population based screening for Chlamydia infections in the Netherlands limited by declining participation rates.", "type" : "article-journal", "volume" : "8" }, "uris" : [ "http://www.mendeley.com/documents/?uuid=b7c5011a-ab95-4c43-aaa8-4cb74bf719e5" ] } ], "mendeley" : { "formattedCitation" : "&lt;sup&gt;67\u201370&lt;/sup&gt;", "plainTextFormattedCitation" : "67\u201370", "previouslyFormattedCitation" : "&lt;sup&gt;67\u201370&lt;/sup&gt;"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67–70</w:t>
      </w:r>
      <w:r w:rsidRPr="0024409C">
        <w:rPr>
          <w:rFonts w:ascii="Helvetica Neue" w:hAnsi="Helvetica Neue"/>
        </w:rPr>
        <w:fldChar w:fldCharType="end"/>
      </w:r>
      <w:r w:rsidRPr="0024409C">
        <w:rPr>
          <w:rFonts w:ascii="Helvetica Neue" w:hAnsi="Helvetica Neue"/>
        </w:rPr>
        <w:t xml:space="preserve"> In models where the direction of transmission was reported, the estimated per-act FTM CT transmission probability varied, commonly estimated as 0.5–0.8 times the MTF CT transmission probability,</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"0956-4624", "PMID" : "12803939", "abstract" : "The same sexual behaviours that transmit HIV are implicated in the transmission of certain other STDs, including chlamydia, gonorrhoea, and syphilis. Consequently, it is often assumed that preventive methods that are effective against HIV should be equally effective against other STDs. The purpose of this study was to examine this assumption. We applied a mathematical model of HIV/STD transmission to empirical data from a large HIV prevention intervention that stressed sexual behaviour change. We modelled the effects of two behavioural strategies - reducing the number of sex partners and increasing condom use-on the proportionate change in intervention participants' cumulative risk of acquiring HIV or a highly-infectious STD, such as gonorrhoea. The results of this modelling exercise indicate that decreasing the number of partners is a more effective strategy for reducing STD risk than it is for HIV risk. In contrast, condoms are somewhat more effective at reducing the cumulative transmission risk for HIV than for highly infectious STDs. The protection provided by condoms for multiple acts of intercourse critically depends on the infectiousness of the STD. The results of this study suggest caution in extrapolating from one STD to another, or from one behavioural risk reduction strategy to another.", "author" : [ { "dropping-particle" : "", "family" : "Pinkerton", "given" : "S D", "non-dropping-particle" : "", "parse-names" : false, "suffix" : "" }, { "dropping-particle" : "", "family" : "Layde", "given" : "P M", "non-dropping-particle" : "", "parse-names" : false, "suffix" : "" }, { "dropping-particle" : "", "family" : "DiFranceisco", "given" : "W", "non-dropping-particle" : "", "parse-names" : false, "suffix" : "" }, { "dropping-particle" : "", "family" : "Chesson", "given" : "H W", "non-dropping-particle" : "", "parse-names" : false, "suffix" : "" }, { "dropping-particle" : "", "family" : "NIMH Multisite HIV Prevention Trial Group", "given" : "", "non-dropping-particle" : "", "parse-names" : false, "suffix" : "" } ], "container-title" : "Int J STD AIDS", "id" : "ITEM-2", "issue" : "5", "issued" : { "date-parts" : [ [ "2003", "5" ] ] }, "page" : "320-8", "title" : "All STDs are not created equal: An analysis of the differential effects of sexual behaviour changes on different STDs", "type" : "article-journal", "volume" : "14" }, "uris" : [ "http://www.mendeley.com/documents/?uuid=52fb46aa-46a1-4af9-9eca-f3a2fe822614" ] }, { "id" : "ITEM-3", "itemData" : { "ISSN" : "1525-4135", "PMID" : "12352153", "abstract" : "Most sexually transmitted disease (STD)/HIV sexual risk reduction intervention trials are evaluated using behavioral outcomes as their main indicators of intervention effectiveness. How good are behavioral measures as surrogate markers for STD infection? Do the behavioral changes that are commonly assessed in risk reduction interventions accurately reflect changes in STD risk? We applied a mathematical model of STD/HIV transmission to empiric data from a large HIV prevention intervention to estimate pre- to postintervention changes in intervention participants' STD risk. We then used the coefficient of determination (R(2)) to assess the strength of association between changes in STD risk and changes in three behavioral measures: proportion of acts of intercourse for which condoms were used, number of sex partners, and number of acts of unprotected intercourse. The results indicate that change in the number of acts of unprotected intercourse is a superior marker of STD risk changes for less infectious STDs such as HIV, whereas change in the number of partners may be preferable for highly infectious STDs such as gonorrhea. Changes in the proportion of acts of intercourse for which condoms were used were not strongly correlated with changes in STD risk under most of the conditions examined in this analysis. The utility of different measures of sexual behavior change as markers for changes in STD risk and, hence, expected incidence, depends on the infectivity and prevalence of the target STD.", "author" : [ { "dropping-particle" : "", "family" : "Pinkerton", "given" : "Steven David", "non-dropping-particle" : "", "parse-names" : false, "suffix" : "" }, { "dropping-particle" : "", "family" : "Chesson", "given" : "Harrell Warren", "non-dropping-particle" : "", "parse-names" : false, "suffix" : "" }, { "dropping-particle" : "", "family" : "Layde", "given" : "Peter Mark", "non-dropping-particle" : "", "parse-names" : false, "suffix" : "" }, { "dropping-particle" : "", "family" : "National Institute of Mental Health Multisite HIV Prevention Trial Group", "given" : "", "non-dropping-particle" : "", "parse-names" : false, "suffix" : "" } ], "container-title" : "J Acquir Immune Defic Syndr", "id" : "ITEM-3", "issue" : "1", "issued" : { "date-parts" : [ [ "2002", "9", "1" ] ] }, "page" : "71-9", "title" : "Utility of behavioral changes as markers of sexually transmitted disease risk reduction in sexually transmitted disease/HIV prevention trials.", "type" : "article-journal", "volume" : "31" }, "uris" : [ "http://www.mendeley.com/documents/?uuid=4972f14e-cde3-40ed-a29b-99061b6c5d9f" ] }, { "id" : "ITEM-4", "itemData" : { "ISSN" : "0265-0746", "PMID" : "1517673", "abstract" : "Sexually transmitted diseases such as gonorrhoea are a significant cause of infertility in women when the infection is untreated. They have the potential to alter human population growth rates in many developing countries where sexually transmitted diseases are prevalent due to limited public health facilities for diagnosis and treatment. The authors develop a simple model describing the conditions under which such a disease can exist in a growing population in which sexual partners are chosen at random by proportionate mixing. Using the model, the impact that such a disease could have for a range of possible parameters is examined. Then a full parameter set for gonorrhoea in a developing country is estimated. Analysis demonstrates the significant influence gonococcal infection may have in reducing population growth rate in some communities. For example, the simple model predicts that a prevalence of 20% in sexually active adults results in a 50% reduction in the population growth rate. Finally, the authors discuss how potential control initiatives may change the parameter values that determine transmission and alter the demographic impact of gonorrhoea.", "author" : [ { "dropping-particle" : "", "family" : "Swinton", "given" : "J", "non-dropping-particle" : "", "parse-names" : false, "suffix" : "" }, { "dropping-particle" : "", "family" : "Garnett", "given" : "G P",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"ITEM-4", "issue" : "2", "issued" : { "date-parts" : [ [ "1992" ] ] }, "page" : "107-26", "title" : "Gonococcal infection, infertility, and population growth: I. Endemic states in behaviourally homogeneous growing populations.", "type" : "article-journal", "volume" : "9" }, "uris" : [ "http://www.mendeley.com/documents/?uuid=a9f6bed3-5634-43ba-b20e-a0b8932feab2", "http://www.mendeley.com/documents/?uuid=54b6137f-184c-3b3a-a9e5-1d7a30ac7f97", "http://www.mendeley.com/documents/?uuid=9b7965aa-ff43-42bd-b783-146d443aa5e8" ] }, { "id" : "ITEM-5",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"ITEM-5", "issued" : { "date-parts" : [ [ "2013" ] ] }, "page" : "188", "title" : "Population movement can sustain STI prevalence in remote Australian indigenous communities.", "type" : "article-journal", "volume" : "13" }, "uris" : [ "http://www.mendeley.com/documents/?uuid=439c8ade-8864-4f5e-9dff-966b3d367e00" ] }, { "id" : "ITEM-6",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"ITEM-6",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"http://www.mendeley.com/documents/?uuid=31e9204c-87f9-4fc4-a07b-25a3a8939ba8" ] }, { "id" : "ITEM-7",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"ITEM-7",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"&lt;sup&gt;41,42,49,54,55,57,68&lt;/sup&gt;", "plainTextFormattedCitation" : "41,42,49,54,55,57,68", "previouslyFormattedCitation" : "&lt;sup&gt;41,42,49,54,55,57,68&lt;/sup&gt;"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41,42,49,54,55,57,68</w:t>
      </w:r>
      <w:r w:rsidRPr="0024409C">
        <w:rPr>
          <w:rFonts w:ascii="Helvetica Neue" w:hAnsi="Helvetica Neue"/>
        </w:rPr>
        <w:fldChar w:fldCharType="end"/>
      </w:r>
      <w:r w:rsidRPr="0024409C">
        <w:rPr>
          <w:rFonts w:ascii="Helvetica Neue" w:hAnsi="Helvetica Neue"/>
        </w:rPr>
        <w:t xml:space="preserve"> although some models did estimate that the FTM transmission probability was greater.</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"ITEM-1", "issue" : "2", "issued" : { "date-parts" : [ [ "2012", "2" ] ] }, "page" : "161-8", "title" : "The role of sexually transmitted infections in the evolution of the South African HIV epidemic.", "type" : "article-journal", "volume" : "17" }, "uris" : [ "http://www.mendeley.com/documents/?uuid=0e1ea8f2-849f-41da-864c-66e864358726" ] }, { "id" : "ITEM-2",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"ITEM-2",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"http://www.mendeley.com/documents/?uuid=068ae4c2-fc1a-407c-9042-659f35956723", "http://www.mendeley.com/documents/?uuid=79167eaa-7546-3c44-8cc8-210cd54f8e72", "http://www.mendeley.com/documents/?uuid=224a2eaa-04ce-4132-a0be-3ab3c6d63750" ] } ], "mendeley" : { "formattedCitation" : "&lt;sup&gt;40,69&lt;/sup&gt;", "plainTextFormattedCitation" : "40,69", "previouslyFormattedCitation" : "&lt;sup&gt;40,69&lt;/sup&gt;"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40,69</w:t>
      </w:r>
      <w:r w:rsidRPr="0024409C">
        <w:rPr>
          <w:rFonts w:ascii="Helvetica Neue" w:hAnsi="Helvetica Neue"/>
        </w:rPr>
        <w:fldChar w:fldCharType="end"/>
      </w:r>
    </w:p>
    <w:p w14:paraId="31113907" w14:textId="6067FF68" w:rsidR="00EA384A" w:rsidRPr="0024409C" w:rsidRDefault="00EA384A" w:rsidP="00574651">
      <w:pPr>
        <w:spacing w:before="120" w:line="360" w:lineRule="auto"/>
        <w:rPr>
          <w:rFonts w:ascii="Helvetica Neue" w:hAnsi="Helvetica Neue"/>
        </w:rPr>
      </w:pPr>
      <w:r w:rsidRPr="0024409C">
        <w:rPr>
          <w:rFonts w:ascii="Helvetica Neue" w:hAnsi="Helvetica Neue"/>
        </w:rPr>
        <w:t xml:space="preserve">For our model, we focus on the baseline male-to-male CT transmission risk through anal intercourse in STI and HIV/STI models. Fewer models and estimates of this probability exist for MSM than do for heterosexual populations. Estimates of the per-act transmission probability </w:t>
      </w:r>
      <w:r w:rsidRPr="0024409C">
        <w:rPr>
          <w:rFonts w:ascii="Helvetica Neue" w:hAnsi="Helvetica Neue"/>
        </w:rPr>
        <w:lastRenderedPageBreak/>
        <w:t>have included 0.1–0.24,</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"1471-2334", "PMID" : "24047261", "abstract" : "BACKGROUND Recent studies have found high prevalences of asymptomatic rectal chlamydia among HIV-infected men who have sex with men (MSM). Chlamydia could increase the infectivity of HIV and the susceptibility to HIV infection. We investigate the role of chlamydia in the spread of HIV among MSM and the possible impact of routine chlamydia screening among HIV-infected MSM at HIV treatment centres on the incidence of chlamydia and HIV in the overall MSM population. METHODS A mathematical model was developed to describe the transmission of HIV and chlamydia among MSM. Parameters relating to sexual behaviour were estimated from data from the Amsterdam Cohort Study among MSM. Uncertainty analysis was carried out for model parameters without confident estimates. The effects of different screening strategies for chlamydia were investigated. RESULTS Among all new HIV infections in MSM, 15% can be attributed to chlamydia infection. Introduction of routine chlamydia screening every six months among HIV-infected MSM during regular HIV consultations can reduce the incidence of both infections among MSM: after 10 years, the relative percentage reduction in chlamydia incidence would be 15% and in HIV incidence 4%, compared to the current situation. Chlamydia screening is more effective in reducing HIV incidence with more frequent screening and with higher participation of the most risky MSM in the screening program. CONCLUSIONS Chlamydia infection could contribute to the transmission of HIV among MSM. Preventive measures reducing chlamydia prevalence, such as routine chlamydia screening of HIV-infected MSM, can result in a decline in the incidence of chlamydia and HIV.", "author" : [ { "dropping-particle" : "", "family" : "Xiridou", "given" : "Maria", "non-dropping-particle" : "", "parse-names" : false, "suffix" : "" }, { "dropping-particle" : "", "family" : "Vriend", "given" : "Henrike J", "non-dropping-particle" : "", "parse-names" : false, "suffix" : "" }, { "dropping-particle" : "", "family" : "Lugner", "given" : "Anna K", "non-dropping-particle" : "", "parse-names" : false, "suffix" : "" }, { "dropping-particle" : "", "family" : "Wallinga", "given" : "Jacco", "non-dropping-particle" : "", "parse-names" : false, "suffix" : "" }, { "dropping-particle" : "", "family" : "Fennema", "given" : "Johannes S", "non-dropping-particle" : "", "parse-names" : false, "suffix" : "" }, { "dropping-particle" : "", "family" : "Prins", "given" : "Jan M", "non-dropping-particle" : "", "parse-names" : false, "suffix" : "" }, { "dropping-particle" : "", "family" : "Geerlings", "given" : "Suzanne E", "non-dropping-particle" : "", "parse-names" : false, "suffix" : "" }, { "dropping-particle" : "", "family" : "Rijnders", "given" : "Bart J A", "non-dropping-particle" : "", "parse-names" : false, "suffix" : "" }, { "dropping-particle" : "", "family" : "Prins", "given" : "Maria", "non-dropping-particle" : "", "parse-names" : false, "suffix" : "" }, { "dropping-particle" : "", "family" : "Vries", "given" : "Henry J C", "non-dropping-particle" : "de", "parse-names" : false, "suffix" : "" }, { "dropping-particle" : "", "family" : "Postma", "given" : "Maarten J", "non-dropping-particle" : "", "parse-names" : false, "suffix" : "" }, { "dropping-particle" : "", "family" : "Veen", "given" : "Maaike G", "non-dropping-particle" : "van", "parse-names" : false, "suffix" : "" }, { "dropping-particle" : "", "family" : "Schim van der Loeff", "given" : "Maarten F", "non-dropping-particle" : "", "parse-names" : false, "suffix" : "" }, { "dropping-particle" : "", "family" : "Sande", "given" : "Marianne A B", "non-dropping-particle" : "van der", "parse-names" : false, "suffix" : "" } ], "container-title" : "BMC Infect Dis", "id" : "ITEM-1", "issued" : { "date-parts" : [ [ "2013" ] ] }, "page" : "436", "title" : "Modelling the impact of chlamydia screening on the transmission of HIV among men who have sex with men.", "type" : "article-journal", "volume" : "13" }, "uris" : [ "http://www.mendeley.com/documents/?uuid=7ec86703-a8f1-47e5-ac4b-e7b75b8fa671" ] } ], "mendeley" : { "formattedCitation" : "&lt;sup&gt;71&lt;/sup&gt;", "plainTextFormattedCitation" : "71", "previouslyFormattedCitation" : "&lt;sup&gt;71&lt;/sup&gt;"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71</w:t>
      </w:r>
      <w:r w:rsidRPr="0024409C">
        <w:rPr>
          <w:rFonts w:ascii="Helvetica Neue" w:hAnsi="Helvetica Neue"/>
        </w:rPr>
        <w:fldChar w:fldCharType="end"/>
      </w:r>
      <w:r w:rsidRPr="0024409C">
        <w:rPr>
          <w:rFonts w:ascii="Helvetica Neue" w:hAnsi="Helvetica Neue"/>
        </w:rPr>
        <w:t xml:space="preserve"> 0.4 for receptive AI,</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0.32 for insertive AI,</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and 0.35 per-partner.</w:t>
      </w:r>
      <w:r w:rsidRPr="0024409C">
        <w:rPr>
          <w:rFonts w:ascii="Helvetica Neue" w:hAnsi="Helvetica Neue"/>
        </w:rPr>
        <w:fldChar w:fldCharType="begin" w:fldLock="1"/>
      </w:r>
      <w:r w:rsidR="002E5A1F">
        <w:rPr>
          <w:rFonts w:ascii="Helvetica Neue" w:hAnsi="Helvetica Neue"/>
        </w:rPr>
        <w:instrText>ADDIN CSL_CITATION { "citationItems" : [ { "id" : "ITEM-1",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"ITEM-1",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"mendeley" : { "formattedCitation" : "&lt;sup&gt;73&lt;/sup&gt;", "plainTextFormattedCitation" : "73", "previouslyFormattedCitation" : "&lt;sup&gt;73&lt;/sup&gt;"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73</w:t>
      </w:r>
      <w:r w:rsidRPr="0024409C">
        <w:rPr>
          <w:rFonts w:ascii="Helvetica Neue" w:hAnsi="Helvetica Neue"/>
        </w:rPr>
        <w:fldChar w:fldCharType="end"/>
      </w:r>
      <w:r w:rsidRPr="0024409C">
        <w:rPr>
          <w:rFonts w:ascii="Helvetica Neue" w:hAnsi="Helvetica Neue"/>
        </w:rPr>
        <w:t xml:space="preserve"> With greater uncertainty around these parameters, we established a prior distribution of 0.30–0.60 for the per-act rectal CT transmission likelihood, and a distribution of 0.</w:t>
      </w:r>
      <w:r w:rsidR="008540A8" w:rsidRPr="0024409C">
        <w:rPr>
          <w:rFonts w:ascii="Helvetica Neue" w:hAnsi="Helvetica Neue"/>
        </w:rPr>
        <w:t>1</w:t>
      </w:r>
      <w:r w:rsidRPr="0024409C">
        <w:rPr>
          <w:rFonts w:ascii="Helvetica Neue" w:hAnsi="Helvetica Neue"/>
        </w:rPr>
        <w:t xml:space="preserve">0–0.50 for urethral CT transmission to incorporate site-specific infection. The </w:t>
      </w:r>
      <w:r w:rsidRPr="00FD207A">
        <w:rPr>
          <w:rFonts w:ascii="Helvetica Neue" w:hAnsi="Helvetica Neue"/>
        </w:rPr>
        <w:t xml:space="preserve">estimated posterior means were </w:t>
      </w:r>
      <w:r w:rsidR="00936B1F" w:rsidRPr="00FD207A">
        <w:rPr>
          <w:rFonts w:ascii="Helvetica Neue" w:hAnsi="Helvetica Neue"/>
        </w:rPr>
        <w:t>0.</w:t>
      </w:r>
      <w:r w:rsidR="003A74D0">
        <w:rPr>
          <w:rFonts w:ascii="Helvetica Neue" w:hAnsi="Helvetica Neue"/>
        </w:rPr>
        <w:t>2813</w:t>
      </w:r>
      <w:r w:rsidR="003A74D0" w:rsidRPr="00FD207A">
        <w:rPr>
          <w:rFonts w:ascii="Helvetica Neue" w:hAnsi="Helvetica Neue"/>
        </w:rPr>
        <w:t xml:space="preserve"> </w:t>
      </w:r>
      <w:r w:rsidRPr="00FD207A">
        <w:rPr>
          <w:rFonts w:ascii="Helvetica Neue" w:hAnsi="Helvetica Neue"/>
        </w:rPr>
        <w:t>for per sex-act rectal CT transmission probability and 0.</w:t>
      </w:r>
      <w:r w:rsidR="00FD207A">
        <w:rPr>
          <w:rFonts w:ascii="Helvetica Neue" w:hAnsi="Helvetica Neue"/>
        </w:rPr>
        <w:t>2</w:t>
      </w:r>
      <w:r w:rsidR="003A74D0">
        <w:rPr>
          <w:rFonts w:ascii="Helvetica Neue" w:hAnsi="Helvetica Neue"/>
        </w:rPr>
        <w:t>1</w:t>
      </w:r>
      <w:r w:rsidR="00FD207A">
        <w:rPr>
          <w:rFonts w:ascii="Helvetica Neue" w:hAnsi="Helvetica Neue"/>
        </w:rPr>
        <w:t>9</w:t>
      </w:r>
      <w:r w:rsidR="003A74D0">
        <w:rPr>
          <w:rFonts w:ascii="Helvetica Neue" w:hAnsi="Helvetica Neue"/>
        </w:rPr>
        <w:t>5</w:t>
      </w:r>
      <w:r w:rsidRPr="00FD207A">
        <w:rPr>
          <w:rFonts w:ascii="Helvetica Neue" w:hAnsi="Helvetica Neue"/>
        </w:rPr>
        <w:t xml:space="preserve"> for per sex-act urethral CT transmission probability. We also include a multiplier of 0.30 for the effect of condom usage on CT transmission</w:t>
      </w:r>
      <w:r w:rsidRPr="0024409C">
        <w:rPr>
          <w:rFonts w:ascii="Helvetica Neue" w:hAnsi="Helvetica Neue"/>
        </w:rPr>
        <w:t xml:space="preserve"> probability to reflect the decreased probability of transmission in protected sex acts, consistent with the literature.</w:t>
      </w:r>
      <w:r w:rsidRPr="0024409C">
        <w:rPr>
          <w:rFonts w:ascii="Helvetica Neue" w:hAnsi="Helvetica Neue"/>
        </w:rPr>
        <w:fldChar w:fldCharType="begin" w:fldLock="1"/>
      </w:r>
      <w:r w:rsidR="002E5A1F">
        <w:rPr>
          <w:rFonts w:ascii="Helvetica Neue" w:hAnsi="Helvetica Neue"/>
        </w:rPr>
        <w:instrText>ADDIN CSL_CITATION { "citationItems" : [ { "id" : "ITEM-1", "itemData" : { "PMID" : "2554516", "abstract" : "In vitro evidence strongly suggests that latex condoms provide an impenetrable barrier for the passage of infectious agents, but few have studied the use-effectiveness of condoms in preventing sexually transmitted diseases. In 1971, a prospective evaluation of the condom failed to demonstrate efficacy against infections with gonorrhea because users were exposed to infectious secretions before the condom was used. An ongoing multicenter study of female prostitutes in the United States shows that none of 22 women who always use condoms with all male partners has antibody to human immunodeficiency virus (HIV), but differences in HIV antibody status by patterns of condom use are not statistically significant. An educational campaign to promote the proper and consistent use of condoms as prophylactics is needed to stop the spread of gonorrhea, infections with HIV, and other sexually transmitted diseases. Despite in vitro evidence of the effectiveness of latex condoms in preventing the passage of infectious agents, there have been few studies of condom's use-effectiveness in terms of the transmission of sexually transmitted diseases (STDs). The Sacramento (California) Special Study sought to address this research gap through a survey of all patients presenting to the County Health Department from May 24-August 13, 1971. Patients were asked to complete a questionnaire and given a coupon that could be exchanged for 3 regular and 3 lubricated condoms. Of the 2045 individuals who visited the clinic during the study period, 557 (27%) accepted condoms. These acceptors were significantly more likely to be male, Black, or Hispanic and to have histories of both previous condom use (43%) and gonococcal infection (31%). Of the 122 patients who returned to the clinic for follow-up and had sexual intercourse since the last visit, 91 (75%) had not used a condom at any time in this period, 21 (17%) had used a condom at least once, and 10 (8%) had used a condom at each sexual exposure. There was no significant difference between users and nonusers in terms of whether they were diagnosed with nongonococcal urethritis, gonorrhea, and other STDs at the follow-up visit. However, questioning of condom users who presented with reinfection with gonorrhea indicated that, in some cases, the condom was not put on until the man had already been exposed to vaginal fluids. This suggests a need for thorough education on proper condom use, including avoidance of all exposure to infectious \u2026", "author" : [ { "dropping-particle" : "", "family" : "Darrow", "given" : "W W", "non-dropping-particle" : "", "parse-names" : false, "suffix" : "" } ], "container-title" : "Sexually Transmitted Diseases", "id" : "ITEM-1", "issue" : "3", "issued" : { "date-parts" : [ [ "1989" ] ] }, "page" : "157-60", "title" : "Condom use and use-effectiveness in high-risk populations.", "type" : "article-journal", "volume" : "16" }, "uris" : [ "http://www.mendeley.com/documents/?uuid=c69c7dd6-67e5-4636-9ebb-a121036e9008" ] }, { "id" : "ITEM-2", "itemData" : { "PMID" : "9292347", "abstract" : "Sex workers and their clients as core groups of high frequency transmitters play a dominant role in the transmission of HIV and other sexually transmitted diseases (STDs). In Surabaya, Indonesia, little is known about the prevalence of STDs in various sex establishments. We conducted an STD prevalence survey of 1873 female sex workers in Surabaya, Indonesia. We did not find any sex workers with HIV infection. Prevalence rates of other STDs (chlamydia, gonorrhoea, serological test for syphilis positive, and/or trichomoniasis) in female sex workers were 48% in brothels (n = 696), 42% on the streets (n = 192), 16% in massage parlours (n = 344), 25% in barber shops (n = 150), 17% at call-girl houses (n = 73), and 10% in nightclubs (n = 418). Sex workers from the brothels had the highest prevalence rates of gonorrhoea (24%) and trichomoniasis (8%), while sex workers from the streets and the barber shop had the highest rates of serological test for syphilis (STS) positive (30%) and chlamydia (18%). STD rates decreased with an increase in age (except for STS positive), an increase in education, a decrease in the number of sex partners, and condom use in the previous week. Condom use in the previous week was universally low among sex workers, especially among sex workers from the brothels (14%). Sex workers from the brothels had STD rates about 4 times higher than sex workers from the nightclubs (adjusted odds ratio of 4.4). Although the HIV seroprevalence rate is currently low, widespread prostitution and high rates of STDs in sex workers warrant programmes to avert a potential explosion of HIV transmission. Because sex workers from the brothels in Surabaya have high rates of STDs and low use of condoms but good cooperation with local authorities, STD preventive measures should focus on this group. A sexually transmitted disease (STD) prevalence survey of 1873 female sex workers recruited from six types of sex establishments in Surabaya, Indonesia, in 1992-93 failed to reveal any cases of HIV. The prevalence rates of the other STDs included in the study (chlamydia, gonorrhea, syphilis, and trichomoniasis), by setting, were as follows: brothels (n = 696), 48%; streets (n = 192), 42%; massage parlors (n = 344), 16%; barber shops (n = 150), 25%; call-girl houses (n = 73), 17%; and nightclubs (n = 418), 10%. Sex workers based in brothels and on the streets had the lowest socioeconomic status, while nightclub and call-girl house workers had the highest status. Brot\u2026", "author" : [ { "dropping-particle" : "", "family" : "Joesoef", "given" : "M R", "non-dropping-particle" : "", "parse-names" : false, "suffix" : "" }, { "dropping-particle" : "", "family" : "Linnan", "given" : "M", "non-dropping-particle" : "", "parse-names" : false, "suffix" : "" }, { "dropping-particle" : "", "family" : "Barakbah", "given" : "Y", "non-dropping-particle" : "", "parse-names" : false, "suffix" : "" }, { "dropping-particle" : "", "family" : "Idajadi", "given" : "A", "non-dropping-particle" : "", "parse-names" : false, "suffix" : "" }, { "dropping-particle" : "", "family" : "Kambodji", "given" : "A", "non-dropping-particle" : "", "parse-names" : false, "suffix" : "" }, { "dropping-particle" : "", "family" : "Schulz", "given" : "K", "non-dropping-particle" : "", "parse-names" : false, "suffix" : "" } ], "container-title" : "International Journal of STD &amp; AIDS", "id" : "ITEM-2", "issue" : "9", "issued" : { "date-parts" : [ [ "1997", "9" ] ] }, "page" : "576-80", "title" : "Patterns of sexually transmitted diseases in female sex workers in Surabaya, Indonesia.", "type" : "article-journal", "volume" : "8" }, "uris" : [ "http://www.mendeley.com/documents/?uuid=91e8a678-7580-36ae-9083-75a10f60c497", "http://www.mendeley.com/documents/?uuid=91d8f22b-d8b2-4d8f-aceb-a967d0304952" ] } ], "mendeley" : { "formattedCitation" : "&lt;sup&gt;74,75&lt;/sup&gt;", "plainTextFormattedCitation" : "74,75", "previouslyFormattedCitation" : "&lt;sup&gt;74,75&lt;/sup&gt;"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74,75</w:t>
      </w:r>
      <w:r w:rsidRPr="0024409C">
        <w:rPr>
          <w:rFonts w:ascii="Helvetica Neue" w:hAnsi="Helvetica Neue"/>
        </w:rPr>
        <w:fldChar w:fldCharType="end"/>
      </w:r>
    </w:p>
    <w:p w14:paraId="7CC58892" w14:textId="396FDEA4" w:rsidR="00EA384A" w:rsidRPr="0024409C" w:rsidRDefault="00273CDD" w:rsidP="00574651">
      <w:pPr>
        <w:pStyle w:val="Heading2"/>
        <w:rPr>
          <w:rFonts w:ascii="Helvetica Neue" w:hAnsi="Helvetica Neue"/>
          <w:szCs w:val="22"/>
        </w:rPr>
      </w:pPr>
      <w:bookmarkStart w:id="36" w:name="_Toc466401461"/>
      <w:bookmarkStart w:id="37" w:name="_Toc522270424"/>
      <w:r w:rsidRPr="0024409C">
        <w:rPr>
          <w:rFonts w:ascii="Helvetica Neue" w:hAnsi="Helvetica Neue"/>
          <w:szCs w:val="22"/>
        </w:rPr>
        <w:t>8</w:t>
      </w:r>
      <w:r w:rsidR="00690949" w:rsidRPr="0024409C">
        <w:rPr>
          <w:rFonts w:ascii="Helvetica Neue" w:hAnsi="Helvetica Neue"/>
          <w:szCs w:val="22"/>
        </w:rPr>
        <w:t>.</w:t>
      </w:r>
      <w:r w:rsidR="00D55A72">
        <w:rPr>
          <w:rFonts w:ascii="Helvetica Neue" w:hAnsi="Helvetica Neue"/>
          <w:szCs w:val="22"/>
        </w:rPr>
        <w:t>5</w:t>
      </w:r>
      <w:r w:rsidR="00EA384A" w:rsidRPr="0024409C">
        <w:rPr>
          <w:rFonts w:ascii="Helvetica Neue" w:hAnsi="Helvetica Neue"/>
          <w:szCs w:val="22"/>
        </w:rPr>
        <w:tab/>
        <w:t>Gonorrhea Transmission Probability</w:t>
      </w:r>
      <w:bookmarkEnd w:id="36"/>
      <w:bookmarkEnd w:id="37"/>
    </w:p>
    <w:p w14:paraId="411550BC" w14:textId="07DE7DC4" w:rsidR="00EA384A" w:rsidRPr="0024409C" w:rsidRDefault="00EA384A" w:rsidP="00574651">
      <w:pPr>
        <w:spacing w:line="360" w:lineRule="auto"/>
        <w:rPr>
          <w:rFonts w:ascii="Helvetica Neue" w:hAnsi="Helvetica Neue"/>
        </w:rPr>
      </w:pPr>
      <w:r w:rsidRPr="0024409C">
        <w:rPr>
          <w:rFonts w:ascii="Helvetica Neue" w:hAnsi="Helvetica Neue"/>
        </w:rPr>
        <w:t>Estimates of the NG transmission risk per sex-act have been diverse in HIV/STI models and STI-only models, depending on the type of sex act as well as the role and position of the infected partner. This baseline per-act risk has been estimated in a number of models, with the middle 50% of estimates of the per-act risk from MTF transmission models located between 0.20 and 0.60,</w:t>
      </w:r>
      <w:r w:rsidRPr="0024409C">
        <w:rPr>
          <w:rFonts w:ascii="Helvetica Neue" w:hAnsi="Helvetica Neue"/>
        </w:rPr>
        <w:fldChar w:fldCharType="begin" w:fldLock="1"/>
      </w:r>
      <w:r w:rsidR="002E5A1F">
        <w:rPr>
          <w:rFonts w:ascii="Helvetica Neue" w:hAnsi="Helvetica Neue"/>
        </w:rPr>
        <w:instrText>ADDIN CSL_CITATION { "citationItems" : [ { "id" : "ITEM-1",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"ITEM-1", "issue" : "5", "issued" : { "date-parts" : [ [ "2000", "3" ] ] }, "page" : "573-93", "title" : "Model-based evaluation of single-round mass treatment of sexually transmitted diseases for HIV control in a rural African population.", "type" : "article-journal", "volume" : "14" }, "uris" : [ "http://www.mendeley.com/documents/?uuid=814ef6e7-4efc-3227-a520-7d2796ec4d3f", "http://www.mendeley.com/documents/?uuid=370330dc-ca49-4e21-821c-f379f4836ea8" ] }, { "id" : "ITEM-2", "itemData" : { "ISSN" : "0277-9536", "PMID" : "11144911", "abstract" : "We assessed the cost-effectiveness of the female condom (FC) in preventing HIV infection and other STDs among commercial sex workers (CSWs) and their clients in the Mpumulanga Province of South Africa. The health and economic outcomes of current levels of male condom (MC) use in 1000 CSWs who average 25 partners per year and have an HIV prevalence of 50.3% was compared with the expected outcomes resulting from the additional provision of FCs to these CSWs. A simulation model calculated health and public sector cost outcomes assuming 5 years of HIV infectivity, 1 month of syphilis and gonorrhea infectivity, and FC use in 12% of episodes of vaginal intercourse. Delayed infections and interactions between STDs and HIV were modeled. The simulation was extended to non-CSWs with as few as one casual partner per year. We conducted multiple sensitivity analyses. The program would distribute 6000 FCs annually at a cost of $4002 and would avert 5.9 HIV, 38 syphilis, and 33 gonorrhea cases. This would save the public sector health payer $12,090 in averted HIV/AIDS treatment costs, and $1,074 in averted syphilis and gonorrhea treatment costs for a net saving of $9163. Sensitivity analyses indicate that the economic findings are robust across a wide range of values for key inputs. The program generates net savings of $5421 if HIV prevalence in CSWs is 25% rather than 50.3% and savings of S3591 if each CSW has an average of 10 clients per year rather than 25. A program focusing on non-CSWs with only one casual partner would save $199. We conclude that a well-designed FC program oriented to CSWs and other women with casual partners is likely to be highly cost-effective and can save public sector health funds in rural South Africa.", "author" : [ { "dropping-particle" : "", "family" : "Marseille", "given" : "E", "non-dropping-particle" : "", "parse-names" : false, "suffix" : "" }, { "dropping-particle" : "", "family" : "Kahn", "given" : "J G", "non-dropping-particle" : "", "parse-names" : false, "suffix" : "" }, { "dropping-particle" : "", "family" : "Billinghurst", "given" : "K", "non-dropping-particle" : "", "parse-names" : false, "suffix" : "" }, { "dropping-particle" : "", "family" : "Saba", "given" : "J", "non-dropping-particle" : "", "parse-names" : false, "suffix" : "" } ], "container-title" : "Soc Sci Med", "id" : "ITEM-2", "issue" : "1", "issued" : { "date-parts" : [ [ "2001", "1" ] ] }, "page" : "135-48", "title" : "Cost-effectiveness of the female condom in preventing HIV and STDs in commercial sex workers in rural South Africa.", "type" : "article-journal", "volume" : "52" }, "uris" : [ "http://www.mendeley.com/documents/?uuid=bd626c35-2926-3dfb-8e87-42c0328aed1e", "http://www.mendeley.com/documents/?uuid=4375174b-6f5e-498f-9a66-4bc3fbb570fd" ] }, { "id" : "ITEM-3", "itemData" : { "ISSN" : "1386-9620", "PMID" : "18074967", "abstract" : "Contact tracing (also known as partner notification) is a primary means of controlling infectious diseases such as tuberculosis (TB), human immunodeficiency virus (HIV), and sexually transmitted diseases (STDs). However, little work has been done to determine the optimal level of investment in contact tracing. In this paper, we present a methodology for evaluating the appropriate level of investment in contact tracing. We develop and apply a simulation model of contact tracing and the spread of an infectious disease among a network of individuals in order to evaluate the cost and effectiveness of different levels of contact tracing. We show that contact tracing is likely to have diminishing returns to scale in investment: incremental investments in contact tracing yield diminishing reductions in disease prevalence. In conjunction with a cost-effectiveness threshold, we then determine the optimal amount that should be invested in contact tracing. We first assume that the only incremental disease control is contact tracing. We then extend the analysis to consider the optimal allocation of a budget between contact tracing and screening for exogenous infection, and between contact tracing and screening for endogenous infection. We discuss how a simulation model of this type, appropriately tailored, could be used as a policy tool for determining the appropriate level of investment in contact tracing for a specific disease in a specific population. We present an example application to contact tracing for chlamydia control.", "author" : [ { "dropping-particle" : "", "family" : "Armbruster", "given" : "Benjamin", "non-dropping-particle" : "", "parse-names" : false, "suffix" : "" }, { "dropping-particle" : "", "family" : "Brandeau", "given" : "Margaret L", "non-dropping-particle" : "", "parse-names" : false, "suffix" : "" } ], "container-title" : "Health Care Manag Sci", "id" : "ITEM-3", "issue" : "4", "issued" : { "date-parts" : [ [ "2007", "12" ] ] }, "page" : "341-55", "title" : "Contact tracing to control infectious disease: when enough is enough.", "type" : "article-journal", "volume" : "10" }, "uris" : [ "http://www.mendeley.com/documents/?uuid=08bf6bbf-3be1-350b-81e0-dff9e63bc8e7", "http://www.mendeley.com/documents/?uuid=a259d1eb-ded8-4212-8b42-2d47ef69c8b6" ] }, { "id" : "ITEM-4", "itemData" : { "ISSN" : "0148-5717", "PMID" : "18446084", "abstract" : "OBJECTIVE Both the duration of sexual partnerships and the time between two consecutive partnerships (gap length) varies between populations. We use a mathematical model with multiple partnership durations and gap lengths to identify the types of relationship cycles that sustain gonorrhea transmission in the United Kingdom. STUDY DESIGN A mathematical model for gonorrhea transmission was constructed which tracks the duration of partnerships and their preceding gap lengths. The National Survey of Sexual Attitudes and Lifestyles was used to parameterize the model population into 5 different partnership lengths (mean of 1 day, 2 weeks, 8 weeks, 30 weeks, and 10 years) and 3 preceding gap lengths (14 days, 8 weeks, and 1.5 years). RESULTS The model was able to reproduce patterns of gonococcal infection in the United Kingdom. Assortative (like-with-like) mixing of individuals with short gaps between partnerships was required for gonorrhea infection to persist. Prevalence was highest in individuals with short (&gt;1 day-&lt;1 month) and midterm partnership durations (&gt;1 month-&lt;3 months). Interventions (such as increased condom use) targeted at those with medium-term partnerships were most effective at reducing prevalence; in contrast targeting interventions at those with short partnerships but longer gap lengths (i.e., the group with the highest number of sexual partners) had relatively less impact. CONCLUSION Our model suggests that gonorrhea is sustained by the presence of a small group of individuals with short gap lengths and medium length partnerships. Interventions targeted at this group are more effective than those targeted at individuals with high numbers of sexual partners but longer gap lengths.", "author" : [ { "dropping-particle" : "", "family" : "Chen", "given" : "Mark I", "non-dropping-particle" : "", "parse-names" : false, "suffix" : "" }, { "dropping-particle" : "", "family" : "Ghani", "given" : "Azra C", "non-dropping-particle" : "", "parse-names" : false, "suffix" : "" }, { "dropping-particle" : "", "family" : "Edmunds", "given" : "John", "non-dropping-particle" : "", "parse-names" : false, "suffix" : "" } ], "container-title" : "Sex Transm Dis", "id" : "ITEM-4", "issue" : "5", "issued" : { "date-parts" : [ [ "2008", "5" ] ] }, "page" : "435-44", "title" : "Mind the gap: the role of time between sex with two consecutive partners on the transmission dynamics of gonorrhea.", "type" : "article-journal", "volume" : "35" }, "uris" : [ "http://www.mendeley.com/documents/?uuid=bd0cdbab-ee77-44b3-893c-f837cf17d3b1" ] }, { "id" : "ITEM-5", "itemData" : { "ISSN" : "0265-0746", "PMID" : "1517674", "abstract" : "Heterogeneity in sexual behaviour has an important influence on the transmission dynamics of sexually transmitted diseases (STDs). The authors describe the development of a simple mathematical model, incorporating such heterogeneity, to investigate the demographic impact of gonorrhoea on human population growth in developing countries where the disease is endemic. Earlier predictions, based on a model with homogeneous mixing, are shown to be in good qualitative agreement with the predictions of a more complex mathematical framework in which the population is stratified both by sex and into two subgroups representing low and high sexual activity, defined on the basis of rates of sexual partner change. Analyses also demonstrate that the pattern of mixing (assortative to random) between the sexual activity classes has an important influence on the predicted prevalence of gonococcal infection in a defined community. The more complex model supports earlier conclusions that gonorrhoea, via its impact on fertility, can significantly reduce net population growth rates.", "author" : [ { "dropping-particle" : "", "family" : "Garnett", "given" : "G P", "non-dropping-particle" : "", "parse-names" : false, "suffix" : "" }, { "dropping-particle" : "", "family" : "Swinton", "given" : "J",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"ITEM-5", "issue" : "2", "issued" : { "date-parts" : [ [ "1992" ] ] }, "page" : "127-44", "title" : "Gonococcal infection, infertility, and population growth: II. The influence of heterogeneity in sexual behaviour.", "type" : "article-journal", "volume" : "9" }, "uris" : [ "http://www.mendeley.com/documents/?uuid=754168b4-8f73-3e81-8ddf-90256ce32a54", "http://www.mendeley.com/documents/?uuid=6b6c92de-982a-478d-a79f-e7f2af7be962" ] }, { "id" : "ITEM-6", "itemData" : { "ISBN" : "0022-1899 (Print)\\n0022-1899 (Linking)", "ISSN" : "0022-1899", "PMID" : "15627229", "abstract" : "Sex workers (SWs) and their clients are often identified as being central in transmission of sexually transmitted infections (STIs). Little is known about how patterns of contact between SWs and their clients influence the persistence of STIs. We developed an individual-based simulation model to explore how variation in number of client contacts per SW, whether clients repeatedly visited the same SW, and the relative sizes of the SW and client populations influence the endemic prevalence of gonorrhea and herpes simplex virus type 2 infection. Persistence of either infection was more likely if clients visited many different SWs, regardless of variation in the SW-client contact rate, and also resulted in a higher endemic prevalence in both populations and a greater likelihood of persistence of infection at lower levels in the general population. The size of the SW population (relative to the total population) was found to be most important in determining the overall prevalence of infection.", "author" : [ { "dropping-particle" : "", "family" : "Ghani", "given" : "A C", "non-dropping-particle" : "", "parse-names" : false, "suffix" : "" }, { "dropping-particle" : "", "family" : "Aral", "given" : "S O", "non-dropping-particle" : "", "parse-names" : false, "suffix" : "" } ], "container-title" : "J Inf Dis", "id" : "ITEM-6", "issue" : "Suppl 1", "issued" : { "date-parts" : [ [ "2005" ] ] }, "page" : "S34-S41", "title" : "Patterns of sex worker-client contacts and their implications for the persistence of sexually transmitted infections", "type" : "article-journal", "volume" : "191" }, "uris" : [ "http://www.mendeley.com/documents/?uuid=8787d319-0865-4ea8-9cc1-53dcf8e5c9d0", "http://www.mendeley.com/documents/?uuid=d076df03-d0a3-4faa-aa3c-2205d10fc5aa" ] }, { "id" : "ITEM-7", "itemData" : { "ISSN" : "0148-5717", "PMID" : "9018783", "abstract" : "BACKGROUND Empirical studies have the potential to collect data on patterns of sexual mixing and network structures. GOAL To explore the contribution of different network measures in sexually transmitted disease epidemiology. STUDY DESIGN Individual-based stochastic simulations of a network of sexual partnerships and sexually transmitted disease transmission are analyzed using logistic regression. RESULTS AND CONCLUSIONS Measures accumulated over times similar to the duration of infection are more informative than are static cross sections. The patterns of sexual mixing and network structure influence patterns of infection. In particular, the establishment of infection is most sensitive to the proportion of nonmonogamous pairs, the component distribution and cohesion among those with high activity. The subsequent prevalence is most sensitive to the assortativeness of mixing in the high-activity class and a measure of cohesion, both of which reflect the decrease in prevalence brought about by less widespread connections. A person's risk for infection is determined by local rather than global network structures.", "author" : [ { "dropping-particle" : "", "family" : "Ghani", "given" : "A C", "non-dropping-particle" : "", "parse-names" : false, "suffix" : "" }, { "dropping-particle" : "", "family" : "Swinton", "given" : "J", "non-dropping-particle" : "", "parse-names" : false, "suffix" : "" }, { "dropping-particle" : "", "family" : "Garnett", "given" : "G P", "non-dropping-particle" : "", "parse-names" : false, "suffix" : "" } ], "container-title" : "Sex Transm Dis", "id" : "ITEM-7", "issue" : "1", "issued" : { "date-parts" : [ [ "1997", "1" ] ] }, "page" : "45-56", "title" : "The role of sexual partnership networks in the epidemiology of gonorrhea.", "type" : "article-journal", "volume" : "24" }, "uris" : [ "http://www.mendeley.com/documents/?uuid=13db5f77-c8c6-31f1-89c3-80b9317b49e8", "http://www.mendeley.com/documents/?uuid=4e4cde88-fc90-4d81-9873-d8b813abf16f" ] }, { "id" : "ITEM-8",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"ITEM-8", "issue" : "106", "issued" : { "date-parts" : [ [ "2015" ] ] }, "page" : "20150067", "title" : "An anthropologically based model of the impact of asymptomatic cases on the spread of Neisseria gonorrhoeae.", "type" : "article-journal", "volume" : "12" }, "uris" : [ "http://www.mendeley.com/documents/?uuid=1bdee7b1-90d9-34ba-9adf-8d5afad96b0e", "http://www.mendeley.com/documents/?uuid=80f6739b-9b41-4722-bd93-001e23ac65df" ] }, { "id" : "ITEM-9", "itemData" : { "ISSN" : "1932-6203", "PMID" : "26181042", "abstract" : "BACKGROUND Surveillance for gonorrhoea antimicrobial resistance (AMR) is compromised by a move away from culture-based testing in favour of more convenient nucleic acid amplification test (NAAT) tests. We assessed the potential benefit of a molecular resistance test in terms of the timeliness of detection of gonorrhoea AMR. METHODS AND FINDINGS An individual-based mathematical model was developed to describe the transmission of gonorrhoea in a remote Indigenous population in Australia. We estimated the impact of the molecular test on the time delay between first importation and the first confirmation that the prevalence of gonorrhoea AMR (resistance proportion) has breached the WHO-recommended 5% threshold (when a change in antibiotic should occur). In the remote setting evaluated in this study, the model predicts that when culture is the only available means of testing for AMR, the breach will only be detected when the actual prevalence of AMR in the population has already reached 8 - 18%, with an associated delay of ~43 - 69 months between first importation and detection. With the addition of a molecular resistance test, the number of samples for which AMR can be determined increases facilitating earlier detection at a lower resistance proportion. For the best case scenario, where AMR can be determined for all diagnostic samples, the alert would be triggered at least 8 months earlier than using culture alone and the resistance proportion will have only slightly exceeded the 5% notification threshold. CONCLUSIONS Molecular tests have the potential to provide more timely warning of the emergence of gonorrhoea AMR. This in turn will facilitate earlier treatment switching and more targeted treatment, which has the potential to reduce the population impact of gonorrhoea AMR.", "author" : [ { "dropping-particle" : "", "family" : "Hui", "given" : "Ben B", "non-dropping-particle" : "", "parse-names" : false, "suffix" : "" }, { "dropping-particle" : "", "family" : "Ryder", "given" : "Nathan", "non-dropping-particle" : "", "parse-names" : false, "suffix" : "" }, { "dropping-particle" : "", "family" : "Su", "given" : "Jiunn-Yih", "non-dropping-particle" : "", "parse-names" : false, "suffix" : "" }, { "dropping-particle" : "", "family" : "Ward", "given" : "James", "non-dropping-particle" : "", "parse-names" : false, "suffix" : "" }, { "dropping-particle" : "", "family" : "Chen", "given" : "Marcus Y", "non-dropping-particle" : "", "parse-names" : false, "suffix" : "" }, { "dropping-particle" : "", "family" : "Donovan", "given" : "Basil", "non-dropping-particle" : "", "parse-names" : false, "suffix" : "" }, { "dropping-particle" : "", "family" : "Fairley", "given" : "Christopher K", "non-dropping-particle" : "", "parse-names" : false, "suffix" : "" }, { "dropping-particle" : "", "family" : "Guy", "given" : "Rebecca J", "non-dropping-particle" : "", "parse-names" : false, "suffix" : "" }, { "dropping-particle" : "", "family" : "Lahra", "given" : "Monica M", "non-dropping-particle" : "", "parse-names" : false, "suffix" : "" }, { "dropping-particle" : "", "family" : "Law", "given" : "Mathew G", "non-dropping-particle" : "", "parse-names" : false, "suffix" : "" }, { "dropping-particle" : "", "family" : "Whiley", "given" : "David M", "non-dropping-particle" : "", "parse-names" : false, "suffix" : "" }, { "dropping-particle" : "", "family" : "Regan", "given" : "David G", "non-dropping-particle" : "", "parse-names" : false, "suffix" : "" } ], "container-title" : "PLoS ONE", "id" : "ITEM-9", "issue" : "7", "issued" : { "date-parts" : [ [ "2015" ] ] }, "page" : "e0133202", "title" : "Exploring the benefits of molecular testing for gonorrhoea antibiotic resistance surveillance in remote settings", "type" : "article-journal", "volume" : "10" }, "uris" : [ "http://www.mendeley.com/documents/?uuid=85aa5e13-fa6a-3558-a9cb-11a0e8643472", "http://www.mendeley.com/documents/?uuid=853244d6-109b-48aa-ba0a-5a4ae2a51e59" ] }, { "id" : "ITEM-10", "itemData" : { "ISSN" : "1042-0533", "PMID" : "15849707", "abstract" : "Recent research on sexual mixing in populations of sub-Saharan Africa raises the question as to whether STDs can persist in these populations without the presence of a core group. A mathematical model is constructed for the spread of gonorrhea among the Ariaal population of Northern Kenya. A formula for the basic reproduction number R(0) (the expected number of secondary infections caused by a single new infective introduced into a susceptible population) is determined for this population in the absence of a core group. Survey data taken in 2003 on sexual behavior from the Ariaal population are used in the model which is formulated for their age-set system including four subpopulations: single and married, female and male. Parameters derived from the data, and other information from sub-Saharan Africa are used to estimate R(0). Results indicate that, even with the elevating effect of the age-set system, the disease should die out since R(0) &lt; 1. Thus, the persistence of gonorrhea in the population must be due to factors not included in the model, for example, a core group of commercial sex workers or concurrent partnerships.", "author" : [ { "dropping-particle" : "", "family" : "McCluskey", "given" : "C Connell", "non-dropping-particle" : "", "parse-names" : false, "suffix" : "" }, { "dropping-particle" : "", "family" : "Roth", "given" : "Eric", "non-dropping-particle" : "", "parse-names" : false, "suffix" : "" }, { "dropping-particle" : "", "family" : "Driessche", "given" : "P", "non-dropping-particle" : "van den", "parse-names" : false, "suffix" : "" } ], "container-title" : "Am J Hum Biol", "id" : "ITEM-10", "issue" : "3", "issued" : { "date-parts" : [ [ "2005" ] ] }, "page" : "293-301", "title" : "Implication of Ariaal sexual mixing on gonorrhea.", "type" : "article-journal", "volume" : "17" }, "uris" : [ "http://www.mendeley.com/documents/?uuid=120743b7-6e07-33c5-bad3-e213a34d5683", "http://www.mendeley.com/documents/?uuid=0a147076-4e1b-483a-adaa-bfb19b9a51d5" ] }, { "id" : "ITEM-11", "itemData" : { "ISSN" : "1368-4973", "PMID" : "15459406", "abstract" : "OBJECTIVES To investigate ethnic differences in rates of gonorrhoea using empirical sexual behaviour data in a simple mathematical model. To explore the impact of different intervention strategies in this simulated population. METHODS The findings from cross sectional studies of gonorrhoea rates and sexual behaviour in three ethnic groups in south east London were used to determine the parameters for a deterministic, mathematical model of gonorrhoea transmission dynamics, in a population stratified by sex, sexual activity (rate of partner change), and ethnic group (white, black African, and black Caribbean). We compared predicted and observed rates of infection and simulated the effects of targeted and population-wide intervention strategies. RESULTS In model simulations the reported sexual behaviours and mixing patterns generated major differences in the rates of gonorrhoea experienced by each subpopulation. The fit of the model to observed data was sensitive to assumptions about the degree of mixing by level of sexual activity, the numbers of sexual partnerships reported by men and women, and the degree to which observed data underestimate female infection rates. Interventions to reduce duration of infection were most effective when targeted at black Caribbeans. CONCLUSIONS Average measures of sexual behaviour in large populations are inadequate descriptors for the epidemiology of gonorrhoea. The consistency between the model results and empirical data shows that profound differences in gonorrhoea rates between ethnic groups can be explained by modest differences in a limited number of sexual behaviours and mixing patterns. Targeting effective services to particular ethnic groups can have a disproportionate influence on disease reduction in the whole community.", "author" : [ { "dropping-particle" : "", "family" : "Turner", "given" : "K M E", "non-dropping-particle" : "", "parse-names" : false, "suffix" : "" }, { "dropping-particle" : "", "family" : "Garnett", "given" : "G P", "non-dropping-particle" : "", "parse-names" : false, "suffix" : "" }, { "dropping-particle" : "", "family" : "Ghani", "given" : "A C", "non-dropping-particle" : "", "parse-names" : false, "suffix" : "" }, { "dropping-particle" : "", "family" : "Sterne", "given" : "J A C", "non-dropping-particle" : "", "parse-names" : false, "suffix" : "" }, { "dropping-particle" : "", "family" : "Low", "given" : "N", "non-dropping-particle" : "", "parse-names" : false, "suffix" : "" } ], "container-title" : "Sex Transm Infect", "id" : "ITEM-11", "issue" : "5", "issued" : { "date-parts" : [ [ "2004", "10" ] ] }, "page" : "379-85", "title" : "Investigating ethnic inequalities in the incidence of sexually transmitted infections: mathematical modelling study.", "type" : "article-journal", "volume" : "80" }, "uris" : [ "http://www.mendeley.com/documents/?uuid=b741299d-47c9-4745-8a29-1a358d689962" ] }, { "id" : "ITEM-12",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"ITEM-12",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"ITEM-13",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"ITEM-13", "issue" : "2", "issued" : { "date-parts" : [ [ "2012", "2" ] ] }, "page" : "161-8", "title" : "The role of sexually transmitted infections in the evolution of the South African HIV epidemic.", "type" : "article-journal", "volume" : "17" }, "uris" : [ "http://www.mendeley.com/documents/?uuid=0e1ea8f2-849f-41da-864c-66e864358726" ] }, { "id" : "ITEM-14", "itemData" : { "ISSN" : "1552-3926", "PMID" : "22201639", "abstract" : "A mathematical model of HIV/sexually transmitted infections (STI) transmission was used to examine how linearity or nonlinearity in the relationship between the number of unprotected sex acts (or the number of sex partners) and the risk of acquiring HIV or a highly infectious STI (such as gonorrhea or chlamydia) affects the utility of sexual behavior change measures as indicators of the effectiveness of HIV/STI risk-reduction interventions. Findings indicate that the risk of acquiring HIV through vaginal intercourse is essentially a linear function of the number of unprotected sex acts and is nearly independent of the number of sex partners. Consequently, the number of unprotected sex acts is an excellent marker for the risk of acquiring HIV through vaginal intercourse, whereas the number of sex partners is largely uninformative. In general, the number of unprotected sex acts is not an adequate marker for the risk of acquiring a highly infectious STI due to the highly nonlinear per act transmission dynamics of these STIs. The number of sex partners is a reasonable indicator of STI risk only under highly circumscribed conditions. A theoretical explanation for this pattern of results is provided. The contrasting extent to which HIV and highly infectious STIs deviate from the linearity assumption that underlies sexual behavior outcome measures has important implications for the use of these measures to assess the effectiveness of HIV/STI risk-reduction interventions.", "author" : [ { "dropping-particle" : "", "family" : "Pinkerton", "given" : "Steven D", "non-dropping-particle" : "", "parse-names" : false, "suffix" : "" }, { "dropping-particle" : "", "family" : "Chesson", "given" : "Harrell W", "non-dropping-particle" : "", "parse-names" : false, "suffix" : "" }, { "dropping-particle" : "", "family" : "Crosby", "given" : "Richard A", "non-dropping-particle" : "", "parse-names" : false, "suffix" : "" }, { "dropping-particle" : "", "family" : "Layde", "given" : "Peter M", "non-dropping-particle" : "", "parse-names" : false, "suffix" : "" } ], "container-title" : "Evaluation review", "id" : "ITEM-14", "issue" : "5", "issued" : { "date-parts" : [ [ "2011", "10" ] ] }, "page" : "550-65", "title" : "Linearity and nonlinearity in HIV/STI transmission: implications for the evaluation of sexual risk reduction interventions.", "type" : "article-journal", "volume" : "35" }, "uris" : [ "http://www.mendeley.com/documents/?uuid=ba33c3b9-70d4-4605-87be-949d735dc67a", "http://www.mendeley.com/documents/?uuid=2aa0763d-848f-3348-90c5-3f86a6c79f36", "http://www.mendeley.com/documents/?uuid=8ee003b3-eb11-4a71-8926-79f04189dad5" ] }, { "id" : "ITEM-15", "itemData" : { "ISSN" : "0956-4624", "PMID" : "12803939", "abstract" : "The same sexual behaviours that transmit HIV are implicated in the transmission of certain other STDs, including chlamydia, gonorrhoea, and syphilis. Consequently, it is often assumed that preventive methods that are effective against HIV should be equally effective against other STDs. The purpose of this study was to examine this assumption. We applied a mathematical model of HIV/STD transmission to empirical data from a large HIV prevention intervention that stressed sexual behaviour change. We modelled the effects of two behavioural strategies - reducing the number of sex partners and increasing condom use-on the proportionate change in intervention participants' cumulative risk of acquiring HIV or a highly-infectious STD, such as gonorrhoea. The results of this modelling exercise indicate that decreasing the number of partners is a more effective strategy for reducing STD risk than it is for HIV risk. In contrast, condoms are somewhat more effective at reducing the cumulative transmission risk for HIV than for highly infectious STDs. The protection provided by condoms for multiple acts of intercourse critically depends on the infectiousness of the STD. The results of this study suggest caution in extrapolating from one STD to another, or from one behavioural risk reduction strategy to another.", "author" : [ { "dropping-particle" : "", "family" : "Pinkerton", "given" : "S D", "non-dropping-particle" : "", "parse-names" : false, "suffix" : "" }, { "dropping-particle" : "", "family" : "Layde", "given" : "P M", "non-dropping-particle" : "", "parse-names" : false, "suffix" : "" }, { "dropping-particle" : "", "family" : "DiFranceisco", "given" : "W", "non-dropping-particle" : "", "parse-names" : false, "suffix" : "" }, { "dropping-particle" : "", "family" : "Chesson", "given" : "H W", "non-dropping-particle" : "", "parse-names" : false, "suffix" : "" }, { "dropping-particle" : "", "family" : "NIMH Multisite HIV Prevention Trial Group", "given" : "", "non-dropping-particle" : "", "parse-names" : false, "suffix" : "" } ], "container-title" : "Int J STD AIDS", "id" : "ITEM-15", "issue" : "5", "issued" : { "date-parts" : [ [ "2003", "5" ] ] }, "page" : "320-8", "title" : "All STDs are not created equal: An analysis of the differential effects of sexual behaviour changes on different STDs", "type" : "article-journal", "volume" : "14" }, "uris" : [ "http://www.mendeley.com/documents/?uuid=52fb46aa-46a1-4af9-9eca-f3a2fe822614" ] }, { "id" : "ITEM-16", "itemData" : { "ISSN" : "1525-4135", "PMID" : "12352153", "abstract" : "Most sexually transmitted disease (STD)/HIV sexual risk reduction intervention trials are evaluated using behavioral outcomes as their main indicators of intervention effectiveness. How good are behavioral measures as surrogate markers for STD infection? Do the behavioral changes that are commonly assessed in risk reduction interventions accurately reflect changes in STD risk? We applied a mathematical model of STD/HIV transmission to empiric data from a large HIV prevention intervention to estimate pre- to postintervention changes in intervention participants' STD risk. We then used the coefficient of determination (R(2)) to assess the strength of association between changes in STD risk and changes in three behavioral measures: proportion of acts of intercourse for which condoms were used, number of sex partners, and number of acts of unprotected intercourse. The results indicate that change in the number of acts of unprotected intercourse is a superior marker of STD risk changes for less infectious STDs such as HIV, whereas change in the number of partners may be preferable for highly infectious STDs such as gonorrhea. Changes in the proportion of acts of intercourse for which condoms were used were not strongly correlated with changes in STD risk under most of the conditions examined in this analysis. The utility of different measures of sexual behavior change as markers for changes in STD risk and, hence, expected incidence, depends on the infectivity and prevalence of the target STD.", "author" : [ { "dropping-particle" : "", "family" : "Pinkerton", "given" : "Steven David", "non-dropping-particle" : "", "parse-names" : false, "suffix" : "" }, { "dropping-particle" : "", "family" : "Chesson", "given" : "Harrell Warren", "non-dropping-particle" : "", "parse-names" : false, "suffix" : "" }, { "dropping-particle" : "", "family" : "Layde", "given" : "Peter Mark", "non-dropping-particle" : "", "parse-names" : false, "suffix" : "" }, { "dropping-particle" : "", "family" : "National Institute of Mental Health Multisite HIV Prevention Trial Group", "given" : "", "non-dropping-particle" : "", "parse-names" : false, "suffix" : "" } ], "container-title" : "J Acquir Immune Defic Syndr", "id" : "ITEM-16", "issue" : "1", "issued" : { "date-parts" : [ [ "2002", "9", "1" ] ] }, "page" : "71-9", "title" : "Utility of behavioral changes as markers of sexually transmitted disease risk reduction in sexually transmitted disease/HIV prevention trials.", "type" : "article-journal", "volume" : "31" }, "uris" : [ "http://www.mendeley.com/documents/?uuid=4972f14e-cde3-40ed-a29b-99061b6c5d9f" ] }, { "id" : "ITEM-17", "itemData" : { "ISSN" : "0148-5717", "PMID" : "11984448", "abstract" : "BACKGROUND Because many of the sexual behaviors that place individuals at risk of acquiring HIV are the same as those that place them at risk for other sexually transmitted diseases (STDs), researchers and policymakers have called for the use of non-HIV STDs as surrogate markers for HIV infection. GOALS This study examined the epidemiologic conditions under which changes in STD incidence are associated with changes in HIV incidence. STUDY DESIGN A mathematical model of HIV/STD transmission was applied to empirical data from a large HIV prevention intervention. The association between participants' HIV infection risk reduction scores and their STD risk reduction scores was measured with use of the Pearson product-moment correlation. The authors examined how the strength of association varied across different epidemiologic parameters and heterosexual behaviors. RESULTS Moderate to strong associations were noted when the infectivity of the STD was similar to the infectivity of HIV. The association was attenuated for larger STD infectivity values. The prevalence of STD infection was a less important determinant of the strength of association. Stronger associations were obtained when the number of sex partners was large or the number of sex acts was small. CONCLUSIONS Easily transmitted STDs, such as gonorrhea, are unsuitable for general use as surrogate markers for HIV infection. Hepatitis B, syphilis, and chlamydial infection have more promising epidemiologic profiles. Careful studies of STD infectivity are needed to aid in the identification of potential marker STDs.", "author" : [ { "dropping-particle" : "", "family" : "Pinkerton", "given" : "Steven D", "non-dropping-particle" : "", "parse-names" : false, "suffix" : "" }, { "dropping-particle" : "", "family" : "Layde", "given" : "Peter M", "non-dropping-particle" : "", "parse-names" : false, "suffix" : "" }, { "dropping-particle" : "", "family" : "NIMH multisite HIV prevention trial group", "given" : "", "non-dropping-particle" : "", "parse-names" : false, "suffix" : "" } ], "container-title" : "Sex Transm Dis", "id" : "ITEM-17", "issue" : "5", "issued" : { "date-parts" : [ [ "2002", "5" ] ] }, "page" : "298-307", "title" : "Using sexually transmitted disease incidence as a surrogate marker for HIV incidence in prevention trials: a modeling study.", "type" : "article-journal", "volume" : "29" }, "uris" : [ "http://www.mendeley.com/documents/?uuid=ee316a28-9acf-468c-8cc4-aa064d938629" ] }, { "id" : "ITEM-18", "itemData" : { "ISSN" : "0300-5771", "author" : [ { "dropping-particle" : "", "family" : "Stigum", "given" : "Hein", "non-dropping-particle" : "", "parse-names" : false, "suffix" : "" }, { "dropping-particle" : "", "family" : "Magnus", "given" : "Per", "non-dropping-particle" : "", "parse-names" : false, "suffix" : "" }, { "dropping-particle" : "", "family" : "Veierod", "given" : "Marit", "non-dropping-particle" : "", "parse-names" : false, "suffix" : "" }, { "dropping-particle" : "", "family" : "Bakketeig", "given" : "Leiv S", "non-dropping-particle" : "", "parse-names" : false, "suffix" : "" } ], "container-title" : "Int J Epidem", "id" : "ITEM-18", "issue" : "4", "issued" : { "date-parts" : [ [ "1995" ] ] }, "page" : "813-820", "publisher" : "Oxford University Press", "title" : "Impact on Sexually Transmitted Disease Spread of Increased Condom Use by Young Females, 1987\u20131992", "type" : "article-journal", "volume" : "24" }, "uris" : [ "http://www.mendeley.com/documents/?uuid=fc5b02b4-bb3e-4e0f-9e83-3adac47bbe37" ] }, { "id" : "ITEM-19", "itemData" : { "ISSN" : "1368-4973", "PMID" : "17012515", "abstract" : "BACKGROUND In sub-Saharan Africa, gonococcal and chlamydial infections are usually managed using the syndromic approach. However, many infections are asymptomatic in women, and the syndromic algorithm has poor sensitivity and specificity for infections caused by Neisseria gonorrhoeae (Ng) and Chlamydia trachomatis (Ct). Because of this, rapid point of care (POC) tests for Ct/Ng could improve sexually transmitted infection (STI) management in women. This study uses mathematical modelling to estimate the incremental cost effectiveness of using POC tests to diagnose Ng/Ct instead of the current syndromic approach used by the SIDA2 HIV/STI prevention project for female sex workers in Cotonou, Benin. METHODS A dynamic mathematical model was used with data from Cotonou to estimate the HIV impact of the existing SIDA2 project (1995-8), and to project how impact would change if POC tests had been used. As observed in test evaluations, the POC tests were assumed to have high specificity, but a range of sensitivities. The incremental economic cost effectiveness of using POC tests was modelled using data on intervention costs and an evaluation of an Ng POC test in Cotonou in 2004. All costs were in 2004 US dollars. RESULTS The model estimated the STI treatment aspect of the intervention averted 18 553 Ng/Ct and 359 HIV infections over 4 years when the syndromic approach was used. In contrast, if Ng/Ct had been diagnosed with a 70-80% sensitive and 95% specific POC test then 24-31% fewer clinic attenders would have been treated, 40-60% more Ng/Ct and HIV infections would have been averted, and the incremental cost effectiveness of using them would have been 107-151 dollars per HIV infection averted if the POC tests cost 2 dollars and 58-81 dollars if they cost 1 dollar. CONCLUSIONS POC tests can be a cost effective strategy for substantially increasing the impact on HIV transmission, and decreasing the degree of inappropriate treatment of STI treatment interventions that use syndromic management to diagnose Ng/Ct.", "author" : [ { "dropping-particle" : "", "family" : "Vickerman", "given" : "P", "non-dropping-particle" : "", "parse-names" : false, "suffix" : "" }, { "dropping-particle" : "", "family" : "Watts", "given" : "C", "non-dropping-particle" : "", "parse-names" : false, "suffix" : "" }, { "dropping-particle" : "", "family" : "Peeling", "given" : "R W", "non-dropping-particle" : "", "parse-names" : false, "suffix" : "" }, { "dropping-particle" : "", "family" : "Mabey", "given" : "D", "non-dropping-particle" : "", "parse-names" : false, "suffix" : "" }, { "dropping-particle" : "", "family" : "Alary", "given" : "M", "non-dropping-particle" : "", "parse-names" : false, "suffix" : "" } ], "container-title" : "Sex Transm Infect", "id" : "ITEM-19", "issue" : "5", "issued" : { "date-parts" : [ [ "2006", "10" ] ] }, "page" : "403-12", "title" : "Modelling the cost effectiveness of rapid point of care diagnostic tests for the control of HIV and other sexually transmitted infections among female sex workers.", "type" : "article-journal", "volume" : "82" }, "uris" : [ "http://www.mendeley.com/documents/?uuid=34653315-add2-4125-a9d5-d49b26f46065" ] }, { "id" : "ITEM-20",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"ITEM-20",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"ITEM-21",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"ITEM-21", "issued" : { "date-parts" : [ [ "2013" ] ] }, "page" : "188", "title" : "Population movement can sustain STI prevalence in remote Australian indigenous communities.", "type" : "article-journal", "volume" : "13" }, "uris" : [ "http://www.mendeley.com/documents/?uuid=439c8ade-8864-4f5e-9dff-966b3d367e00" ] }, { "id" : "ITEM-22", "itemData" : { "ISSN" : "1472-3263", "PMID" : "24273127", "abstract" : "OBJECTIVES To estimate the costs and benefits of clinical pathways incorporating a point of care (POC) nucleic acid amplification test (NAAT) for chlamydia and gonorrhoea in genitourinary medicine (GUM) clinics compared with standard off-site laboratory testing. METHOD We simulated 1.2 million GUM clinic attendees in England. A simulation in Microsoft Excel was developed to compare existing standard pathways of management for chlamydia and gonorrhoea with a POC NAAT. We conducted scenario analyses to evaluate the robustness of the model findings. The primary outcome was the incremental cost-effectiveness ratio. Secondary outcomes included the number of inappropriate treatments, complications and transmissions averted. RESULTS The baseline cost of using the point of POC NAAT was \u00a3103.9 million compared with \u00a3115.6 million for standard care. The POC NAAT was also associated with a small increase of 46 quality adjusted life years, making the new test both more effective and cheaper. Over 95 000 inappropriate treatments might be avoided by using a POC NAAT. Patients receive diagnosis and treatment on the same day as testing, which may also prevent 189 cases of pelvic inflammatory disease and 17 561 onward transmissions annually. DISCUSSION Replacing standard laboratory tests for chlamydia and gonorrhoea with a POC test could be cost saving and patients would benefit from more accurate diagnosis and less unnecessary treatment. Overtreatment currently accounts for about a tenth of the reported treatments for chlamydia and gonorrhoea and POC NAATs would effectively eliminate the need for presumptive treatment.", "author" : [ { "dropping-particle" : "", "family" : "Turner", "given" : "Katherine M E", "non-dropping-particle" : "", "parse-names" : false, "suffix" : "" }, { "dropping-particle" : "", "family" : "Round", "given" : "Jeff", "non-dropping-particle" : "", "parse-names" : false, "suffix" : "" }, { "dropping-particle" : "", "family" : "Horner", "given" : "Patrick", "non-dropping-particle" : "", "parse-names" : false, "suffix" : "" }, { "dropping-particle" : "", "family" : "Macleod", "given" : "John", "non-dropping-particle" : "", "parse-names" : false, "suffix" : "" }, { "dropping-particle" : "", "family" : "Goldenberg", "given" : "Simon", "non-dropping-particle" : "", "parse-names" : false, "suffix" : "" }, { "dropping-particle" : "", "family" : "Deol", "given" : "Arminder", "non-dropping-particle" : "", "parse-names" : false, "suffix" : "" }, { "dropping-particle" : "", "family" : "Adams", "given" : "Elisabeth J", "non-dropping-particle" : "", "parse-names" : false, "suffix" : "" } ], "container-title" : "Sex Transm Infect", "id" : "ITEM-22", "issue" : "2", "issued" : { "date-parts" : [ [ "2014", "3" ] ] }, "page" : "104-11", "title" : "An early evaluation of clinical and economic costs and benefits of implementing point of care NAAT tests for Chlamydia trachomatis and Neisseria gonorrhoea in genitourinary medicine clinics in England.", "type" : "article-journal", "volume" : "90" }, "uris" : [ "http://www.mendeley.com/documents/?uuid=839e0394-dfc6-4cc9-a76a-47483ec8b07d", "http://www.mendeley.com/documents/?uuid=a5843ce2-3049-36bd-81de-6855a2dcb6c5", "http://www.mendeley.com/documents/?uuid=2c48344d-f34d-4e15-8d29-c02873e8ebeb" ] }, { "id" : "ITEM-23",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"ITEM-23",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"&lt;sup&gt;40\u201344,49,54\u201356,58,61,64,76\u201386&lt;/sup&gt;", "plainTextFormattedCitation" : "40\u201344,49,54\u201356,58,61,64,76\u201386", "previouslyFormattedCitation" : "&lt;sup&gt;40\u201344,49,54\u201356,58,61,64,76\u201386&lt;/sup&gt;"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40–44,49,54–56,58,61,64,76–86</w:t>
      </w:r>
      <w:r w:rsidRPr="0024409C">
        <w:rPr>
          <w:rFonts w:ascii="Helvetica Neue" w:hAnsi="Helvetica Neue"/>
        </w:rPr>
        <w:fldChar w:fldCharType="end"/>
      </w:r>
      <w:r w:rsidRPr="0024409C">
        <w:rPr>
          <w:rFonts w:ascii="Helvetica Neue" w:hAnsi="Helvetica Neue"/>
        </w:rPr>
        <w:t xml:space="preserve"> with an outer range of 0.1 to 1.</w:t>
      </w:r>
      <w:r w:rsidRPr="0024409C">
        <w:rPr>
          <w:rFonts w:ascii="Helvetica Neue" w:hAnsi="Helvetica Neue"/>
        </w:rPr>
        <w:fldChar w:fldCharType="begin" w:fldLock="1"/>
      </w:r>
      <w:r w:rsidR="002E5A1F">
        <w:rPr>
          <w:rFonts w:ascii="Helvetica Neue" w:hAnsi="Helvetica Neue"/>
        </w:rPr>
        <w:instrText>ADDIN CSL_CITATION { "citationItems" : [ { "id" : "ITEM-1", "itemData" : { "ISSN" : "1879-3134", "PMID" : "20043928", "abstract" : "A multigroup model is considered for a disease transmitted heterosexually in which there is a core group that has higher sexual activity than other groups. In order to develop control strategies to eradicate the disease, type reproduction numbers are determined. A graph-theoretic interpretation of type reproduction numbers for a star network with a core group at the center is established. Using these general formulas for the star network, a two-group model consisting of a core and a non-core group is considered. If disease can persist in the core group in isolation, then the amount of increase of treatment or decrease of the contact rate of infectious males (or females) in the core group that is required to eradicate the disease is expressed in terms of model parameters. If disease can persist but not in either group in isolation, then the amount of reduction of the connection between the two groups needed to eradicate the disease is determined. These two cases are illustrated with parameters applicable to gonorrhea in the US.", "author" : [ { "dropping-particle" : "", "family" : "Edwards", "given" : "R", "non-dropping-particle" : "", "parse-names" : false, "suffix" : "" }, { "dropping-particle" : "", "family" : "Kim", "given" : "Sehjeong", "non-dropping-particle" : "", "parse-names" : false, "suffix" : "" }, { "dropping-particle" : "", "family" : "Driessche", "given" : "Pauline", "non-dropping-particle" : "van den", "parse-names" : false, "suffix" : "" } ], "container-title" : "Math Biosci", "id" : "ITEM-1", "issue" : "2", "issued" : { "date-parts" : [ [ "2010", "4" ] ] }, "page" : "87-94", "title" : "A multigroup model for a heterosexually transmitted disease.", "type" : "article-journal", "volume" : "224" }, "uris" : [ "http://www.mendeley.com/documents/?uuid=3df8a432-322c-380d-8aae-1c0dba5816b0", "http://www.mendeley.com/documents/?uuid=0490f6ec-2920-48e3-87f7-187e1dfdd212" ] }, { "id" : "ITEM-2", "itemData" : { "ISSN" : "0264410X", "abstract" : "Gonorrhea, one of the most common sexually transmitted infections worldwide, can lead to serious sequelae, including infertility and increased HIV transmission. Recently, untreatable, multidrug-resistant Neisseria gonorrhoeae strains have been reported. In the absence of new antibiotics, and given the speed with which resistance has emerged to all previously used antibiotics, development of a vaccine would be the ideal solution to this public health emergency. Understanding the desired characteristics, target population, and expected impact of an anti-gonococcal vaccine is essential to facilitate vaccine design, assessment and implementation. The modeling presented herein aims to fill these conceptual gaps, and inform future gonococcal vaccine development. Using an individual-based, epidemiological simulation model, gonococcal prevalence was simulated in a heterosexual population of 100,000 individuals after the introduction of vaccines with varied efficacy (10\u2013100%) and duration of protection (2.5\u201320 years). Model simulations predict that gonococcal prevalence could be reduced by at least 90% after 20 years, if all 13-year-olds were given a non-waning vaccine with 50% efficacy, or a vaccine with 100% efficacy that wanes after 7.5 years. A 40% reduction in prevalence is achievable with a non-waning vaccine of only 20% efficacy. We conclude that a vaccine of moderate efficacy and duration could have a substantive impact on gonococcal prevalence, and disease sequelae, if coverage is high and protection lasts over the highest risk period (i.e., most sexual partner change) among young people.", "author" : [ { "dropping-particle" : "", "family" : "Craig", "given" : "Andrew P.", "non-dropping-particle" : "", "parse-names" : false, "suffix" : "" }, { "dropping-particle" : "", "family" : "Gray", "given" : "Richard T.", "non-dropping-particle" : "", "parse-names" : false, "suffix" : "" }, { "dropping-particle" : "", "family" : "Edwards", "given" : "Jennifer L.", "non-dropping-particle" : "", "parse-names" : false, "suffix" : "" }, { "dropping-particle" : "", "family" : "Apicella", "given" : "Michael A.", "non-dropping-particle" : "", "parse-names" : false, "suffix" : "" }, { "dropping-particle" : "", "family" : "Jennings", "given" : "Michael P.", "non-dropping-particle" : "", "parse-names" : false, "suffix" : "" }, { "dropping-particle" : "", "family" : "Wilson", "given" : "David P.", "non-dropping-particle" : "", "parse-names" : false, "suffix" : "" }, { "dropping-particle" : "", "family" : "Seib", "given" : "Kate L.", "non-dropping-particle" : "", "parse-names" : false, "suffix" : "" } ], "container-title" : "Vaccine", "id" : "ITEM-2", "issue" : "36", "issued" : { "date-parts" : [ [ "2015" ] ] }, "page" : "4520-4525", "title" : "The potential impact of vaccination on the prevalence of gonorrhea", "type" : "article-journal", "volume" : "33" }, "uris" : [ "http://www.mendeley.com/documents/?uuid=68d9b0c6-5bf1-3557-8f4b-a46d0f1c8a01", "http://www.mendeley.com/documents/?uuid=f7ca839a-9977-4bb8-9aac-adf22570110c" ] }, { "id" : "ITEM-3",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"ITEM-3", "issue" : "106", "issued" : { "date-parts" : [ [ "2015" ] ] }, "page" : "20150067", "title" : "An anthropologically based model of the impact of asymptomatic cases on the spread of Neisseria gonorrhoeae.", "type" : "article-journal", "volume" : "12" }, "uris" : [ "http://www.mendeley.com/documents/?uuid=80f6739b-9b41-4722-bd93-001e23ac65df", "http://www.mendeley.com/documents/?uuid=1bdee7b1-90d9-34ba-9adf-8d5afad96b0e" ] } ], "mendeley" : { "formattedCitation" : "&lt;sup&gt;83,87,88&lt;/sup&gt;", "plainTextFormattedCitation" : "83,87,88", "previouslyFormattedCitation" : "&lt;sup&gt;83,87,88&lt;/sup&gt;"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83,87,88</w:t>
      </w:r>
      <w:r w:rsidRPr="0024409C">
        <w:rPr>
          <w:rFonts w:ascii="Helvetica Neue" w:hAnsi="Helvetica Neue"/>
        </w:rPr>
        <w:fldChar w:fldCharType="end"/>
      </w:r>
      <w:r w:rsidRPr="0024409C">
        <w:rPr>
          <w:rFonts w:ascii="Helvetica Neue" w:hAnsi="Helvetica Neue"/>
        </w:rPr>
        <w:t xml:space="preserve"> Per-day infection probability estimates ranged from 0.011 to 0.6,</w:t>
      </w:r>
      <w:r w:rsidRPr="0024409C">
        <w:rPr>
          <w:rFonts w:ascii="Helvetica Neue" w:hAnsi="Helvetica Neue"/>
        </w:rPr>
        <w:fldChar w:fldCharType="begin" w:fldLock="1"/>
      </w:r>
      <w:r w:rsidR="002E5A1F">
        <w:rPr>
          <w:rFonts w:ascii="Helvetica Neue" w:hAnsi="Helvetica Neue"/>
        </w:rPr>
        <w:instrText>ADDIN CSL_CITATION { "citationItems" : [ { "id" : "ITEM-1", "itemData" : { "ISSN" : "1742-5662", "PMID" : "25100316", "abstract" : "Host immunity and demographics (the recruitment of susceptibles via birthrate) have been demonstrated to be a key determinant of the periodicity of measles, pertussis and dengue epidemics. However, not all epidemic cycles are from pathogens inducing sterilizing immunity or are driven by demographics. Many sexually transmitted infections are driven by sexual behaviour. We present a mathematical model of disease transmission where individuals can disconnect and reconnect depending on the infectious status of their contacts. We fit the model to historic syphilis (Treponema pallidum) and gonorrhea (Neisseria gonorrhoeae) incidence in the USA and explore potential intervention strategies against syphilis. We find that cycles in syphilis incidence can be driven solely by changing sexual behaviour in structured populations. Our model also explains the lack of similar cycles in gonorrhea incidence even if the two infections share the same propagation pathways. Our model similarly illustrates how sudden epidemic outbreaks can occur on time scales smaller than the characteristic demographic time scale of the population and that weaker infections can lead to more violent outbreaks. Behaviour also appears to be critical for control strategies as we found a bigger sensitivity to behavioural interventions than antibiotic treatment. Thus, behavioural interventions may play a larger role than previously thought, especially in the face of antibiotic resistance and low intervention efficacies.", "author" : [ { "dropping-particle" : "", "family" : "Althouse", "given" : "Benjamin M", "non-dropping-particle" : "", "parse-names" : false, "suffix" : "" }, { "dropping-particle" : "", "family" : "H\u00e9bert-Dufresne", "given" : "Laurent", "non-dropping-particle" : "", "parse-names" : false, "suffix" : "" } ], "container-title" : "J R Stat Soc Series B Stat Methodol", "id" : "ITEM-1", "issue" : "99", "issued" : { "date-parts" : [ [ "2014" ] ] }, "page" : "20140575", "title" : "Epidemic cycles driven by host behaviour.", "type" : "article-journal", "volume" : "11" }, "uris" : [ "http://www.mendeley.com/documents/?uuid=cd3cc0ab-07b3-3ab2-9b00-936f8efe4b14", "http://www.mendeley.com/documents/?uuid=5b1e6cfe-dd3b-482e-a353-f991049511f6" ] }, { "id" : "ITEM-2", "itemData" : { "ISSN" : "1386-9620", "PMID" : "18074967", "abstract" : "Contact tracing (also known as partner notification) is a primary means of controlling infectious diseases such as tuberculosis (TB), human immunodeficiency virus (HIV), and sexually transmitted diseases (STDs). However, little work has been done to determine the optimal level of investment in contact tracing. In this paper, we present a methodology for evaluating the appropriate level of investment in contact tracing. We develop and apply a simulation model of contact tracing and the spread of an infectious disease among a network of individuals in order to evaluate the cost and effectiveness of different levels of contact tracing. We show that contact tracing is likely to have diminishing returns to scale in investment: incremental investments in contact tracing yield diminishing reductions in disease prevalence. In conjunction with a cost-effectiveness threshold, we then determine the optimal amount that should be invested in contact tracing. We first assume that the only incremental disease control is contact tracing. We then extend the analysis to consider the optimal allocation of a budget between contact tracing and screening for exogenous infection, and between contact tracing and screening for endogenous infection. We discuss how a simulation model of this type, appropriately tailored, could be used as a policy tool for determining the appropriate level of investment in contact tracing for a specific disease in a specific population. We present an example application to contact tracing for chlamydia control.", "author" : [ { "dropping-particle" : "", "family" : "Armbruster", "given" : "Benjamin", "non-dropping-particle" : "", "parse-names" : false, "suffix" : "" }, { "dropping-particle" : "", "family" : "Brandeau", "given" : "Margaret L", "non-dropping-particle" : "", "parse-names" : false, "suffix" : "" } ], "container-title" : "Health Care Manag Sci", "id" : "ITEM-2", "issue" : "4", "issued" : { "date-parts" : [ [ "2007", "12" ] ] }, "page" : "341-55", "title" : "Contact tracing to control infectious disease: when enough is enough.", "type" : "article-journal", "volume" : "10" }, "uris" : [ "http://www.mendeley.com/documents/?uuid=a259d1eb-ded8-4212-8b42-2d47ef69c8b6", "http://www.mendeley.com/documents/?uuid=08bf6bbf-3be1-350b-81e0-dff9e63bc8e7" ] }, { "id" : "ITEM-3",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"ITEM-3",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"http://www.mendeley.com/documents/?uuid=b071e532-c9c2-4673-9692-375f32b7ae49" ] } ], "mendeley" : { "formattedCitation" : "&lt;sup&gt;68,78,89&lt;/sup&gt;", "plainTextFormattedCitation" : "68,78,89", "previouslyFormattedCitation" : "&lt;sup&gt;68,78,89&lt;/sup&gt;"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68,78,89</w:t>
      </w:r>
      <w:r w:rsidRPr="0024409C">
        <w:rPr>
          <w:rFonts w:ascii="Helvetica Neue" w:hAnsi="Helvetica Neue"/>
        </w:rPr>
        <w:fldChar w:fldCharType="end"/>
      </w:r>
      <w:r w:rsidRPr="0024409C">
        <w:rPr>
          <w:rFonts w:ascii="Helvetica Neue" w:hAnsi="Helvetica Neue"/>
        </w:rPr>
        <w:t xml:space="preserve"> with higher probabilities estimates for non-main partnerships. Per-partnership estimates differed widely, ranging from 0.10 to 0.80.</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"PMID" : "8836026", "abstract" : "BACKGROUND Studies have reported that infection with certain sexually transmitted diseases (STD), such as chancroid, gonorrhea, and genital herpes, enhances the probability of human immunodeficiency virus (HIV) transmission by sexual contact with an infected partner. Epidemiologic studies vary in design from longitudinal to cross-sectional, with varying periods of follow-up or retrospective history of exposure to STD. The major difficulty in assessing the results of past work centers on the validity and precision of widely used measures of association, such as relative risk (RR) and odds ratio (OR), in situations in which common behavior (e.g., different facets of sexual behavior) underpins the acquisition of both the STD cofactor and HIV. GOAL To evaluate the quality of the cumulative incidence ratio (CIR), the hazard rate ratio (HRR), and the prevalence ratio (PR) as measures of association to estimate and test the increase in HIV transmission probabilities caused by the STD. STUDY DESIGN The study is based on a proportional hazard stochastic model of concomitant HIV and STD cofactor transmission. Analysis was performed using Monte-Carlo simulation. RESULTS Estimates of the HIV-STD association by the CIR, HRR, and PR, adjusted and nonadjusted for sexual activity, are shown to have poor validity and great variability. The adjusted CIR, HRR, and PR tend to underestimate the strength of the true association (specified in the model) in both longitudinal and cross-sectional designs. In the absence an HIV-STD association, the PR tends to overestimate the magnitude, whereas the CIR and HRR may either underestimate or overestimate it in longitudinal studies. These results have direct consequences on the reliability of the test of association showing both a lack of specificity (empirical type I error) and sensitivity (empirical power). Some reasons contributing to the bias in the estimates of the measures of association are the presence of confounding variables, namely the frequency of change of sex partner and the mixing pattern between sexual activity classes, as well as the adopted definition of exposure to the STD cofactor and the prevalence of both HIV and the STD cofactor. CONCLUSIONS The precision of estimates and reliability of the test of HIV-STD association could be improved through longitudinal studies using more careful definition and measurement of exposure to the STD cofactor and larger sample sizes permitting finer stratification of sexual behav\u2026", "author" : [ { "dropping-particle" : "", "family" : "Boily", "given" : "M C", "non-dropping-particle" : "", "parse-names" : false, "suffix" : "" }, { "dropping-particle" : "", "family" : "Anderson", "given" : "R M", "non-dropping-particle" : "", "parse-names" : false, "suffix" : "" } ], "container-title" : "Sex Transm Dis", "id" : "ITEM-1", "issue" : "4", "issued" : { "date-parts" : [ [ "1996" ] ] }, "page" : "312-32", "title" : "Human immunodeficiency virus transmission and the role of other sexually transmitted diseases. Measures of association and study design.", "type" : "article-journal", "volume" : "23" }, "uris" : [ "http://www.mendeley.com/documents/?uuid=c3294f5e-676e-3257-b978-06db0c39a45d", "http://www.mendeley.com/documents/?uuid=973f7399-68f9-4c40-a0d7-bae81ca8a778" ] }, { "id" : "ITEM-2",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"ITEM-2", "issue" : "1384", "issued" : { "date-parts" : [ [ "1999", "4" ] ] }, "page" : "787-97", "title" : "The transmission dynamics of gonorrhoea: modelling the reported behaviour of infected patients from Newark, New Jersey.", "type" : "article-journal", "volume" : "354" }, "uris" : [ "http://www.mendeley.com/documents/?uuid=0e7600dd-68c6-3779-a988-e44f217aaaf2", "http://www.mendeley.com/documents/?uuid=a0924c6a-947c-4c24-a77d-49f8d1ee76f0" ] }, { "id" : "ITEM-3", "itemData" : { "ISSN" : "0265-0746", "PMID" : "1517673", "abstract" : "Sexually transmitted diseases such as gonorrhoea are a significant cause of infertility in women when the infection is untreated. They have the potential to alter human population growth rates in many developing countries where sexually transmitted diseases are prevalent due to limited public health facilities for diagnosis and treatment. The authors develop a simple model describing the conditions under which such a disease can exist in a growing population in which sexual partners are chosen at random by proportionate mixing. Using the model, the impact that such a disease could have for a range of possible parameters is examined. Then a full parameter set for gonorrhoea in a developing country is estimated. Analysis demonstrates the significant influence gonococcal infection may have in reducing population growth rate in some communities. For example, the simple model predicts that a prevalence of 20% in sexually active adults results in a 50% reduction in the population growth rate. Finally, the authors discuss how potential control initiatives may change the parameter values that determine transmission and alter the demographic impact of gonorrhoea.", "author" : [ { "dropping-particle" : "", "family" : "Swinton", "given" : "J", "non-dropping-particle" : "", "parse-names" : false, "suffix" : "" }, { "dropping-particle" : "", "family" : "Garnett", "given" : "G P",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"ITEM-3", "issue" : "2", "issued" : { "date-parts" : [ [ "1992" ] ] }, "page" : "107-26", "title" : "Gonococcal infection, infertility, and population growth: I. Endemic states in behaviourally homogeneous growing populations.", "type" : "article-journal", "volume" : "9" }, "uris" : [ "http://www.mendeley.com/documents/?uuid=a9f6bed3-5634-43ba-b20e-a0b8932feab2", "http://www.mendeley.com/documents/?uuid=54b6137f-184c-3b3a-a9e5-1d7a30ac7f97" ] } ], "mendeley" : { "formattedCitation" : "&lt;sup&gt;57,90,91&lt;/sup&gt;", "plainTextFormattedCitation" : "57,90,91", "previouslyFormattedCitation" : "&lt;sup&gt;57,90,91&lt;/sup&gt;"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57,90,91</w:t>
      </w:r>
      <w:r w:rsidRPr="0024409C">
        <w:rPr>
          <w:rFonts w:ascii="Helvetica Neue" w:hAnsi="Helvetica Neue"/>
        </w:rPr>
        <w:fldChar w:fldCharType="end"/>
      </w:r>
      <w:r w:rsidRPr="0024409C">
        <w:rPr>
          <w:rFonts w:ascii="Helvetica Neue" w:hAnsi="Helvetica Neue"/>
        </w:rPr>
        <w:t xml:space="preserve"> When FTM transmission was distinguished, the per-act</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"PMID" : "8836026", "abstract" : "BACKGROUND Studies have reported that infection with certain sexually transmitted diseases (STD), such as chancroid, gonorrhea, and genital herpes, enhances the probability of human immunodeficiency virus (HIV) transmission by sexual contact with an infected partner. Epidemiologic studies vary in design from longitudinal to cross-sectional, with varying periods of follow-up or retrospective history of exposure to STD. The major difficulty in assessing the results of past work centers on the validity and precision of widely used measures of association, such as relative risk (RR) and odds ratio (OR), in situations in which common behavior (e.g., different facets of sexual behavior) underpins the acquisition of both the STD cofactor and HIV. GOAL To evaluate the quality of the cumulative incidence ratio (CIR), the hazard rate ratio (HRR), and the prevalence ratio (PR) as measures of association to estimate and test the increase in HIV transmission probabilities caused by the STD. STUDY DESIGN The study is based on a proportional hazard stochastic model of concomitant HIV and STD cofactor transmission. Analysis was performed using Monte-Carlo simulation. RESULTS Estimates of the HIV-STD association by the CIR, HRR, and PR, adjusted and nonadjusted for sexual activity, are shown to have poor validity and great variability. The adjusted CIR, HRR, and PR tend to underestimate the strength of the true association (specified in the model) in both longitudinal and cross-sectional designs. In the absence an HIV-STD association, the PR tends to overestimate the magnitude, whereas the CIR and HRR may either underestimate or overestimate it in longitudinal studies. These results have direct consequences on the reliability of the test of association showing both a lack of specificity (empirical type I error) and sensitivity (empirical power). Some reasons contributing to the bias in the estimates of the measures of association are the presence of confounding variables, namely the frequency of change of sex partner and the mixing pattern between sexual activity classes, as well as the adopted definition of exposure to the STD cofactor and the prevalence of both HIV and the STD cofactor. CONCLUSIONS The precision of estimates and reliability of the test of HIV-STD association could be improved through longitudinal studies using more careful definition and measurement of exposure to the STD cofactor and larger sample sizes permitting finer stratification of sexual behav\u2026", "author" : [ { "dropping-particle" : "", "family" : "Boily", "given" : "M C", "non-dropping-particle" : "", "parse-names" : false, "suffix" : "" }, { "dropping-particle" : "", "family" : "Anderson", "given" : "R M", "non-dropping-particle" : "", "parse-names" : false, "suffix" : "" } ], "container-title" : "Sex Transm Dis", "id" : "ITEM-1", "issue" : "4", "issued" : { "date-parts" : [ [ "1996" ] ] }, "page" : "312-32", "title" : "Human immunodeficiency virus transmission and the role of other sexually transmitted diseases. Measures of association and study design.", "type" : "article-journal", "volume" : "23" }, "uris" : [ "http://www.mendeley.com/documents/?uuid=973f7399-68f9-4c40-a0d7-bae81ca8a778", "http://www.mendeley.com/documents/?uuid=c3294f5e-676e-3257-b978-06db0c39a45d" ] }, { "id" : "ITEM-2",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"ITEM-2", "issue" : "2", "issued" : { "date-parts" : [ [ "2012", "2" ] ] }, "page" : "161-8", "title" : "The role of sexually transmitted infections in the evolution of the South African HIV epidemic.", "type" : "article-journal", "volume" : "17" }, "uris" : [ "http://www.mendeley.com/documents/?uuid=0e1ea8f2-849f-41da-864c-66e864358726" ] }, { "id" : "ITEM-3",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"ITEM-3",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"http://www.mendeley.com/documents/?uuid=e8c52459-e327-4486-ad65-5a04f691ca3c" ] }, { "id" : "ITEM-4", "itemData" : { "ISSN" : "0277-9536", "PMID" : "11144911", "abstract" : "We assessed the cost-effectiveness of the female condom (FC) in preventing HIV infection and other STDs among commercial sex workers (CSWs) and their clients in the Mpumulanga Province of South Africa. The health and economic outcomes of current levels of male condom (MC) use in 1000 CSWs who average 25 partners per year and have an HIV prevalence of 50.3% was compared with the expected outcomes resulting from the additional provision of FCs to these CSWs. A simulation model calculated health and public sector cost outcomes assuming 5 years of HIV infectivity, 1 month of syphilis and gonorrhea infectivity, and FC use in 12% of episodes of vaginal intercourse. Delayed infections and interactions between STDs and HIV were modeled. The simulation was extended to non-CSWs with as few as one casual partner per year. We conducted multiple sensitivity analyses. The program would distribute 6000 FCs annually at a cost of $4002 and would avert 5.9 HIV, 38 syphilis, and 33 gonorrhea cases. This would save the public sector health payer $12,090 in averted HIV/AIDS treatment costs, and $1,074 in averted syphilis and gonorrhea treatment costs for a net saving of $9163. Sensitivity analyses indicate that the economic findings are robust across a wide range of values for key inputs. The program generates net savings of $5421 if HIV prevalence in CSWs is 25% rather than 50.3% and savings of S3591 if each CSW has an average of 10 clients per year rather than 25. A program focusing on non-CSWs with only one casual partner would save $199. We conclude that a well-designed FC program oriented to CSWs and other women with casual partners is likely to be highly cost-effective and can save public sector health funds in rural South Africa.", "author" : [ { "dropping-particle" : "", "family" : "Marseille", "given" : "E", "non-dropping-particle" : "", "parse-names" : false, "suffix" : "" }, { "dropping-particle" : "", "family" : "Kahn", "given" : "J G", "non-dropping-particle" : "", "parse-names" : false, "suffix" : "" }, { "dropping-particle" : "", "family" : "Billinghurst", "given" : "K", "non-dropping-particle" : "", "parse-names" : false, "suffix" : "" }, { "dropping-particle" : "", "family" : "Saba", "given" : "J", "non-dropping-particle" : "", "parse-names" : false, "suffix" : "" } ], "container-title" : "Soc Sci Med", "id" : "ITEM-4", "issue" : "1", "issued" : { "date-parts" : [ [ "2001", "1" ] ] }, "page" : "135-48", "title" : "Cost-effectiveness of the female condom in preventing HIV and STDs in commercial sex workers in rural South Africa.", "type" : "article-journal", "volume" : "52" }, "uris" : [ "http://www.mendeley.com/documents/?uuid=4375174b-6f5e-498f-9a66-4bc3fbb570fd", "http://www.mendeley.com/documents/?uuid=bd626c35-2926-3dfb-8e87-42c0328aed1e", "http://www.mendeley.com/documents/?uuid=9ddd7fb7-197e-4dd2-a141-2372603fb7e5" ] }, { "id" : "ITEM-5", "itemData" : { "ISSN" : "0956-4624", "PMID" : "12803939", "abstract" : "The same sexual behaviours that transmit HIV are implicated in the transmission of certain other STDs, including chlamydia, gonorrhoea, and syphilis. Consequently, it is often assumed that preventive methods that are effective against HIV should be equally effective against other STDs. The purpose of this study was to examine this assumption. We applied a mathematical model of HIV/STD transmission to empirical data from a large HIV prevention intervention that stressed sexual behaviour change. We modelled the effects of two behavioural strategies - reducing the number of sex partners and increasing condom use-on the proportionate change in intervention participants' cumulative risk of acquiring HIV or a highly-infectious STD, such as gonorrhoea. The results of this modelling exercise indicate that decreasing the number of partners is a more effective strategy for reducing STD risk than it is for HIV risk. In contrast, condoms are somewhat more effective at reducing the cumulative transmission risk for HIV than for highly infectious STDs. The protection provided by condoms for multiple acts of intercourse critically depends on the infectiousness of the STD. The results of this study suggest caution in extrapolating from one STD to another, or from one behavioural risk reduction strategy to another.", "author" : [ { "dropping-particle" : "", "family" : "Pinkerton", "given" : "S D", "non-dropping-particle" : "", "parse-names" : false, "suffix" : "" }, { "dropping-particle" : "", "family" : "Layde", "given" : "P M", "non-dropping-particle" : "", "parse-names" : false, "suffix" : "" }, { "dropping-particle" : "", "family" : "DiFranceisco", "given" : "W", "non-dropping-particle" : "", "parse-names" : false, "suffix" : "" }, { "dropping-particle" : "", "family" : "Chesson", "given" : "H W", "non-dropping-particle" : "", "parse-names" : false, "suffix" : "" }, { "dropping-particle" : "", "family" : "NIMH Multisite HIV Prevention Trial Group", "given" : "", "non-dropping-particle" : "", "parse-names" : false, "suffix" : "" } ], "container-title" : "Int J STD AIDS", "id" : "ITEM-5", "issue" : "5", "issued" : { "date-parts" : [ [ "2003", "5" ] ] }, "page" : "320-8", "title" : "All STDs are not created equal: An analysis of the differential effects of sexual behaviour changes on different STDs", "type" : "article-journal", "volume" : "14" }, "uris" : [ "http://www.mendeley.com/documents/?uuid=52fb46aa-46a1-4af9-9eca-f3a2fe822614" ] }, { "id" : "ITEM-6", "itemData" : { "ISSN" : "1525-4135", "PMID" : "12352153", "abstract" : "Most sexually transmitted disease (STD)/HIV sexual risk reduction intervention trials are evaluated using behavioral outcomes as their main indicators of intervention effectiveness. How good are behavioral measures as surrogate markers for STD infection? Do the behavioral changes that are commonly assessed in risk reduction interventions accurately reflect changes in STD risk? We applied a mathematical model of STD/HIV transmission to empiric data from a large HIV prevention intervention to estimate pre- to postintervention changes in intervention participants' STD risk. We then used the coefficient of determination (R(2)) to assess the strength of association between changes in STD risk and changes in three behavioral measures: proportion of acts of intercourse for which condoms were used, number of sex partners, and number of acts of unprotected intercourse. The results indicate that change in the number of acts of unprotected intercourse is a superior marker of STD risk changes for less infectious STDs such as HIV, whereas change in the number of partners may be preferable for highly infectious STDs such as gonorrhea. Changes in the proportion of acts of intercourse for which condoms were used were not strongly correlated with changes in STD risk under most of the conditions examined in this analysis. The utility of different measures of sexual behavior change as markers for changes in STD risk and, hence, expected incidence, depends on the infectivity and prevalence of the target STD.", "author" : [ { "dropping-particle" : "", "family" : "Pinkerton", "given" : "Steven David", "non-dropping-particle" : "", "parse-names" : false, "suffix" : "" }, { "dropping-particle" : "", "family" : "Chesson", "given" : "Harrell Warren", "non-dropping-particle" : "", "parse-names" : false, "suffix" : "" }, { "dropping-particle" : "", "family" : "Layde", "given" : "Peter Mark", "non-dropping-particle" : "", "parse-names" : false, "suffix" : "" }, { "dropping-particle" : "", "family" : "National Institute of Mental Health Multisite HIV Prevention Trial Group", "given" : "", "non-dropping-particle" : "", "parse-names" : false, "suffix" : "" } ], "container-title" : "J Acquir Immune Defic Syndr", "id" : "ITEM-6", "issue" : "1", "issued" : { "date-parts" : [ [ "2002", "9", "1" ] ] }, "page" : "71-9", "title" : "Utility of behavioral changes as markers of sexually transmitted disease risk reduction in sexually transmitted disease/HIV prevention trials.", "type" : "article-journal", "volume" : "31" }, "uris" : [ "http://www.mendeley.com/documents/?uuid=4972f14e-cde3-40ed-a29b-99061b6c5d9f" ] }, { "id" : "ITEM-7", "itemData" : { "ISSN" : "0148-5717", "PMID" : "18446084", "abstract" : "OBJECTIVE Both the duration of sexual partnerships and the time between two consecutive partnerships (gap length) varies between populations. We use a mathematical model with multiple partnership durations and gap lengths to identify the types of relationship cycles that sustain gonorrhea transmission in the United Kingdom. STUDY DESIGN A mathematical model for gonorrhea transmission was constructed which tracks the duration of partnerships and their preceding gap lengths. The National Survey of Sexual Attitudes and Lifestyles was used to parameterize the model population into 5 different partnership lengths (mean of 1 day, 2 weeks, 8 weeks, 30 weeks, and 10 years) and 3 preceding gap lengths (14 days, 8 weeks, and 1.5 years). RESULTS The model was able to reproduce patterns of gonococcal infection in the United Kingdom. Assortative (like-with-like) mixing of individuals with short gaps between partnerships was required for gonorrhea infection to persist. Prevalence was highest in individuals with short (&gt;1 day-&lt;1 month) and midterm partnership durations (&gt;1 month-&lt;3 months). Interventions (such as increased condom use) targeted at those with medium-term partnerships were most effective at reducing prevalence; in contrast targeting interventions at those with short partnerships but longer gap lengths (i.e., the group with the highest number of sexual partners) had relatively less impact. CONCLUSION Our model suggests that gonorrhea is sustained by the presence of a small group of individuals with short gap lengths and medium length partnerships. Interventions targeted at this group are more effective than those targeted at individuals with high numbers of sexual partners but longer gap lengths.", "author" : [ { "dropping-particle" : "", "family" : "Chen", "given" : "Mark I", "non-dropping-particle" : "", "parse-names" : false, "suffix" : "" }, { "dropping-particle" : "", "family" : "Ghani", "given" : "Azra C", "non-dropping-particle" : "", "parse-names" : false, "suffix" : "" }, { "dropping-particle" : "", "family" : "Edmunds", "given" : "John", "non-dropping-particle" : "", "parse-names" : false, "suffix" : "" } ], "container-title" : "Sex Transm Dis", "id" : "ITEM-7", "issue" : "5", "issued" : { "date-parts" : [ [ "2008", "5" ] ] }, "page" : "435-44", "title" : "Mind the gap: the role of time between sex with two consecutive partners on the transmission dynamics of gonorrhea.", "type" : "article-journal", "volume" : "35" }, "uris" : [ "http://www.mendeley.com/documents/?uuid=bd0cdbab-ee77-44b3-893c-f837cf17d3b1" ] }, { "id" : "ITEM-8",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"ITEM-8", "issue" : "106", "issued" : { "date-parts" : [ [ "2015" ] ] }, "page" : "20150067", "title" : "An anthropologically based model of the impact of asymptomatic cases on the spread of Neisseria gonorrhoeae.", "type" : "article-journal", "volume" : "12" }, "uris" : [ "http://www.mendeley.com/documents/?uuid=80f6739b-9b41-4722-bd93-001e23ac65df", "http://www.mendeley.com/documents/?uuid=1bdee7b1-90d9-34ba-9adf-8d5afad96b0e", "http://www.mendeley.com/documents/?uuid=13c9ad1c-e3c6-4852-a5a0-13204be0dd93" ] }, { "id" : "ITEM-9", "itemData" : { "ISSN" : "1932-6203", "PMID" : "26181042", "abstract" : "BACKGROUND Surveillance for gonorrhoea antimicrobial resistance (AMR) is compromised by a move away from culture-based testing in favour of more convenient nucleic acid amplification test (NAAT) tests. We assessed the potential benefit of a molecular resistance test in terms of the timeliness of detection of gonorrhoea AMR. METHODS AND FINDINGS An individual-based mathematical model was developed to describe the transmission of gonorrhoea in a remote Indigenous population in Australia. We estimated the impact of the molecular test on the time delay between first importation and the first confirmation that the prevalence of gonorrhoea AMR (resistance proportion) has breached the WHO-recommended 5% threshold (when a change in antibiotic should occur). In the remote setting evaluated in this study, the model predicts that when culture is the only available means of testing for AMR, the breach will only be detected when the actual prevalence of AMR in the population has already reached 8 - 18%, with an associated delay of ~43 - 69 months between first importation and detection. With the addition of a molecular resistance test, the number of samples for which AMR can be determined increases facilitating earlier detection at a lower resistance proportion. For the best case scenario, where AMR can be determined for all diagnostic samples, the alert would be triggered at least 8 months earlier than using culture alone and the resistance proportion will have only slightly exceeded the 5% notification threshold. CONCLUSIONS Molecular tests have the potential to provide more timely warning of the emergence of gonorrhoea AMR. This in turn will facilitate earlier treatment switching and more targeted treatment, which has the potential to reduce the population impact of gonorrhoea AMR.", "author" : [ { "dropping-particle" : "", "family" : "Hui", "given" : "Ben B", "non-dropping-particle" : "", "parse-names" : false, "suffix" : "" }, { "dropping-particle" : "", "family" : "Ryder", "given" : "Nathan", "non-dropping-particle" : "", "parse-names" : false, "suffix" : "" }, { "dropping-particle" : "", "family" : "Su", "given" : "Jiunn-Yih", "non-dropping-particle" : "", "parse-names" : false, "suffix" : "" }, { "dropping-particle" : "", "family" : "Ward", "given" : "James", "non-dropping-particle" : "", "parse-names" : false, "suffix" : "" }, { "dropping-particle" : "", "family" : "Chen", "given" : "Marcus Y", "non-dropping-particle" : "", "parse-names" : false, "suffix" : "" }, { "dropping-particle" : "", "family" : "Donovan", "given" : "Basil", "non-dropping-particle" : "", "parse-names" : false, "suffix" : "" }, { "dropping-particle" : "", "family" : "Fairley", "given" : "Christopher K", "non-dropping-particle" : "", "parse-names" : false, "suffix" : "" }, { "dropping-particle" : "", "family" : "Guy", "given" : "Rebecca J", "non-dropping-particle" : "", "parse-names" : false, "suffix" : "" }, { "dropping-particle" : "", "family" : "Lahra", "given" : "Monica M", "non-dropping-particle" : "", "parse-names" : false, "suffix" : "" }, { "dropping-particle" : "", "family" : "Law", "given" : "Mathew G", "non-dropping-particle" : "", "parse-names" : false, "suffix" : "" }, { "dropping-particle" : "", "family" : "Whiley", "given" : "David M", "non-dropping-particle" : "", "parse-names" : false, "suffix" : "" }, { "dropping-particle" : "", "family" : "Regan", "given" : "David G", "non-dropping-particle" : "", "parse-names" : false, "suffix" : "" } ], "container-title" : "PLoS ONE", "id" : "ITEM-9", "issue" : "7", "issued" : { "date-parts" : [ [ "2015" ] ] }, "page" : "e0133202", "title" : "Exploring the benefits of molecular testing for gonorrhoea antibiotic resistance surveillance in remote settings", "type" : "article-journal", "volume" : "10" }, "uris" : [ "http://www.mendeley.com/documents/?uuid=853244d6-109b-48aa-ba0a-5a4ae2a51e59", "http://www.mendeley.com/documents/?uuid=85aa5e13-fa6a-3558-a9cb-11a0e8643472", "http://www.mendeley.com/documents/?uuid=26621f6c-4b76-4f13-9566-38ea06b6eb6f" ] }, { "id" : "ITEM-10",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"ITEM-10",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"http://www.mendeley.com/documents/?uuid=e3dfa712-8f86-4bbd-989f-922597abab70" ] }, { "id" : "ITEM-11", "itemData" : { "ISSN" : "1042-0533", "PMID" : "15849707", "abstract" : "Recent research on sexual mixing in populations of sub-Saharan Africa raises the question as to whether STDs can persist in these populations without the presence of a core group. A mathematical model is constructed for the spread of gonorrhea among the Ariaal population of Northern Kenya. A formula for the basic reproduction number R(0) (the expected number of secondary infections caused by a single new infective introduced into a susceptible population) is determined for this population in the absence of a core group. Survey data taken in 2003 on sexual behavior from the Ariaal population are used in the model which is formulated for their age-set system including four subpopulations: single and married, female and male. Parameters derived from the data, and other information from sub-Saharan Africa are used to estimate R(0). Results indicate that, even with the elevating effect of the age-set system, the disease should die out since R(0) &lt; 1. Thus, the persistence of gonorrhea in the population must be due to factors not included in the model, for example, a core group of commercial sex workers or concurrent partnerships.", "author" : [ { "dropping-particle" : "", "family" : "McCluskey", "given" : "C Connell", "non-dropping-particle" : "", "parse-names" : false, "suffix" : "" }, { "dropping-particle" : "", "family" : "Roth", "given" : "Eric", "non-dropping-particle" : "", "parse-names" : false, "suffix" : "" }, { "dropping-particle" : "", "family" : "Driessche", "given" : "P", "non-dropping-particle" : "van den", "parse-names" : false, "suffix" : "" } ], "container-title" : "Am J Hum Biol", "id" : "ITEM-11", "issue" : "3", "issued" : { "date-parts" : [ [ "2005" ] ] }, "page" : "293-301", "title" : "Implication of Ariaal sexual mixing on gonorrhea.", "type" : "article-journal", "volume" : "17" }, "uris" : [ "http://www.mendeley.com/documents/?uuid=0a147076-4e1b-483a-adaa-bfb19b9a51d5", "http://www.mendeley.com/documents/?uuid=120743b7-6e07-33c5-bad3-e213a34d5683", "http://www.mendeley.com/documents/?uuid=17f32b05-a4e3-4922-831f-42b65046d9e8" ] }, { "id" : "ITEM-12", "itemData" : { "ISSN" : "0265-0746", "PMID" : "1517673", "abstract" : "Sexually transmitted diseases such as gonorrhoea are a significant cause of infertility in women when the infection is untreated. They have the potential to alter human population growth rates in many developing countries where sexually transmitted diseases are prevalent due to limited public health facilities for diagnosis and treatment. The authors develop a simple model describing the conditions under which such a disease can exist in a growing population in which sexual partners are chosen at random by proportionate mixing. Using the model, the impact that such a disease could have for a range of possible parameters is examined. Then a full parameter set for gonorrhoea in a developing country is estimated. Analysis demonstrates the significant influence gonococcal infection may have in reducing population growth rate in some communities. For example, the simple model predicts that a prevalence of 20% in sexually active adults results in a 50% reduction in the population growth rate. Finally, the authors discuss how potential control initiatives may change the parameter values that determine transmission and alter the demographic impact of gonorrhoea.", "author" : [ { "dropping-particle" : "", "family" : "Swinton", "given" : "J", "non-dropping-particle" : "", "parse-names" : false, "suffix" : "" }, { "dropping-particle" : "", "family" : "Garnett", "given" : "G P",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"ITEM-12", "issue" : "2", "issued" : { "date-parts" : [ [ "1992" ] ] }, "page" : "107-26", "title" : "Gonococcal infection, infertility, and population growth: I. Endemic states in behaviourally homogeneous growing populations.", "type" : "article-journal", "volume" : "9" }, "uris" : [ "http://www.mendeley.com/documents/?uuid=a9f6bed3-5634-43ba-b20e-a0b8932feab2", "http://www.mendeley.com/documents/?uuid=54b6137f-184c-3b3a-a9e5-1d7a30ac7f97", "http://www.mendeley.com/documents/?uuid=594a0e9b-18a5-43ad-92eb-1c4d44c1e12c" ] }, { "id" : "ITEM-13",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"ITEM-13",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"&lt;sup&gt;40\u201342,54,57,68,76,77,79,83\u201385,90&lt;/sup&gt;", "plainTextFormattedCitation" : "40\u201342,54,57,68,76,77,79,83\u201385,90", "previouslyFormattedCitation" : "&lt;sup&gt;40\u201342,54,57,68,76,77,79,83\u201385,90&lt;/sup&gt;"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40–42,54,57,68,76,77,79,83–85,90</w:t>
      </w:r>
      <w:r w:rsidRPr="0024409C">
        <w:rPr>
          <w:rFonts w:ascii="Helvetica Neue" w:hAnsi="Helvetica Neue"/>
        </w:rPr>
        <w:fldChar w:fldCharType="end"/>
      </w:r>
      <w:r w:rsidRPr="0024409C">
        <w:rPr>
          <w:rFonts w:ascii="Helvetica Neue" w:hAnsi="Helvetica Neue"/>
        </w:rPr>
        <w:t xml:space="preserve"> and per-partnership</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"ITEM-2", "issue" : "1384", "issued" : { "date-parts" : [ [ "1999", "4" ] ] }, "page" : "787-97", "title" : "The transmission dynamics of gonorrhoea: modelling the reported behaviour of infected patients from Newark, New Jersey.", "type" : "article-journal", "volume" : "354" }, "uris" : [ "http://www.mendeley.com/documents/?uuid=a0924c6a-947c-4c24-a77d-49f8d1ee76f0", "http://www.mendeley.com/documents/?uuid=0e7600dd-68c6-3779-a988-e44f217aaaf2", "http://www.mendeley.com/documents/?uuid=365dabb1-12ea-44f3-ac50-c6bbbd5bba07" ] } ], "mendeley" : { "formattedCitation" : "&lt;sup&gt;55,91&lt;/sup&gt;", "plainTextFormattedCitation" : "55,91", "previouslyFormattedCitation" : "&lt;sup&gt;55,91&lt;/sup&gt;"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55,91</w:t>
      </w:r>
      <w:r w:rsidRPr="0024409C">
        <w:rPr>
          <w:rFonts w:ascii="Helvetica Neue" w:hAnsi="Helvetica Neue"/>
        </w:rPr>
        <w:fldChar w:fldCharType="end"/>
      </w:r>
      <w:r w:rsidRPr="0024409C">
        <w:rPr>
          <w:rFonts w:ascii="Helvetica Neue" w:hAnsi="Helvetica Neue"/>
        </w:rPr>
        <w:t xml:space="preserve"> estimated risk tended to be decreased or halved, compared to the MTF risk, with some exceptions in which the FTM risk was estimated to be greater.</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"PMID" : "18446084", "abstract" : "OBJECTIVE Both the duration of sexual partnerships and the time between two consecutive partnerships (gap length) varies between populations. We use a mathematical model with multiple partnership durations and gap lengths to identify the types of relationship cycles that sustain gonorrhea transmission in the United Kingdom. STUDY DESIGN A mathematical model for gonorrhea transmission was constructed which tracks the duration of partnerships and their preceding gap lengths. The National Survey of Sexual Attitudes and Lifestyles was used to parameterize the model population into 5 different partnership lengths (mean of 1 day, 2 weeks, 8 weeks, 30 weeks, and 10 years) and 3 preceding gap lengths (14 days, 8 weeks, and 1.5 years). RESULTS The model was able to reproduce patterns of gonococcal infection in the United Kingdom. Assortative (like-with-like) mixing of individuals with short gaps between partnerships was required for gonorrhea infection to persist. Prevalence was highest in individuals with short (&gt;1 day-&lt;1 month) and midterm partnership durations (&gt;1 month-&lt;3 months). Interventions (such as increased condom use) targeted at those with medium-term partnerships were most effective at reducing prevalence; in contrast targeting interventions at those with short partnerships but longer gap lengths (i.e., the group with the highest number of sexual partners) had relatively less impact. CONCLUSION Our model suggests that gonorrhea is sustained by the presence of a small group of individuals with short gap lengths and medium length partnerships. Interventions targeted at this group are more effective than those targeted at individuals with high numbers of sexual partners but longer gap lengths.", "author" : [ { "dropping-particle" : "", "family" : "Chen", "given" : "Mark I", "non-dropping-particle" : "", "parse-names" : false, "suffix" : "" }, { "dropping-particle" : "", "family" : "Ghani", "given" : "Azra C", "non-dropping-particle" : "", "parse-names" : false, "suffix" : "" }, { "dropping-particle" : "", "family" : "Edmunds", "given" : "John", "non-dropping-particle" : "", "parse-names" : false, "suffix" : "" } ], "container-title" : "Sex Transm Dis", "id" : "ITEM-1", "issue" : "5", "issued" : { "date-parts" : [ [ "2008", "5" ] ] }, "page" : "435-44", "title" : "Mind the gap: the role of time between sex with two consecutive partners on the transmission dynamics of gonorrhea.", "type" : "article-journal", "volume" : "35" }, "uris" : [ "http://www.mendeley.com/documents/?uuid=bd0cdbab-ee77-44b3-893c-f837cf17d3b1" ] }, { "id" : "ITEM-2",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"ITEM-2", "issued" : { "date-parts" : [ [ "2013" ] ] }, "page" : "188", "title" : "Population movement can sustain STI prevalence in remote Australian indigenous communities.", "type" : "article-journal", "volume" : "13" }, "uris" : [ "http://www.mendeley.com/documents/?uuid=439c8ade-8864-4f5e-9dff-966b3d367e00" ] }, { "id" : "ITEM-3", "itemData" : { "ISSN" : "1368-4973", "PMID" : "15459406", "abstract" : "OBJECTIVES To investigate ethnic differences in rates of gonorrhoea using empirical sexual behaviour data in a simple mathematical model. To explore the impact of different intervention strategies in this simulated population. METHODS The findings from cross sectional studies of gonorrhoea rates and sexual behaviour in three ethnic groups in south east London were used to determine the parameters for a deterministic, mathematical model of gonorrhoea transmission dynamics, in a population stratified by sex, sexual activity (rate of partner change), and ethnic group (white, black African, and black Caribbean). We compared predicted and observed rates of infection and simulated the effects of targeted and population-wide intervention strategies. RESULTS In model simulations the reported sexual behaviours and mixing patterns generated major differences in the rates of gonorrhoea experienced by each subpopulation. The fit of the model to observed data was sensitive to assumptions about the degree of mixing by level of sexual activity, the numbers of sexual partnerships reported by men and women, and the degree to which observed data underestimate female infection rates. Interventions to reduce duration of infection were most effective when targeted at black Caribbeans. CONCLUSIONS Average measures of sexual behaviour in large populations are inadequate descriptors for the epidemiology of gonorrhoea. The consistency between the model results and empirical data shows that profound differences in gonorrhoea rates between ethnic groups can be explained by modest differences in a limited number of sexual behaviours and mixing patterns. Targeting effective services to particular ethnic groups can have a disproportionate influence on disease reduction in the whole community.", "author" : [ { "dropping-particle" : "", "family" : "Turner", "given" : "K M E", "non-dropping-particle" : "", "parse-names" : false, "suffix" : "" }, { "dropping-particle" : "", "family" : "Garnett", "given" : "G P", "non-dropping-particle" : "", "parse-names" : false, "suffix" : "" }, { "dropping-particle" : "", "family" : "Ghani", "given" : "A C", "non-dropping-particle" : "", "parse-names" : false, "suffix" : "" }, { "dropping-particle" : "", "family" : "Sterne", "given" : "J A C", "non-dropping-particle" : "", "parse-names" : false, "suffix" : "" }, { "dropping-particle" : "", "family" : "Low", "given" : "N", "non-dropping-particle" : "", "parse-names" : false, "suffix" : "" } ], "container-title" : "Sex Transm Infect", "id" : "ITEM-3", "issue" : "5", "issued" : { "date-parts" : [ [ "2004", "10" ] ] }, "page" : "379-85", "title" : "Investigating ethnic inequalities in the incidence of sexually transmitted infections: mathematical modelling study.", "type" : "article-journal", "volume" : "80" }, "uris" : [ "http://www.mendeley.com/documents/?uuid=b741299d-47c9-4745-8a29-1a358d689962" ] } ], "mendeley" : { "formattedCitation" : "&lt;sup&gt;49,79,86&lt;/sup&gt;", "plainTextFormattedCitation" : "49,79,86", "previouslyFormattedCitation" : "&lt;sup&gt;49,79,86&lt;/sup&gt;"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49,79,86</w:t>
      </w:r>
      <w:r w:rsidRPr="0024409C">
        <w:rPr>
          <w:rFonts w:ascii="Helvetica Neue" w:hAnsi="Helvetica Neue"/>
        </w:rPr>
        <w:fldChar w:fldCharType="end"/>
      </w:r>
    </w:p>
    <w:p w14:paraId="69C71456" w14:textId="3C5FCE17" w:rsidR="00EA384A" w:rsidRPr="0024409C" w:rsidRDefault="00EA384A" w:rsidP="00574651">
      <w:pPr>
        <w:spacing w:before="120" w:line="360" w:lineRule="auto"/>
        <w:rPr>
          <w:rFonts w:ascii="Helvetica Neue" w:hAnsi="Helvetica Neue"/>
        </w:rPr>
      </w:pPr>
      <w:r w:rsidRPr="0024409C">
        <w:rPr>
          <w:rFonts w:ascii="Helvetica Neue" w:hAnsi="Helvetica Neue"/>
        </w:rPr>
        <w:t>Compared to CT infection, the baseline transmission probability per sex-act for male-male anal intercourse in STI models has been better characterized for NG infection. Estimates of these risks have ranged widely from 0.02 and 0.8,</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"1469-4409", "PMID" : "25275435", "abstract" : "Gonorrhoea is one of the most common sexually transmitted infections. The control of gonorrhoea is extremely challenging because of the repeated development of resistance to the antibiotics used for its treatment. We explored different strategies to control the spread of antimicrobial resistance and prevent increases in gonorrhoea prevalence. We used a mathematical model that describes gonorrhoea transmission among men who have sex with men and distinguishes gonorrhoea strains sensitive or resistant to three antibiotics. We investigated the impact of combination therapy, switching first-line antibiotics according to resistance thresholds, and other control efforts (reduced sexual risk behaviour, increased treatment rate). Combination therapy can delay the spread of resistance better than using the 5% resistance threshold. Increased treatment rates, expected to enhance gonorrhoea control, may reduce gonorrhoea prevalence only in the short term, but could lead to more resistance and higher prevalence in the long term. Re-treatment of resistant cases with alternative antibiotics can substantially delay the spread of resistance. In conclusion, combination therapy and re-treatment of resistant cases with alternative antibiotics could be the most effective strategies to prevent increases in gonorrhoea prevalence due to antimicrobial resistance.", "author" : [ { "dropping-particle" : "", "family" : "Xiridou", "given" : "M", "non-dropping-particle" : "", "parse-names" : false, "suffix" : "" }, { "dropping-particle" : "", "family" : "Soetens", "given" : "L C", "non-dropping-particle" : "", "parse-names" : false, "suffix" : "" }, { "dropping-particle" : "", "family" : "Koedijk", "given" : "F D H", "non-dropping-particle" : "", "parse-names" : false, "suffix" : "" }, { "dropping-particle" : "", "family" : "Sande", "given" : "M A B", "non-dropping-particle" : "VAN DER", "parse-names" : false, "suffix" : "" }, { "dropping-particle" : "", "family" : "Wallinga", "given" : "J", "non-dropping-particle" : "", "parse-names" : false, "suffix" : "" } ], "container-title" : "Epidemiol Infect", "id" : "ITEM-1", "issue" : "8", "issued" : { "date-parts" : [ [ "2015", "6" ] ] }, "page" : "1575-84", "title" : "Public health measures to control the spread of antimicrobial resistance in Neisseria gonorrhoeae in men who have sex with men.", "type" : "article-journal", "volume" : "143" }, "uris" : [ "http://www.mendeley.com/documents/?uuid=0d337c92-4226-4587-8090-8dd0ab6eab49" ] }, { "id" : "ITEM-2", "itemData" : { "ISSN" : "1095-8541", "PMID" : "20670632", "abstract" : "An SIS/SAS model of gonorrhea transmission in a population of highly active men-having-sex-with-men (MSM) is presented in this paper to study the impact of safe behavior on the dynamics of gonorrhea prevalence. Safe behaviors may fall into two categories-prevention and self-awareness. Prevention will be modeled via consistent condom use and self-awareness via STD testing frequency. Stability conditions for the disease free equilibrium and endemic equilibrium are determined along with a complete analysis of global dynamics. The control reproductive number is used as a means for measuring the effect of changes to model parameters on the prevalence of the disease. We also find that appropriate intervention would be in the form of a multifaceted approach at overall risk reduction rather than tackling one specific control individually.", "author" : [ { "dropping-particle" : "", "family" : "Morin", "given" : "Benjamin R", "non-dropping-particle" : "", "parse-names" : false, "suffix" : "" }, { "dropping-particle" : "", "family" : "Medina-Rios", "given" : "Liana", "non-dropping-particle" : "", "parse-names" : false, "suffix" : "" }, { "dropping-particle" : "", "family" : "Camacho", "given" : "Erika T", "non-dropping-particle" : "", "parse-names" : false, "suffix" : "" }, { "dropping-particle" : "", "family" : "Castillo-Chavez", "given" : "Carlos", "non-dropping-particle" : "", "parse-names" : false, "suffix" : "" } ], "container-title" : "J Theor Biol", "id" : "ITEM-2", "issue" : "1", "issued" : { "date-parts" : [ [ "2010", "11" ] ] }, "page" : "35-40", "title" : "Static behavioral effects on gonorrhea transmission dynamics in a MSM population.", "type" : "article-journal", "volume" : "267" }, "uris" : [ "http://www.mendeley.com/documents/?uuid=38850dea-b69a-32f5-93c4-9264082ff84f", "http://www.mendeley.com/documents/?uuid=2d3e36cd-50b1-4c54-bdf5-595e25f2ca6d" ] }, { "id" : "ITEM-3",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"ITEM-3",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"id" : "ITEM-4", "itemData" : { "DOI" : "10.1136/sextrans-2014-051760", "ISSN" : "1368-4973", "PMID" : "25596192", "abstract" : "OBJECTIVES Despite early treatment of urethral infection, gonorrhoea is endemic in urban populations of men who have sex with men (MSM) in Australia. By contrast, gonorrhoea is not common in urban heterosexual populations. Sexual activities among MSM usually involve anal or oral sex, and as these behaviours are becoming increasingly common among heterosexuals, there is a need to investigate their roles in transmission of gonorrhoea. METHODS We developed individual-based models of transmission of gonorrhoea in MSM and heterosexuals that incorporate anatomical site-specific transmission of gonorrhoea. We estimated the probabilities of transmission for anal sex and oral sex by calibrating an MSM model against prevalence of gonorrhoea and sexual activity data. These probabilities were then applied to a heterosexual model in order to examine whether gonorrhoea can persist in a heterosexual population through the addition of anal sex and oral sex. RESULTS In the MSM model, gonorrhoea can persist despite prompt treatment of urethral infections. The probability of gonorrhoea persisting is reduced if use of condom for oral sex is increased to more than 15% of acts. Assuming that treatment of symptomatic infections is prompt, gonorrhoea is unlikely to persist in a heterosexual population even with the addition of anal and oral sex. CONCLUSIONS Our models suggest that oral sex has an important role in sustaining gonorrhoea in a population of MSM by providing a pool of untreated asymptomatic infection. The importance of anal sex or oral sex in sustaining gonorrhoea in a heterosexual population remains uncertain due to the lack of information linking different types of sex acts and transmissibility.", "author" : [ { "dropping-particle" : "", "family" : "Hui", "given" : "B", "non-dropping-particle" : "", "parse-names" : false, "suffix" : "" }, { "dropping-particle" : "", "family" : "Fairley", "given" : "C K", "non-dropping-particle" : "", "parse-names" : false, "suffix" : "" }, { "dropping-particle" : "", "family" : "Chen", "given" : "M", "non-dropping-particle" : "", "parse-names" : false, "suffix" : "" }, { "dropping-particle" : "", "family" : "Grulich", "given" : "A", "non-dropping-particle" : "", "parse-names" : false, "suffix" : "" }, { "dropping-particle" : "", "family" : "Hocking", "given" : "J", "non-dropping-particle" : "", "parse-names" : false, "suffix" : "" }, { "dropping-particle" : "", "family" : "Prestage", "given" : "G", "non-dropping-particle" : "", "parse-names" : false, "suffix" : "" }, { "dropping-particle" : "", "family" : "Walker", "given" : "S", "non-dropping-particle" : "", "parse-names" : false, "suffix" : "" }, { "dropping-particle" : "", "family" : "Law", "given" : "M", "non-dropping-particle" : "", "parse-names" : false, "suffix" : "" }, { "dropping-particle" : "", "family" : "Regan", "given" : "D", "non-dropping-particle" : "", "parse-names" : false, "suffix" : "" } ], "container-title" : "Sexually Transmitted Infections", "id" : "ITEM-4", "issue" : "5", "issued" : { "date-parts" : [ [ "2015", "8" ] ] }, "page" : "365-369", "title" : "Oral and anal sex are key to sustaining gonorrhoea at endemic levels in MSM populations: a mathematical model", "type" : "article-journal", "volume" : "91" }, "uris" : [ "http://www.mendeley.com/documents/?uuid=8a9cd155-0623-3cf9-82f0-a9f556df594d" ] }, { "id" : "ITEM-5",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"ITEM-5",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"id" : "ITEM-6",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"ITEM-6",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"&lt;sup&gt;72,73,92\u201395&lt;/sup&gt;", "plainTextFormattedCitation" : "72,73,92\u201395", "previouslyFormattedCitation" : "&lt;sup&gt;72,73,92\u201395&lt;/sup&gt;"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72,73,92–95</w:t>
      </w:r>
      <w:r w:rsidRPr="0024409C">
        <w:rPr>
          <w:rFonts w:ascii="Helvetica Neue" w:hAnsi="Helvetica Neue"/>
        </w:rPr>
        <w:fldChar w:fldCharType="end"/>
      </w:r>
      <w:r w:rsidRPr="0024409C">
        <w:rPr>
          <w:rFonts w:ascii="Helvetica Neue" w:hAnsi="Helvetica Neue"/>
        </w:rPr>
        <w:t xml:space="preserve"> with greater risks assumed for receptive anal intercourse compared to insertive anal intercourse. To account for the uncertainty in this parameter estimate, we established a prior distribution of 0.30–0.60 for the per-act rectal NG transmission likelihood, and a distribution of 0.</w:t>
      </w:r>
      <w:r w:rsidR="00783340" w:rsidRPr="0024409C">
        <w:rPr>
          <w:rFonts w:ascii="Helvetica Neue" w:hAnsi="Helvetica Neue"/>
        </w:rPr>
        <w:t>1</w:t>
      </w:r>
      <w:r w:rsidRPr="0024409C">
        <w:rPr>
          <w:rFonts w:ascii="Helvetica Neue" w:hAnsi="Helvetica Neue"/>
        </w:rPr>
        <w:t xml:space="preserve">0–0.50 for urethral NG transmission to incorporate site-specific infection. Bayesian calibration </w:t>
      </w:r>
      <w:r w:rsidRPr="004F341D">
        <w:rPr>
          <w:rFonts w:ascii="Helvetica Neue" w:hAnsi="Helvetica Neue"/>
        </w:rPr>
        <w:t>generated posterior values of 0.</w:t>
      </w:r>
      <w:r w:rsidR="001C763D">
        <w:rPr>
          <w:rFonts w:ascii="Helvetica Neue" w:hAnsi="Helvetica Neue"/>
        </w:rPr>
        <w:t>5161</w:t>
      </w:r>
      <w:r w:rsidR="001C763D" w:rsidRPr="004F341D">
        <w:rPr>
          <w:rFonts w:ascii="Helvetica Neue" w:hAnsi="Helvetica Neue"/>
        </w:rPr>
        <w:t xml:space="preserve"> </w:t>
      </w:r>
      <w:r w:rsidRPr="004F341D">
        <w:rPr>
          <w:rFonts w:ascii="Helvetica Neue" w:hAnsi="Helvetica Neue"/>
        </w:rPr>
        <w:t>for per sex-act rectal NG transmission probability and 0.</w:t>
      </w:r>
      <w:r w:rsidR="001C763D">
        <w:rPr>
          <w:rFonts w:ascii="Helvetica Neue" w:hAnsi="Helvetica Neue"/>
        </w:rPr>
        <w:t>4362</w:t>
      </w:r>
      <w:r w:rsidR="001C763D" w:rsidRPr="004F341D">
        <w:rPr>
          <w:rFonts w:ascii="Helvetica Neue" w:hAnsi="Helvetica Neue"/>
        </w:rPr>
        <w:t xml:space="preserve"> </w:t>
      </w:r>
      <w:r w:rsidRPr="004F341D">
        <w:rPr>
          <w:rFonts w:ascii="Helvetica Neue" w:hAnsi="Helvetica Neue"/>
        </w:rPr>
        <w:t>for per sex-act urethral NG transmission</w:t>
      </w:r>
      <w:r w:rsidRPr="0024409C">
        <w:rPr>
          <w:rFonts w:ascii="Helvetica Neue" w:hAnsi="Helvetica Neue"/>
        </w:rPr>
        <w:t xml:space="preserve"> probability. Similar to CT, we also included a multiplier of 0.30 for the effect of condom usage on NG transmission probability to reflect the decreased probability of transmission in protected sex acts</w:t>
      </w:r>
      <w:r w:rsidR="00232595" w:rsidRPr="0024409C">
        <w:rPr>
          <w:rFonts w:ascii="Helvetica Neue" w:hAnsi="Helvetica Neue"/>
        </w:rPr>
        <w:t>.</w:t>
      </w:r>
    </w:p>
    <w:p w14:paraId="3CC1FED9" w14:textId="3736CFD1" w:rsidR="00690949" w:rsidRPr="0024409C" w:rsidRDefault="00273CDD" w:rsidP="007E3E53">
      <w:pPr>
        <w:pStyle w:val="Heading1"/>
        <w:spacing w:before="300"/>
        <w:rPr>
          <w:rFonts w:ascii="Helvetica Neue" w:hAnsi="Helvetica Neue"/>
          <w:sz w:val="24"/>
          <w:szCs w:val="24"/>
        </w:rPr>
      </w:pPr>
      <w:bookmarkStart w:id="38" w:name="_Toc466401462"/>
      <w:bookmarkStart w:id="39" w:name="_Toc522270425"/>
      <w:r w:rsidRPr="0024409C">
        <w:rPr>
          <w:rFonts w:ascii="Helvetica Neue" w:hAnsi="Helvetica Neue"/>
          <w:sz w:val="24"/>
          <w:szCs w:val="24"/>
        </w:rPr>
        <w:t>9</w:t>
      </w:r>
      <w:r w:rsidR="00EA384A" w:rsidRPr="0024409C">
        <w:rPr>
          <w:rFonts w:ascii="Helvetica Neue" w:hAnsi="Helvetica Neue"/>
          <w:sz w:val="24"/>
          <w:szCs w:val="24"/>
        </w:rPr>
        <w:t xml:space="preserve"> </w:t>
      </w:r>
      <w:r w:rsidR="00EA384A" w:rsidRPr="0024409C">
        <w:rPr>
          <w:rFonts w:ascii="Helvetica Neue" w:hAnsi="Helvetica Neue"/>
          <w:sz w:val="24"/>
          <w:szCs w:val="24"/>
        </w:rPr>
        <w:tab/>
        <w:t xml:space="preserve">STI </w:t>
      </w:r>
      <w:r w:rsidR="00A10467">
        <w:rPr>
          <w:rFonts w:ascii="Helvetica Neue" w:hAnsi="Helvetica Neue"/>
          <w:sz w:val="24"/>
          <w:szCs w:val="24"/>
        </w:rPr>
        <w:t xml:space="preserve">SYMPTOMS </w:t>
      </w:r>
      <w:r w:rsidR="00A10467" w:rsidRPr="0024409C">
        <w:rPr>
          <w:rFonts w:ascii="Helvetica Neue" w:hAnsi="Helvetica Neue"/>
          <w:sz w:val="24"/>
          <w:szCs w:val="24"/>
        </w:rPr>
        <w:t>AND</w:t>
      </w:r>
      <w:r w:rsidR="00EA384A" w:rsidRPr="0024409C">
        <w:rPr>
          <w:rFonts w:ascii="Helvetica Neue" w:hAnsi="Helvetica Neue"/>
          <w:sz w:val="24"/>
          <w:szCs w:val="24"/>
        </w:rPr>
        <w:t xml:space="preserve"> TREATMENT</w:t>
      </w:r>
      <w:bookmarkEnd w:id="38"/>
      <w:bookmarkEnd w:id="39"/>
    </w:p>
    <w:p w14:paraId="2204725C" w14:textId="496908A7" w:rsidR="00690949" w:rsidRPr="0024409C" w:rsidRDefault="007C5047" w:rsidP="00F743AB">
      <w:pPr>
        <w:pStyle w:val="Heading2"/>
        <w:rPr>
          <w:rFonts w:ascii="Helvetica Neue" w:hAnsi="Helvetica Neue"/>
          <w:i w:val="0"/>
        </w:rPr>
      </w:pPr>
      <w:bookmarkStart w:id="40" w:name="_Toc522270426"/>
      <w:r w:rsidRPr="0024409C">
        <w:rPr>
          <w:rFonts w:ascii="Helvetica Neue" w:hAnsi="Helvetica Neue"/>
          <w:szCs w:val="22"/>
        </w:rPr>
        <w:lastRenderedPageBreak/>
        <w:t xml:space="preserve">9.1 </w:t>
      </w:r>
      <w:r w:rsidRPr="0024409C">
        <w:rPr>
          <w:rFonts w:ascii="Helvetica Neue" w:hAnsi="Helvetica Neue"/>
          <w:szCs w:val="22"/>
        </w:rPr>
        <w:tab/>
      </w:r>
      <w:r w:rsidR="0040790C">
        <w:rPr>
          <w:rFonts w:ascii="Helvetica Neue" w:hAnsi="Helvetica Neue"/>
        </w:rPr>
        <w:t>Treatment</w:t>
      </w:r>
      <w:bookmarkEnd w:id="40"/>
    </w:p>
    <w:p w14:paraId="2D0D4DEB" w14:textId="1C001B32" w:rsidR="007D2AC0" w:rsidRDefault="00BE4399" w:rsidP="007D5FA6">
      <w:pPr>
        <w:spacing w:line="360" w:lineRule="auto"/>
        <w:rPr>
          <w:rFonts w:ascii="Helvetica Neue" w:hAnsi="Helvetica Neue"/>
        </w:rPr>
      </w:pPr>
      <w:r w:rsidRPr="0024409C">
        <w:rPr>
          <w:rFonts w:ascii="Helvetica Neue" w:hAnsi="Helvetica Neue"/>
        </w:rPr>
        <w:t>Testing and treatment for NG</w:t>
      </w:r>
      <w:r w:rsidR="001C0A82">
        <w:rPr>
          <w:rFonts w:ascii="Helvetica Neue" w:hAnsi="Helvetica Neue"/>
        </w:rPr>
        <w:t xml:space="preserve"> and</w:t>
      </w:r>
      <w:r w:rsidRPr="0024409C">
        <w:rPr>
          <w:rFonts w:ascii="Helvetica Neue" w:hAnsi="Helvetica Neue"/>
        </w:rPr>
        <w:t xml:space="preserve"> </w:t>
      </w:r>
      <w:r w:rsidR="00EA384A" w:rsidRPr="0024409C">
        <w:rPr>
          <w:rFonts w:ascii="Helvetica Neue" w:hAnsi="Helvetica Neue"/>
        </w:rPr>
        <w:t>CT</w:t>
      </w:r>
      <w:r w:rsidRPr="0024409C">
        <w:rPr>
          <w:rFonts w:ascii="Helvetica Neue" w:hAnsi="Helvetica Neue"/>
        </w:rPr>
        <w:t>s</w:t>
      </w:r>
      <w:r w:rsidR="00EA384A" w:rsidRPr="0024409C">
        <w:rPr>
          <w:rFonts w:ascii="Helvetica Neue" w:hAnsi="Helvetica Neue"/>
        </w:rPr>
        <w:t xml:space="preserve"> was a function of whether the infection was symptomatic or asymptomatic. Treatment status was assigned stochastically among those with either</w:t>
      </w:r>
      <w:r w:rsidR="00702CF6" w:rsidRPr="0024409C">
        <w:rPr>
          <w:rFonts w:ascii="Helvetica Neue" w:hAnsi="Helvetica Neue"/>
        </w:rPr>
        <w:t xml:space="preserve"> symptomatic or asymptomatic NG</w:t>
      </w:r>
      <w:r w:rsidR="00094359">
        <w:rPr>
          <w:rFonts w:ascii="Helvetica Neue" w:hAnsi="Helvetica Neue"/>
        </w:rPr>
        <w:t xml:space="preserve"> or</w:t>
      </w:r>
      <w:r w:rsidR="007411AE">
        <w:rPr>
          <w:rFonts w:ascii="Helvetica Neue" w:hAnsi="Helvetica Neue"/>
        </w:rPr>
        <w:t xml:space="preserve"> </w:t>
      </w:r>
      <w:r w:rsidR="00EA384A" w:rsidRPr="0024409C">
        <w:rPr>
          <w:rFonts w:ascii="Helvetica Neue" w:hAnsi="Helvetica Neue"/>
        </w:rPr>
        <w:t>CT infection acquired prior to the current time step. Following empirical data, we simulated that 90% of men with NG and 85% of men with CT who have symptomatic infection successfully</w:t>
      </w:r>
      <w:r w:rsidR="0022392A" w:rsidRPr="0024409C">
        <w:rPr>
          <w:rFonts w:ascii="Helvetica Neue" w:hAnsi="Helvetica Neue"/>
        </w:rPr>
        <w:t xml:space="preserve"> sought and</w:t>
      </w:r>
      <w:r w:rsidR="00EA384A" w:rsidRPr="0024409C">
        <w:rPr>
          <w:rFonts w:ascii="Helvetica Neue" w:hAnsi="Helvetica Neue"/>
        </w:rPr>
        <w:t xml:space="preserve"> completed treatment.</w:t>
      </w:r>
      <w:r w:rsidR="00EA384A" w:rsidRPr="0024409C">
        <w:rPr>
          <w:rFonts w:ascii="Helvetica Neue" w:eastAsia="Times New Roman" w:hAnsi="Helvetica Neue"/>
        </w:rPr>
        <w:fldChar w:fldCharType="begin" w:fldLock="1"/>
      </w:r>
      <w:r w:rsidR="002E5A1F">
        <w:rPr>
          <w:rFonts w:ascii="Helvetica Neue" w:eastAsia="Times New Roman" w:hAnsi="Helvetica Neue"/>
        </w:rPr>
        <w:instrText>ADDIN CSL_CITATION { "citationItems" : [ { "id" : "ITEM-1", "itemData" : { "PMID" : "12649059", "abstract" : "BACKGROUND The United States has the highest prevalence of sexually transmitted diseases in the developed world. Control strategies should address the most frequent reasons why curable sexually transmitted diseases are not treated. METHODS We approached 1,631 persons ages 18-29 in various sites and offered them screening for gonorrhea and chlamydial infection and surveys regarding past genitourinary symptoms. For those with past symptoms we abstracted medical records or conducted additional interviews. From these data we estimated the total number of persons who had gonorrhea or chlamydial infections in the previous year, the proportion treated, and the primary reasons for nontreatment. RESULTS The prevalence of gonorrhea was 2.3% and that of chlamydial infection was 10.1%. We estimate that 45 and 77% of all cases of gonorrhea and chlamydial infection, respectively, were never symptomatic and that 86 and 95% of untreated cases of gonorrhea and chlamydial infection, respectively, were untreated because they were never symptomatic. The remaining 14 and 5% of untreated cases of gonorrhea and chlamydia, respectively, were not treated because persons did not receive medical care for symptoms. CONCLUSIONS The primary reason that gonorrhea and chlamydial infections are untreated is that infected persons never have symptoms. The most effective method to control these sexually transmitted diseases is routine screening at high-volume sites.", "author" : [ { "dropping-particle" : "", "family" : "Farley", "given" : "Thomas A", "non-dropping-particle" : "", "parse-names" : false, "suffix" : "" }, { "dropping-particle" : "", "family" : "Cohen", "given" : "Deborah A", "non-dropping-particle" : "", "parse-names" : false, "suffix" : "" }, { "dropping-particle" : "", "family" : "Elkins", "given" : "Whitney", "non-dropping-particle" : "", "parse-names" : false, "suffix" : "" } ], "container-title" : "Preventive Medicine", "id" : "ITEM-1", "issue" : "4", "issued" : { "date-parts" : [ [ "2003", "4" ] ] }, "page" : "502-9", "title" : "Asymptomatic sexually transmitted diseases: The case for screening.", "type" : "article-journal", "volume" : "36" }, "uris" : [ "http://www.mendeley.com/documents/?uuid=e989fc63-4be0-42c0-8dac-482d0edf0142" ] } ], "mendeley" : { "formattedCitation" : "&lt;sup&gt;96&lt;/sup&gt;", "plainTextFormattedCitation" : "96", "previouslyFormattedCitation" : "&lt;sup&gt;96&lt;/sup&gt;" }, "properties" : { "noteIndex" : 0 }, "schema" : "https://github.com/citation-style-language/schema/raw/master/csl-citation.json" }</w:instrText>
      </w:r>
      <w:r w:rsidR="00EA384A" w:rsidRPr="0024409C">
        <w:rPr>
          <w:rFonts w:ascii="Helvetica Neue" w:eastAsia="Times New Roman" w:hAnsi="Helvetica Neue"/>
        </w:rPr>
        <w:fldChar w:fldCharType="separate"/>
      </w:r>
      <w:r w:rsidR="00721A10" w:rsidRPr="00721A10">
        <w:rPr>
          <w:rFonts w:ascii="Helvetica Neue" w:eastAsia="Times New Roman" w:hAnsi="Helvetica Neue"/>
          <w:noProof/>
          <w:vertAlign w:val="superscript"/>
        </w:rPr>
        <w:t>96</w:t>
      </w:r>
      <w:r w:rsidR="00EA384A" w:rsidRPr="0024409C">
        <w:rPr>
          <w:rFonts w:ascii="Helvetica Neue" w:eastAsia="Times New Roman" w:hAnsi="Helvetica Neue"/>
        </w:rPr>
        <w:fldChar w:fldCharType="end"/>
      </w:r>
      <w:r w:rsidR="00EA384A" w:rsidRPr="0024409C">
        <w:rPr>
          <w:rFonts w:ascii="Helvetica Neue" w:hAnsi="Helvetica Neue"/>
        </w:rPr>
        <w:t xml:space="preserve"> </w:t>
      </w:r>
      <w:r w:rsidR="001748F3">
        <w:rPr>
          <w:rFonts w:ascii="Helvetica Neue" w:hAnsi="Helvetica Neue"/>
        </w:rPr>
        <w:t xml:space="preserve">Symptoms-driven testing was correlated, in that a man presenting with rectal symptoms was tested for both NG and CT at a rectal site. </w:t>
      </w:r>
    </w:p>
    <w:p w14:paraId="1B78A08E" w14:textId="77777777" w:rsidR="007D2AC0" w:rsidRDefault="007D2AC0" w:rsidP="007D5FA6">
      <w:pPr>
        <w:spacing w:line="360" w:lineRule="auto"/>
        <w:rPr>
          <w:rFonts w:ascii="Helvetica Neue" w:hAnsi="Helvetica Neue"/>
        </w:rPr>
      </w:pPr>
    </w:p>
    <w:p w14:paraId="4B82A96E" w14:textId="259B62AE" w:rsidR="005849CF" w:rsidRDefault="00EA384A" w:rsidP="005849CF">
      <w:pPr>
        <w:spacing w:line="360" w:lineRule="auto"/>
        <w:rPr>
          <w:rFonts w:ascii="Helvetica Neue" w:hAnsi="Helvetica Neue"/>
        </w:rPr>
      </w:pPr>
      <w:r w:rsidRPr="0024409C">
        <w:rPr>
          <w:rFonts w:ascii="Helvetica Neue" w:hAnsi="Helvetica Neue"/>
        </w:rPr>
        <w:t>The average time on treatment</w:t>
      </w:r>
      <w:r w:rsidR="00F743AB" w:rsidRPr="0024409C">
        <w:rPr>
          <w:rFonts w:ascii="Helvetica Neue" w:hAnsi="Helvetica Neue"/>
        </w:rPr>
        <w:t>/in recovery</w:t>
      </w:r>
      <w:r w:rsidRPr="0024409C">
        <w:rPr>
          <w:rFonts w:ascii="Helvetica Neue" w:hAnsi="Helvetica Neue"/>
        </w:rPr>
        <w:t xml:space="preserve"> was </w:t>
      </w:r>
      <w:r w:rsidR="00AC00C5">
        <w:rPr>
          <w:rFonts w:ascii="Helvetica Neue" w:hAnsi="Helvetica Neue"/>
        </w:rPr>
        <w:t>1</w:t>
      </w:r>
      <w:r w:rsidR="00AC00C5" w:rsidRPr="0024409C">
        <w:rPr>
          <w:rFonts w:ascii="Helvetica Neue" w:hAnsi="Helvetica Neue"/>
        </w:rPr>
        <w:t xml:space="preserve"> </w:t>
      </w:r>
      <w:r w:rsidRPr="0024409C">
        <w:rPr>
          <w:rFonts w:ascii="Helvetica Neue" w:hAnsi="Helvetica Neue"/>
        </w:rPr>
        <w:t>week</w:t>
      </w:r>
      <w:r w:rsidR="00F743AB" w:rsidRPr="0024409C">
        <w:rPr>
          <w:rFonts w:ascii="Helvetica Neue" w:hAnsi="Helvetica Neue"/>
        </w:rPr>
        <w:t xml:space="preserve"> for NG and CT</w:t>
      </w:r>
      <w:r w:rsidRPr="0024409C">
        <w:rPr>
          <w:rFonts w:ascii="Helvetica Neue" w:hAnsi="Helvetica Neue"/>
        </w:rPr>
        <w:t>, with a stochastic recovery process described below.</w:t>
      </w:r>
      <w:r w:rsidR="00BE4399" w:rsidRPr="0024409C">
        <w:rPr>
          <w:rFonts w:ascii="Helvetica Neue" w:hAnsi="Helvetica Neue"/>
        </w:rPr>
        <w:t xml:space="preserve"> A background screening process for the identification </w:t>
      </w:r>
      <w:r w:rsidR="002500E7">
        <w:rPr>
          <w:rFonts w:ascii="Helvetica Neue" w:hAnsi="Helvetica Neue"/>
        </w:rPr>
        <w:t xml:space="preserve">of </w:t>
      </w:r>
      <w:r w:rsidR="00BE4399" w:rsidRPr="0024409C">
        <w:rPr>
          <w:rFonts w:ascii="Helvetica Neue" w:hAnsi="Helvetica Neue"/>
        </w:rPr>
        <w:t xml:space="preserve">asymptomatic infection was newly implemented, with more details in Section 11. Any individual who had been sexually active, e.g. in an </w:t>
      </w:r>
      <w:proofErr w:type="spellStart"/>
      <w:r w:rsidR="00BE4399" w:rsidRPr="0024409C">
        <w:rPr>
          <w:rFonts w:ascii="Helvetica Neue" w:hAnsi="Helvetica Neue"/>
        </w:rPr>
        <w:t>edgelist</w:t>
      </w:r>
      <w:proofErr w:type="spellEnd"/>
      <w:r w:rsidR="00BE4399" w:rsidRPr="0024409C">
        <w:rPr>
          <w:rFonts w:ascii="Helvetica Neue" w:hAnsi="Helvetica Neue"/>
        </w:rPr>
        <w:t xml:space="preserve"> in a non-dissolved partnership, in the previous year was </w:t>
      </w:r>
      <w:r w:rsidR="00702CF6" w:rsidRPr="0024409C">
        <w:rPr>
          <w:rFonts w:ascii="Helvetica Neue" w:hAnsi="Helvetica Neue"/>
        </w:rPr>
        <w:t>eligible fo</w:t>
      </w:r>
      <w:r w:rsidR="007D5FA6" w:rsidRPr="0024409C">
        <w:rPr>
          <w:rFonts w:ascii="Helvetica Neue" w:hAnsi="Helvetica Neue"/>
        </w:rPr>
        <w:t>r screening. Screening was</w:t>
      </w:r>
      <w:r w:rsidR="00702CF6" w:rsidRPr="0024409C">
        <w:rPr>
          <w:rFonts w:ascii="Helvetica Neue" w:hAnsi="Helvetica Neue"/>
        </w:rPr>
        <w:t xml:space="preserve"> implemented as a</w:t>
      </w:r>
      <w:r w:rsidR="00241EC1" w:rsidRPr="0024409C">
        <w:rPr>
          <w:rFonts w:ascii="Helvetica Neue" w:hAnsi="Helvetica Neue"/>
        </w:rPr>
        <w:t xml:space="preserve"> deterministic</w:t>
      </w:r>
      <w:r w:rsidR="00702CF6" w:rsidRPr="0024409C">
        <w:rPr>
          <w:rFonts w:ascii="Helvetica Neue" w:hAnsi="Helvetica Neue"/>
        </w:rPr>
        <w:t xml:space="preserve"> process</w:t>
      </w:r>
      <w:r w:rsidR="00241EC1" w:rsidRPr="0024409C">
        <w:rPr>
          <w:rFonts w:ascii="Helvetica Neue" w:hAnsi="Helvetica Neue"/>
        </w:rPr>
        <w:t xml:space="preserve"> for each STI,</w:t>
      </w:r>
      <w:r w:rsidR="00702CF6" w:rsidRPr="0024409C">
        <w:rPr>
          <w:rFonts w:ascii="Helvetica Neue" w:hAnsi="Helvetica Neue"/>
        </w:rPr>
        <w:t xml:space="preserve"> </w:t>
      </w:r>
      <w:r w:rsidR="00241EC1" w:rsidRPr="0024409C">
        <w:rPr>
          <w:rFonts w:ascii="Helvetica Neue" w:hAnsi="Helvetica Neue"/>
        </w:rPr>
        <w:t xml:space="preserve">stratified by HIV serostatus, </w:t>
      </w:r>
      <w:r w:rsidR="00702CF6" w:rsidRPr="0024409C">
        <w:rPr>
          <w:rFonts w:ascii="Helvetica Neue" w:hAnsi="Helvetica Neue"/>
        </w:rPr>
        <w:t>with</w:t>
      </w:r>
      <w:r w:rsidR="00241EC1" w:rsidRPr="0024409C">
        <w:rPr>
          <w:rFonts w:ascii="Helvetica Neue" w:hAnsi="Helvetica Neue"/>
        </w:rPr>
        <w:t xml:space="preserve"> a certain proportion of individuals who met eligibility criteria for a particular screening </w:t>
      </w:r>
      <w:r w:rsidR="00702CF6" w:rsidRPr="0024409C">
        <w:rPr>
          <w:rFonts w:ascii="Helvetica Neue" w:hAnsi="Helvetica Neue"/>
        </w:rPr>
        <w:t xml:space="preserve">testing </w:t>
      </w:r>
      <w:r w:rsidR="00241EC1" w:rsidRPr="0024409C">
        <w:rPr>
          <w:rFonts w:ascii="Helvetica Neue" w:hAnsi="Helvetica Neue"/>
        </w:rPr>
        <w:t xml:space="preserve">every 365 days for </w:t>
      </w:r>
      <w:r w:rsidR="00AC00C5">
        <w:rPr>
          <w:rFonts w:ascii="Helvetica Neue" w:hAnsi="Helvetica Neue"/>
        </w:rPr>
        <w:t>both NG and CT</w:t>
      </w:r>
      <w:r w:rsidR="00702CF6" w:rsidRPr="0024409C">
        <w:rPr>
          <w:rFonts w:ascii="Helvetica Neue" w:hAnsi="Helvetica Neue"/>
        </w:rPr>
        <w:t xml:space="preserve">. </w:t>
      </w:r>
    </w:p>
    <w:p w14:paraId="3608BF26" w14:textId="77777777" w:rsidR="005849CF" w:rsidRDefault="005849CF" w:rsidP="005849CF">
      <w:pPr>
        <w:spacing w:line="360" w:lineRule="auto"/>
        <w:rPr>
          <w:rFonts w:ascii="Helvetica Neue" w:hAnsi="Helvetica Neue"/>
        </w:rPr>
      </w:pPr>
    </w:p>
    <w:p w14:paraId="72804B17" w14:textId="3DA71517" w:rsidR="007D5FA6" w:rsidRPr="005849CF" w:rsidRDefault="00EA384A" w:rsidP="005849CF">
      <w:pPr>
        <w:spacing w:line="360" w:lineRule="auto"/>
        <w:rPr>
          <w:rFonts w:ascii="Helvetica Neue" w:hAnsi="Helvetica Neue"/>
        </w:rPr>
      </w:pPr>
      <w:r w:rsidRPr="001F1E58">
        <w:rPr>
          <w:rFonts w:ascii="Helvetica Neue" w:hAnsi="Helvetica Neue"/>
        </w:rPr>
        <w:t xml:space="preserve">A flow diagram showing the trajectories of STI testing and treatment off PrEP is shown in Figure </w:t>
      </w:r>
      <w:r w:rsidR="0099181A" w:rsidRPr="001F1E58">
        <w:rPr>
          <w:rFonts w:ascii="Helvetica Neue" w:hAnsi="Helvetica Neue"/>
        </w:rPr>
        <w:t>S</w:t>
      </w:r>
      <w:r w:rsidR="0099181A">
        <w:rPr>
          <w:rFonts w:ascii="Helvetica Neue" w:hAnsi="Helvetica Neue"/>
        </w:rPr>
        <w:t>1</w:t>
      </w:r>
      <w:r w:rsidRPr="001F1E58">
        <w:rPr>
          <w:rFonts w:ascii="Helvetica Neue" w:hAnsi="Helvetica Neue"/>
        </w:rPr>
        <w:t>. The site of</w:t>
      </w:r>
      <w:r w:rsidRPr="0024409C">
        <w:rPr>
          <w:rFonts w:ascii="Helvetica Neue" w:hAnsi="Helvetica Neue"/>
        </w:rPr>
        <w:t xml:space="preserve"> infection influenced the symptomatic status of a given infection, with rectal infections more likely to be asymptomatic and urethral infections more likely to be symptomatic.</w:t>
      </w:r>
      <w:r w:rsidRPr="0024409C">
        <w:rPr>
          <w:rFonts w:ascii="Helvetica Neue" w:hAnsi="Helvetica Neue"/>
          <w:u w:color="000000"/>
        </w:rPr>
        <w:fldChar w:fldCharType="begin" w:fldLock="1"/>
      </w:r>
      <w:r w:rsidR="002E5A1F">
        <w:rPr>
          <w:rFonts w:ascii="Helvetica Neue" w:hAnsi="Helvetica Neue"/>
          <w:u w:color="000000"/>
        </w:rPr>
        <w:instrText>ADDIN CSL_CITATION { "citationItems" : [ { "id" : "ITEM-1", "itemData" : { "ISSN" : "1537-6591", "PMID" : "15937765", "abstract" : "BACKGROUND: The Centers for Disease Control and Prevention developed screening and diagnostic testing guidelines for chlamydia and gonorrhea at urethral, rectal, and pharyngeal sites for men who have sex with men (MSM). However, in most clinical settings, rectal chlamydial testing is not performed for MSM, and primarily sexually transmitted disease (STD) clinics alone perform routine rectal and pharyngeal gonorrhea screening for asymptomatic men. METHODS: We evaluated the prevalence of rectal, urethral, and pharyngeal chlamydial and gonococcal infections among MSM seen at the municipal STD clinic and the gay men's community health center. We also determined the proportion of asymptomatic rectal infections, described the patterns of single and multiple anatomic sites of infection, and evaluated the proportion of chlamydial infections that would be missed and not treated if MSM were not routinely tested for chlamydia. We tested specimens using previously validated nucleic acid amplification tests (NAATs). RESULTS: The prevalence of infection varied by anatomic site (chlamydia: rectal, 7.9%; urethral, 5.2%; and pharyngeal, 1.4%; for gonorrhea, rectal, 6.9%; urethral, 6.0%; and pharyngeal, 9.2%). Approximately 85% of rectal infections were asymptomatic supporting the need for routine screening. Because 53% of chlamydial infections and 64% of gonococcal infections were at nonurethral sites, these infections would be missed and not treated if only urethral screening was performed. In addition, &gt;70% of chlamydial infections would be missed and not treated if MSM were tested only for gonorrhea. CONCLUSIONS: Because these infections enhance both HIV transmission and susceptibility, clinical settings serving MSM should evaluate the prevalence of chlamydial and gonococcal infections by anatomic site using validated NAATs.", "author" : [ { "dropping-particle" : "", "family" : "Kent", "given" : "Charlotte K", "non-dropping-particle" : "", "parse-names" : false, "suffix" : "" }, { "dropping-particle" : "", "family" : "Chaw", "given" : "Janice K", "non-dropping-particle" : "", "parse-names" : false, "suffix" : "" }, { "dropping-particle" : "", "family" : "Wong", "given" : "William", "non-dropping-particle" : "", "parse-names" : false, "suffix" : "" }, { "dropping-particle" : "", "family" : "Liska", "given" : "Sally", "non-dropping-particle" : "", "parse-names" : false, "suffix" : "" }, { "dropping-particle" : "", "family" : "Gibson", "given" : "Steven", "non-dropping-particle" : "", "parse-names" : false, "suffix" : "" }, { "dropping-particle" : "", "family" : "Hubbard", "given" : "Gregory", "non-dropping-particle" : "", "parse-names" : false, "suffix" : "" }, { "dropping-particle" : "", "family" : "Klausner", "given" : "Jeffrey D", "non-dropping-particle" : "", "parse-names" : false, "suffix" : "" } ], "container-title" : "Clin Infect Dis", "id" : "ITEM-1", "issue" : "1", "issued" : { "date-parts" : [ [ "2005", "7" ] ] }, "page" : "67-74", "title" : "Prevalence of rectal, urethral, and pharyngeal chlamydia and gonorrhea detected in 2 clinical settings among men who have sex with men: San Francisco, California, 2003.", "type" : "article-journal", "volume" : "41" }, "uris" : [ "http://www.mendeley.com/documents/?uuid=ac78ab87-47aa-43f8-8ea6-83eabe6a5918" ] } ], "mendeley" : { "formattedCitation" : "&lt;sup&gt;97&lt;/sup&gt;", "plainTextFormattedCitation" : "97", "previouslyFormattedCitation" : "&lt;sup&gt;97&lt;/sup&gt;" }, "properties" : { "noteIndex" : 0 }, "schema" : "https://github.com/citation-style-language/schema/raw/master/csl-citation.json" }</w:instrText>
      </w:r>
      <w:r w:rsidRPr="0024409C">
        <w:rPr>
          <w:rFonts w:ascii="Helvetica Neue" w:hAnsi="Helvetica Neue"/>
          <w:u w:color="000000"/>
        </w:rPr>
        <w:fldChar w:fldCharType="separate"/>
      </w:r>
      <w:r w:rsidR="00721A10" w:rsidRPr="00721A10">
        <w:rPr>
          <w:rFonts w:ascii="Helvetica Neue" w:hAnsi="Helvetica Neue"/>
          <w:noProof/>
          <w:u w:color="000000"/>
          <w:vertAlign w:val="superscript"/>
        </w:rPr>
        <w:t>97</w:t>
      </w:r>
      <w:r w:rsidRPr="0024409C">
        <w:rPr>
          <w:rFonts w:ascii="Helvetica Neue" w:hAnsi="Helvetica Neue"/>
          <w:u w:color="000000"/>
        </w:rPr>
        <w:fldChar w:fldCharType="end"/>
      </w:r>
      <w:r w:rsidRPr="0024409C">
        <w:rPr>
          <w:rFonts w:ascii="Helvetica Neue" w:hAnsi="Helvetica Neue"/>
          <w:u w:color="000000"/>
        </w:rPr>
        <w:t xml:space="preserve"> The symptomatic status of an infection was assigned stochastically from a binomial distribution at the time of infection according to site-specific and infection-specific probability parameters for symptomatic status</w:t>
      </w:r>
      <w:r w:rsidR="002C7562">
        <w:rPr>
          <w:rFonts w:ascii="Helvetica Neue" w:hAnsi="Helvetica Neue"/>
          <w:u w:color="000000"/>
        </w:rPr>
        <w:t xml:space="preserve">. </w:t>
      </w:r>
      <w:r w:rsidR="004B3B0B">
        <w:rPr>
          <w:rFonts w:ascii="Helvetica Neue" w:hAnsi="Helvetica Neue"/>
          <w:u w:color="000000"/>
        </w:rPr>
        <w:t>Treatment of asymptomatic infection required diagnosis through the screening process that is</w:t>
      </w:r>
      <w:r w:rsidR="00D55B5C">
        <w:rPr>
          <w:rFonts w:ascii="Helvetica Neue" w:hAnsi="Helvetica Neue"/>
          <w:u w:color="000000"/>
        </w:rPr>
        <w:t xml:space="preserve"> </w:t>
      </w:r>
      <w:r w:rsidR="000D249B" w:rsidRPr="0024409C">
        <w:rPr>
          <w:rFonts w:ascii="Helvetica Neue" w:hAnsi="Helvetica Neue"/>
          <w:u w:color="000000"/>
        </w:rPr>
        <w:t>described further in Section 11.</w:t>
      </w:r>
    </w:p>
    <w:p w14:paraId="1931FE0B" w14:textId="45D634D2" w:rsidR="00B91058" w:rsidRDefault="00B91058" w:rsidP="00F774DE">
      <w:pPr>
        <w:spacing w:before="120" w:line="360" w:lineRule="auto"/>
        <w:rPr>
          <w:rFonts w:ascii="Helvetica Neue" w:hAnsi="Helvetica Neue"/>
          <w:u w:color="000000"/>
        </w:rPr>
      </w:pPr>
    </w:p>
    <w:p w14:paraId="45B52F89" w14:textId="1DBD977A" w:rsidR="00F774DE" w:rsidRDefault="00F774DE" w:rsidP="00F774DE">
      <w:pPr>
        <w:spacing w:before="120" w:line="360" w:lineRule="auto"/>
        <w:rPr>
          <w:rFonts w:ascii="Helvetica Neue" w:hAnsi="Helvetica Neue"/>
          <w:b/>
          <w:sz w:val="20"/>
          <w:szCs w:val="20"/>
        </w:rPr>
      </w:pPr>
    </w:p>
    <w:p w14:paraId="0D68E69C" w14:textId="465EE236" w:rsidR="001403FB" w:rsidRDefault="001403FB" w:rsidP="00F774DE">
      <w:pPr>
        <w:spacing w:before="120" w:line="360" w:lineRule="auto"/>
        <w:rPr>
          <w:rFonts w:ascii="Helvetica Neue" w:hAnsi="Helvetica Neue"/>
          <w:b/>
          <w:sz w:val="20"/>
          <w:szCs w:val="20"/>
        </w:rPr>
      </w:pPr>
    </w:p>
    <w:p w14:paraId="411915F2" w14:textId="5F4BA551" w:rsidR="001403FB" w:rsidRDefault="001403FB" w:rsidP="00F774DE">
      <w:pPr>
        <w:spacing w:before="120" w:line="360" w:lineRule="auto"/>
        <w:rPr>
          <w:rFonts w:ascii="Helvetica Neue" w:hAnsi="Helvetica Neue"/>
          <w:b/>
          <w:sz w:val="20"/>
          <w:szCs w:val="20"/>
        </w:rPr>
      </w:pPr>
    </w:p>
    <w:p w14:paraId="7411FCCC" w14:textId="4903AF99" w:rsidR="001403FB" w:rsidRDefault="001403FB" w:rsidP="00F774DE">
      <w:pPr>
        <w:spacing w:before="120" w:line="360" w:lineRule="auto"/>
        <w:rPr>
          <w:rFonts w:ascii="Helvetica Neue" w:hAnsi="Helvetica Neue"/>
          <w:b/>
          <w:sz w:val="20"/>
          <w:szCs w:val="20"/>
        </w:rPr>
      </w:pPr>
    </w:p>
    <w:p w14:paraId="2D746836" w14:textId="181F3C3F" w:rsidR="001403FB" w:rsidRDefault="001403FB" w:rsidP="00F774DE">
      <w:pPr>
        <w:spacing w:before="120" w:line="360" w:lineRule="auto"/>
        <w:rPr>
          <w:rFonts w:ascii="Helvetica Neue" w:hAnsi="Helvetica Neue"/>
          <w:b/>
          <w:sz w:val="20"/>
          <w:szCs w:val="20"/>
        </w:rPr>
      </w:pPr>
    </w:p>
    <w:p w14:paraId="0156EE91" w14:textId="7A420E18" w:rsidR="001403FB" w:rsidRDefault="001403FB" w:rsidP="00F774DE">
      <w:pPr>
        <w:spacing w:before="120" w:line="360" w:lineRule="auto"/>
        <w:rPr>
          <w:rFonts w:ascii="Helvetica Neue" w:hAnsi="Helvetica Neue"/>
          <w:b/>
          <w:sz w:val="20"/>
          <w:szCs w:val="20"/>
        </w:rPr>
      </w:pPr>
    </w:p>
    <w:p w14:paraId="5323961E" w14:textId="5B247505" w:rsidR="001403FB" w:rsidRDefault="001403FB" w:rsidP="00F774DE">
      <w:pPr>
        <w:spacing w:before="120" w:line="360" w:lineRule="auto"/>
        <w:rPr>
          <w:rFonts w:ascii="Helvetica Neue" w:hAnsi="Helvetica Neue"/>
          <w:b/>
          <w:sz w:val="20"/>
          <w:szCs w:val="20"/>
        </w:rPr>
      </w:pPr>
    </w:p>
    <w:p w14:paraId="20AA25AC" w14:textId="3B30AE63" w:rsidR="001403FB" w:rsidRDefault="001403FB" w:rsidP="00F774DE">
      <w:pPr>
        <w:spacing w:before="120" w:line="360" w:lineRule="auto"/>
        <w:rPr>
          <w:rFonts w:ascii="Helvetica Neue" w:hAnsi="Helvetica Neue"/>
          <w:b/>
          <w:sz w:val="20"/>
          <w:szCs w:val="20"/>
        </w:rPr>
      </w:pPr>
    </w:p>
    <w:p w14:paraId="559EE308" w14:textId="7CCE76F2" w:rsidR="001403FB" w:rsidRDefault="001403FB" w:rsidP="00F774DE">
      <w:pPr>
        <w:spacing w:before="120" w:line="360" w:lineRule="auto"/>
        <w:rPr>
          <w:rFonts w:ascii="Helvetica Neue" w:hAnsi="Helvetica Neue"/>
          <w:b/>
          <w:sz w:val="20"/>
          <w:szCs w:val="20"/>
        </w:rPr>
      </w:pPr>
    </w:p>
    <w:p w14:paraId="17B61588" w14:textId="6AE9BA9D" w:rsidR="001403FB" w:rsidRDefault="001403FB" w:rsidP="00F774DE">
      <w:pPr>
        <w:spacing w:before="120" w:line="360" w:lineRule="auto"/>
        <w:rPr>
          <w:rFonts w:ascii="Helvetica Neue" w:hAnsi="Helvetica Neue"/>
          <w:b/>
          <w:sz w:val="20"/>
          <w:szCs w:val="20"/>
        </w:rPr>
      </w:pPr>
    </w:p>
    <w:p w14:paraId="23A90BFA" w14:textId="77777777" w:rsidR="001403FB" w:rsidRDefault="001403FB" w:rsidP="00F774DE">
      <w:pPr>
        <w:spacing w:before="120" w:line="360" w:lineRule="auto"/>
        <w:rPr>
          <w:rFonts w:ascii="Helvetica Neue" w:hAnsi="Helvetica Neue"/>
          <w:b/>
          <w:sz w:val="20"/>
          <w:szCs w:val="20"/>
        </w:rPr>
      </w:pPr>
    </w:p>
    <w:p w14:paraId="1C7D9DF6" w14:textId="296E1495" w:rsidR="00EA384A" w:rsidRDefault="00EA384A" w:rsidP="00EA384A">
      <w:pPr>
        <w:spacing w:before="120" w:line="360" w:lineRule="auto"/>
        <w:jc w:val="center"/>
        <w:rPr>
          <w:rFonts w:ascii="Helvetica Neue" w:hAnsi="Helvetica Neue"/>
          <w:sz w:val="20"/>
          <w:szCs w:val="20"/>
        </w:rPr>
      </w:pPr>
      <w:r w:rsidRPr="0024409C">
        <w:rPr>
          <w:rFonts w:ascii="Helvetica Neue" w:hAnsi="Helvetica Neue"/>
          <w:b/>
          <w:sz w:val="20"/>
          <w:szCs w:val="20"/>
        </w:rPr>
        <w:t>F</w:t>
      </w:r>
      <w:r w:rsidR="00782595">
        <w:rPr>
          <w:rFonts w:ascii="Helvetica Neue" w:hAnsi="Helvetica Neue"/>
          <w:b/>
          <w:sz w:val="20"/>
          <w:szCs w:val="20"/>
        </w:rPr>
        <w:t>igure S</w:t>
      </w:r>
      <w:r w:rsidR="003E0D07">
        <w:rPr>
          <w:rFonts w:ascii="Helvetica Neue" w:hAnsi="Helvetica Neue"/>
          <w:b/>
          <w:sz w:val="20"/>
          <w:szCs w:val="20"/>
        </w:rPr>
        <w:t>1</w:t>
      </w:r>
      <w:r w:rsidRPr="0024409C">
        <w:rPr>
          <w:rFonts w:ascii="Helvetica Neue" w:hAnsi="Helvetica Neue"/>
          <w:b/>
          <w:sz w:val="20"/>
          <w:szCs w:val="20"/>
        </w:rPr>
        <w:t xml:space="preserve">. </w:t>
      </w:r>
      <w:r w:rsidRPr="0024409C">
        <w:rPr>
          <w:rFonts w:ascii="Helvetica Neue" w:hAnsi="Helvetica Neue"/>
          <w:sz w:val="20"/>
          <w:szCs w:val="20"/>
        </w:rPr>
        <w:t>Schematic Flow Diagram of STI Testing and Treatment</w:t>
      </w:r>
    </w:p>
    <w:p w14:paraId="1D55C900" w14:textId="746999A6" w:rsidR="006A1664" w:rsidRDefault="00CC552E" w:rsidP="00EA384A">
      <w:pPr>
        <w:spacing w:before="120" w:line="360" w:lineRule="auto"/>
        <w:jc w:val="center"/>
        <w:rPr>
          <w:rFonts w:ascii="Helvetica Neue" w:hAnsi="Helvetica Neue"/>
          <w:sz w:val="20"/>
          <w:szCs w:val="20"/>
        </w:rPr>
      </w:pPr>
      <w:r>
        <w:rPr>
          <w:rFonts w:ascii="Helvetica Neue" w:hAnsi="Helvetica Neue"/>
          <w:noProof/>
          <w:sz w:val="20"/>
          <w:szCs w:val="20"/>
        </w:rPr>
        <w:drawing>
          <wp:inline distT="0" distB="0" distL="0" distR="0" wp14:anchorId="1BEFF2DE" wp14:editId="5F292278">
            <wp:extent cx="5453073" cy="61271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895" cy="6130286"/>
                    </a:xfrm>
                    <a:prstGeom prst="rect">
                      <a:avLst/>
                    </a:prstGeom>
                    <a:noFill/>
                  </pic:spPr>
                </pic:pic>
              </a:graphicData>
            </a:graphic>
          </wp:inline>
        </w:drawing>
      </w:r>
    </w:p>
    <w:p w14:paraId="1A219520" w14:textId="2709DFD9" w:rsidR="00EA384A" w:rsidRPr="0024409C" w:rsidRDefault="00EA384A" w:rsidP="00EA384A">
      <w:pPr>
        <w:spacing w:before="120" w:line="360" w:lineRule="auto"/>
        <w:rPr>
          <w:rFonts w:ascii="Helvetica Neue" w:hAnsi="Helvetica Neue"/>
          <w:sz w:val="20"/>
          <w:szCs w:val="20"/>
        </w:rPr>
      </w:pPr>
    </w:p>
    <w:p w14:paraId="1562AD4B" w14:textId="2B560792" w:rsidR="00EA384A" w:rsidRPr="0024409C" w:rsidRDefault="00273CDD" w:rsidP="004B3747">
      <w:pPr>
        <w:pStyle w:val="Heading2"/>
        <w:rPr>
          <w:rFonts w:ascii="Helvetica Neue" w:hAnsi="Helvetica Neue"/>
          <w:szCs w:val="22"/>
        </w:rPr>
      </w:pPr>
      <w:bookmarkStart w:id="41" w:name="_Toc466401463"/>
      <w:bookmarkStart w:id="42" w:name="_Toc522270427"/>
      <w:r w:rsidRPr="0024409C">
        <w:rPr>
          <w:rFonts w:ascii="Helvetica Neue" w:hAnsi="Helvetica Neue"/>
          <w:szCs w:val="22"/>
        </w:rPr>
        <w:t>9</w:t>
      </w:r>
      <w:r w:rsidR="00690949" w:rsidRPr="0024409C">
        <w:rPr>
          <w:rFonts w:ascii="Helvetica Neue" w:hAnsi="Helvetica Neue"/>
          <w:szCs w:val="22"/>
        </w:rPr>
        <w:t>.2</w:t>
      </w:r>
      <w:r w:rsidR="00EA384A" w:rsidRPr="0024409C">
        <w:rPr>
          <w:rFonts w:ascii="Helvetica Neue" w:hAnsi="Helvetica Neue"/>
          <w:szCs w:val="22"/>
        </w:rPr>
        <w:t xml:space="preserve"> </w:t>
      </w:r>
      <w:r w:rsidR="00EA384A" w:rsidRPr="0024409C">
        <w:rPr>
          <w:rFonts w:ascii="Helvetica Neue" w:hAnsi="Helvetica Neue"/>
          <w:szCs w:val="22"/>
        </w:rPr>
        <w:tab/>
        <w:t>Chlamydia Symptoms</w:t>
      </w:r>
      <w:bookmarkEnd w:id="41"/>
      <w:bookmarkEnd w:id="42"/>
    </w:p>
    <w:p w14:paraId="059EC05C" w14:textId="218C7744" w:rsidR="00EA384A" w:rsidRPr="0024409C" w:rsidRDefault="00EA384A" w:rsidP="004B3747">
      <w:pPr>
        <w:spacing w:line="360" w:lineRule="auto"/>
        <w:rPr>
          <w:rFonts w:ascii="Helvetica Neue" w:hAnsi="Helvetica Neue"/>
        </w:rPr>
      </w:pPr>
      <w:r w:rsidRPr="0024409C">
        <w:rPr>
          <w:rFonts w:ascii="Helvetica Neue" w:hAnsi="Helvetica Neue"/>
        </w:rPr>
        <w:t>The asymptomatic nature of some CT infections can have an impact on the risk of transmission, as well as the dynamics of spread in a population. These estimates have varied widely for CT. For men, the middle 50% of estimates of the proportion of infections that are symptomatic from STI or HIV/STI models has ranged from 0.3–0.5,</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"ITEM-2", "issue" : "2", "issued" : { "date-parts" : [ [ "2012", "2" ] ] }, "page" : "161-8", "title" : "The role of sexually transmitted infections in the evolution of the South African HIV epidemic.", "type" : "article-journal", "volume" : "17" }, "uris" : [ "http://www.mendeley.com/documents/?uuid=0e1ea8f2-849f-41da-864c-66e864358726" ] }, { "id" : "ITEM-3",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"ITEM-3",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"http://www.mendeley.com/documents/?uuid=0a2526ac-9c2f-4d05-a843-3e15b26c329a" ] }, { "id" : "ITEM-4", "itemData" : { "ISSN" : "1471-2334", "PMID" : "24047261", "abstract" : "BACKGROUND Recent studies have found high prevalences of asymptomatic rectal chlamydia among HIV-infected men who have sex with men (MSM). Chlamydia could increase the infectivity of HIV and the susceptibility to HIV infection. We investigate the role of chlamydia in the spread of HIV among MSM and the possible impact of routine chlamydia screening among HIV-infected MSM at HIV treatment centres on the incidence of chlamydia and HIV in the overall MSM population. METHODS A mathematical model was developed to describe the transmission of HIV and chlamydia among MSM. Parameters relating to sexual behaviour were estimated from data from the Amsterdam Cohort Study among MSM. Uncertainty analysis was carried out for model parameters without confident estimates. The effects of different screening strategies for chlamydia were investigated. RESULTS Among all new HIV infections in MSM, 15% can be attributed to chlamydia infection. Introduction of routine chlamydia screening every six months among HIV-infected MSM during regular HIV consultations can reduce the incidence of both infections among MSM: after 10 years, the relative percentage reduction in chlamydia incidence would be 15% and in HIV incidence 4%, compared to the current situation. Chlamydia screening is more effective in reducing HIV incidence with more frequent screening and with higher participation of the most risky MSM in the screening program. CONCLUSIONS Chlamydia infection could contribute to the transmission of HIV among MSM. Preventive measures reducing chlamydia prevalence, such as routine chlamydia screening of HIV-infected MSM, can result in a decline in the incidence of chlamydia and HIV.", "author" : [ { "dropping-particle" : "", "family" : "Xiridou", "given" : "Maria", "non-dropping-particle" : "", "parse-names" : false, "suffix" : "" }, { "dropping-particle" : "", "family" : "Vriend", "given" : "Henrike J", "non-dropping-particle" : "", "parse-names" : false, "suffix" : "" }, { "dropping-particle" : "", "family" : "Lugner", "given" : "Anna K", "non-dropping-particle" : "", "parse-names" : false, "suffix" : "" }, { "dropping-particle" : "", "family" : "Wallinga", "given" : "Jacco", "non-dropping-particle" : "", "parse-names" : false, "suffix" : "" }, { "dropping-particle" : "", "family" : "Fennema", "given" : "Johannes S", "non-dropping-particle" : "", "parse-names" : false, "suffix" : "" }, { "dropping-particle" : "", "family" : "Prins", "given" : "Jan M", "non-dropping-particle" : "", "parse-names" : false, "suffix" : "" }, { "dropping-particle" : "", "family" : "Geerlings", "given" : "Suzanne E", "non-dropping-particle" : "", "parse-names" : false, "suffix" : "" }, { "dropping-particle" : "", "family" : "Rijnders", "given" : "Bart J A", "non-dropping-particle" : "", "parse-names" : false, "suffix" : "" }, { "dropping-particle" : "", "family" : "Prins", "given" : "Maria", "non-dropping-particle" : "", "parse-names" : false, "suffix" : "" }, { "dropping-particle" : "", "family" : "Vries", "given" : "Henry J C", "non-dropping-particle" : "de", "parse-names" : false, "suffix" : "" }, { "dropping-particle" : "", "family" : "Postma", "given" : "Maarten J", "non-dropping-particle" : "", "parse-names" : false, "suffix" : "" }, { "dropping-particle" : "", "family" : "Veen", "given" : "Maaike G", "non-dropping-particle" : "van", "parse-names" : false, "suffix" : "" }, { "dropping-particle" : "", "family" : "Schim van der Loeff", "given" : "Maarten F", "non-dropping-particle" : "", "parse-names" : false, "suffix" : "" }, { "dropping-particle" : "", "family" : "Sande", "given" : "Marianne A B", "non-dropping-particle" : "van der", "parse-names" : false, "suffix" : "" } ], "container-title" : "BMC Infect Dis", "id" : "ITEM-4", "issued" : { "date-parts" : [ [ "2013" ] ] }, "page" : "436", "title" : "Modelling the impact of chlamydia screening on the transmission of HIV among men who have sex with men.", "type" : "article-journal", "volume" : "13" }, "uris" : [ "http://www.mendeley.com/documents/?uuid=7ec86703-a8f1-47e5-ac4b-e7b75b8fa671" ] }, { "id" : "ITEM-5", "itemData" : { "ISSN" : "0148-5717", "PMID" : "16601656", "abstract" : "OBJECTIVE To estimate the incremental effects and costs of a home sampling screening approach for Chlamydia trachomatis over the current in-office screening practice in Denmark. GOALS To assess the effect of a new screening strategy. STUDY DESIGN A dynamic Monte Carlo model estimated prevalence and incidence over 10 years for a home sampling screening program and the current in-office screening. Subsequently, the incremental number of major outcomes averted (MOA) and the related direct and indirect costs were estimated. RESULTS Infection prevalence after 10 years was 1.0% with a home sampling program and 4.2% with the current in-office screening practice. The total costs per MOA reached 3186 US dollars during the first year of the home sampling strategy, but in year 4, the accumulated indirect costs offset the direct costs, and the program henceforth saved society costs. CONCLUSIONS Home sampling should be considered a relevant alternative to the current practice of in-office screening.", "author" : [ { "dropping-particle" : "", "family" : "Andersen", "given" : "Berit", "non-dropping-particle" : "", "parse-names" : false, "suffix" : "" }, { "dropping-particle" : "", "family" : "Gundgaard", "given" : "Jens", "non-dropping-particle" : "", "parse-names" : false, "suffix" : "" }, { "dropping-particle" : "", "family" : "Kretzschmar", "given" : "Mirjam", "non-dropping-particle" : "", "parse-names" : false, "suffix" : "" }, { "dropping-particle" : "", "family" : "Olsen", "given" : "Jens", "non-dropping-particle" : "", "parse-names" : false, "suffix" : "" }, { "dropping-particle" : "", "family" : "Welte", "given" : "Robert", "non-dropping-particle" : "", "parse-names" : false, "suffix" : "" }, { "dropping-particle" : "", "family" : "Oster-Gaard", "given" : "Lars", "non-dropping-particle" : "", "parse-names" : false, "suffix" : "" } ], "container-title" : "Sex Transm Dis", "id" : "ITEM-5", "issue" : "7", "issued" : { "date-parts" : [ [ "2006", "7" ] ] }, "page" : "407-15", "title" : "Prediction of costs, effectiveness, and disease control of a population-based program using home sampling for diagnosis of urogenital Chlamydia trachomatis infections", "type" : "article-journal", "volume" : "33" }, "uris" : [ "http://www.mendeley.com/documents/?uuid=ad4655e6-1796-4a64-b0b1-a55b81b1875a" ] }, { "id" : "ITEM-6", "itemData" : { "ISSN" : "1098-3015", "PMID" : "16441519", "abstract" : "OBJECTIVE To estimate the cost-effectiveness of a systematic one-off Chlamydia trachomatis (CT) screening program including partner treatment for Dutch young adults. METHODS Data on infection prevalence, participation rates, and sexual behavior were obtained from a large pilot study conducted in The Netherlands. Opposite to almost all previous economic evaluations of CT screening, we developed a dynamic Susceptible-Infected-Susceptible (SIS) model to estimate the impact of the screening program on the incidence and prevalence of CT in the population. SIS models are widely used in epidemiology of infectious diseases, for modeling the transmission dynamics over time. Subsequently, a predictive decision model was used to calculate the complications averted by the screening program. Cost-effectiveness was expressed as the net costs per major outcome averted (MOA) and was estimated in the baseline analysis and in sensitivity analysis. RESULTS The overall prevalence decreased from 1.79% to 1.05% as a result of the screening program directed at both men and women. The program costs were mainly offset by the averted costs, although not fully. Resulting net costs per MOA were 373 euro sin the baseline analysis. Sensitivity analysis showed that partner treatment and sending a reminder are important aspects improving cost-effectiveness. Additionally, restricting the screening to women only was estimated to save costs. CONCLUSIONS Our cost-effectiveness analysis shows that the Dutch society has net to pay for the prevention of CT-complications through screening young men and women. One could argue although that 373 euros per MOA presents a reasonable cost. A screening program consisting of screening women only should always be adopted from a pharmacoeconomic point of view. Our dynamic approach appreciates better the specific characteristics of an infectious disease, such as CT.", "author" : [ { "dropping-particle" : "", "family" : "Vries", "given" : "Robin", "non-dropping-particle" : "de", "parse-names" : false, "suffix" : "" }, { "dropping-particle" : "", "family" : "Bergen", "given" : "Jan E A M", "non-dropping-particle" : "van", "parse-names" : false, "suffix" : "" }, { "dropping-particle" : "", "family" : "Jong-van den Berg", "given" : "Lolkje T W", "non-dropping-particle" : "de", "parse-names" : false, "suffix" : "" }, { "dropping-particle" : "", "family" : "Postma", "given" : "Maarten J", "non-dropping-particle" : "", "parse-names" : false, "suffix" : "" }, { "dropping-particle" : "", "family" : "PILOT-CT Study Group", "given" : "", "non-dropping-particle" : "", "parse-names" : false, "suffix" : "" } ], "container-title" : "Value Health", "id" : "ITEM-6", "issue" : "1", "issued" : { "date-parts" : [ [ "2006" ] ] }, "page" : "1-11", "title" : "Systematic screening for Chlamydia trachomatis: estimating cost-effectiveness using dynamic modeling and Dutch data.", "type" : "article-journal", "volume" : "9" }, "uris" : [ "http://www.mendeley.com/documents/?uuid=61604c03-0238-4209-a717-7a9a4a4c0970", "http://www.mendeley.com/documents/?uuid=e6b2746c-5513-35bc-a1ee-f7a7254cb93e", "http://www.mendeley.com/documents/?uuid=65ad76ee-d201-41de-9bbc-78422d645e36" ] }, { "id" : "ITEM-7",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"ITEM-7",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"ITEM-8",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"ITEM-8", "issued" : { "date-parts" : [ [ "2013" ] ] }, "page" : "188", "title" : "Population movement can sustain STI prevalence in remote Australian indigenous communities.", "type" : "article-journal", "volume" : "13" }, "uris" : [ "http://www.mendeley.com/documents/?uuid=439c8ade-8864-4f5e-9dff-966b3d367e00" ] }, { "id" : "ITEM-9", "itemData" : { "ISSN" : "0002-9262", "PMID" : "11159151", "abstract" : "The design of a screening program for asymptomatic genital infections with Chlamydia trachomatis, requires decisions about which sex or age group should be targeted and whether partner referral should be included in the program. To investigate the effects of various screening programs on the prevalence and incidence of asymptomatic C. trachomatis infections in women, in May 1996 to April 1997 in Bilthoven, the Netherlands, the authors used a stochastic simulation model for C. trachomatis transmission in an age-structured, heterosexual population with a sexually highly active core group. Different screening scenarios were implemented over a time period of 10 years. Prevalence, incidence, and the fraction of infected persons found by partner referral were computed. Through screening of men and women between ages 15 and 24 years (baseline scenario), the prevalence of asymptomatic infections in women could be reduced from 4.2% to 1.4% in 10 years. Increasing the age range of screening up to ages 29 or 34 years led to prevalences of 0.4% and 0.06%, respectively, after 10 years. About 28% of all infected persons were found via partner referral. There are considerable indirect positive effects of screening on those population groups that are not included in the screening because of the reduced risk of becoming infected. Partner referral contributes substantially to prevalence reduction.", "author" : [ { "dropping-particle" : "", "family" : "Kretzschmar", "given" : "M", "non-dropping-particle" : "", "parse-names" : false, "suffix" : "" }, { "dropping-particle" : "", "family" : "Welte", "given" : "R", "non-dropping-particle" : "", "parse-names" : false, "suffix" : "" }, { "dropping-particle" : "", "family" : "Hoek", "given" : "A", "non-dropping-particle" : "van den", "parse-names" : false, "suffix" : "" }, { "dropping-particle" : "", "family" : "Postma", "given" : "M J", "non-dropping-particle" : "", "parse-names" : false, "suffix" : "" } ], "container-title" : "Am J Epidemiol", "id" : "ITEM-9", "issue" : "1", "issued" : { "date-parts" : [ [ "2001", "1", "1" ] ] }, "page" : "90-101", "title" : "Comparative model-based analysis of screening programs for Chlamydia trachomatis infections.", "type" : "article-journal", "volume" : "153" }, "uris" : [ "http://www.mendeley.com/documents/?uuid=37158024-4fed-4aa7-8960-1c7d1c10b124" ] }, { "id" : "ITEM-10", "itemData" : { "ISSN" : "1873-2607", "PMID" : "26952078", "abstract" : "INTRODUCTION In spite of chlamydia screening recommendations, U.S. testing coverage continues to be low. This study explored the cost-effectiveness of a patient-directed, universal, opportunistic Opt-Out Testing strategy (based on insurance coverage, healthcare utilization, and test acceptance probabilities) for all women aged 15-24 years compared with current Risk-Based Screening (30% coverage) from a societal perspective. METHODS Based on insurance coverage (80%); healthcare utilization (83%); and test acceptance (75%), the proposed Opt-Out Testing strategy would have an expected annual testing coverage of approximately 50% for sexually active women aged 15-24 years. A basic compartmental heterosexual transmission model was developed to account for population-level transmission dynamics. Two groups were assumed based on self-reported sexual activity. All model parameters were obtained from the literature. Costs and benefits were tracked over a 50-year period. The relative sensitivity of the estimated incremental cost-effectiveness ratios to the variables/parameters was determined. This study was conducted in 2014-2015. RESULTS Based on the model, the Opt-Out Testing strategy decreased the overall chlamydia prevalence by &gt;55% (2.7% to 1.2%). The Opt-Out Testing strategy was cost saving compared with the current Risk-Based Screening strategy. The estimated incremental cost-effectiveness ratio was most sensitive to the female pre-opt out prevalence, followed by the probability of female sequelae and discount rate. CONCLUSIONS The proposed Opt-Out Testing strategy was cost saving, improving health outcomes at a lower net cost than current testing. However, testing gaps would remain because many women might not have health insurance coverage, or not utilize health care.", "author" : [ { "dropping-particle" : "", "family" : "Owusu-Edusei", "given" : "Kwame", "non-dropping-particle" : "", "parse-names" : false, "suffix" : "" }, { "dropping-particle" : "", "family" : "Hoover", "given" : "Karen W", "non-dropping-particle" : "", "parse-names" : false, "suffix" : "" }, { "dropping-particle" : "", "family" : "Gift", "given" : "Thomas L", "non-dropping-particle" : "", "parse-names" : false, "suffix" : "" } ], "container-title" : "Am J Prev Med", "id" : "ITEM-10", "issue" : "2", "issued" : { "date-parts" : [ [ "2016", "8" ] ] }, "page" : "216-24", "title" : "Cost-effectiveness of opt-out chlamydia testing for high-risk young women in the US", "type" : "article-journal", "volume" : "51" }, "uris" : [ "http://www.mendeley.com/documents/?uuid=9fdf9f8a-a31a-4318-b59a-dcc965726109" ] }, { "id" : "ITEM-11", "itemData" : { "ISSN" : "1932-6203", "PMID" : "23527005", "abstract" : "BACKGROUND A large trial to investigate the effectiveness of population based screening for chlamydia infections was conducted in the Netherlands in 2008-2012. The trial was register based and consisted of four rounds of screening of women and men in the age groups 16-29 years in three regions in the Netherlands. Data were collected on participation rates and positivity rates per round. A modeling study was conducted to project screening effects for various screening strategies into the future. METHODS AND FINDINGS We used a stochastic network simulation model incorporating partnership formation and dissolution, aging and a sexual life course perspective. Trends in baseline rates of chlamydia testing and treatment were used to describe the epidemiological situation before the start of the screening program. Data on participation rates was used to describe screening uptake in rural and urban areas. Simulations were used to project the effectiveness of screening on chlamydia prevalence for a time period of 10 years. In addition, we tested alternative screening strategies, such as including only women, targeting different age groups, and biennial screening. Screening reduced prevalence by about 1% in the first two screening rounds and leveled off after that. Extrapolating observed participation rates into the future indicated very low participation in the long run. Alternative strategies only marginally changed the effectiveness of screening. Higher participation rates as originally foreseen in the program would have succeeded in reducing chlamydia prevalence to very low levels in the long run. CONCLUSIONS Decreasing participation rates over time profoundly impact the effectiveness of population based screening for chlamydia infections. Using data from several consecutive rounds of screening in a simulation model enabled us to assess the future effectiveness of screening on prevalence. If participation rates cannot be kept at a sufficient level, the effectiveness of screening on prevalence will remain limited.", "author" : [ { "dropping-particle" : "V", "family" : "Schmid", "given" : "Boris", "non-dropping-particle" : "", "parse-names" : false, "suffix" : "" }, { "dropping-particle" : "", "family" : "Over", "given" : "Eelco A B", "non-dropping-particle" : "", "parse-names" : false, "suffix" : "" }, { "dropping-particle" : "", "family" : "Broek", "given" : "Ingrid V F", "non-dropping-particle" : "van den", "parse-names" : false, "suffix" : "" }, { "dropping-particle" : "", "family" : "Coul", "given" : "Eline L M", "non-dropping-particle" : "Op de", "parse-names" : false, "suffix" : "" }, { "dropping-particle" : "", "family" : "Bergen", "given" : "Jan E A M", "non-dropping-particle" : "van", "parse-names" : false, "suffix" : "" }, { "dropping-particle" : "", "family" : "Fennema", "given" : "Johan S A", "non-dropping-particle" : "", "parse-names" : false, "suffix" : "" }, { "dropping-particle" : "", "family" : "G\u00f6tz", "given" : "Hannelore M", "non-dropping-particle" : "", "parse-names" : false, "suffix" : "" }, { "dropping-particle" : "", "family" : "Hoebe", "given" : "Christian J P A", "non-dropping-particle" : "", "parse-names" : false, "suffix" : "" }, { "dropping-particle" : "", "family" : "Wit", "given" : "G Ardine", "non-dropping-particle" : "de", "parse-names" : false, "suffix" : "" }, { "dropping-particle" : "", "family" : "Sande", "given" : "Marianne A B", "non-dropping-particle" : "van der", "parse-names" : false, "suffix" : "" }, { "dropping-particle" : "", "family" : "Kretzschmar", "given" : "Mirjam E E", "non-dropping-particle" : "", "parse-names" : false, "suffix" : "" } ], "container-title" : "PloS One", "id" : "ITEM-11", "issue" : "3", "issued" : { "date-parts" : [ [ "2013" ] ] }, "page" : "e58674", "title" : "Effects of population based screening for Chlamydia infections in the Netherlands limited by declining participation rates.", "type" : "article-journal", "volume" : "8" }, "uris" : [ "http://www.mendeley.com/documents/?uuid=b7c5011a-ab95-4c43-aaa8-4cb74bf719e5" ] }, { "id" : "ITEM-12", "itemData" : { "ISSN" : "1472-3263", "PMID" : "24273127", "abstract" : "OBJECTIVES To estimate the costs and benefits of clinical pathways incorporating a point of care (POC) nucleic acid amplification test (NAAT) for chlamydia and gonorrhoea in genitourinary medicine (GUM) clinics compared with standard off-site laboratory testing. METHOD We simulated 1.2 million GUM clinic attendees in England. A simulation in Microsoft Excel was developed to compare existing standard pathways of management for chlamydia and gonorrhoea with a POC NAAT. We conducted scenario analyses to evaluate the robustness of the model findings. The primary outcome was the incremental cost-effectiveness ratio. Secondary outcomes included the number of inappropriate treatments, complications and transmissions averted. RESULTS The baseline cost of using the point of POC NAAT was \u00a3103.9 million compared with \u00a3115.6 million for standard care. The POC NAAT was also associated with a small increase of 46 quality adjusted life years, making the new test both more effective and cheaper. Over 95 000 inappropriate treatments might be avoided by using a POC NAAT. Patients receive diagnosis and treatment on the same day as testing, which may also prevent 189 cases of pelvic inflammatory disease and 17 561 onward transmissions annually. DISCUSSION Replacing standard laboratory tests for chlamydia and gonorrhoea with a POC test could be cost saving and patients would benefit from more accurate diagnosis and less unnecessary treatment. Overtreatment currently accounts for about a tenth of the reported treatments for chlamydia and gonorrhoea and POC NAATs would effectively eliminate the need for presumptive treatment.", "author" : [ { "dropping-particle" : "", "family" : "Turner", "given" : "Katherine M E", "non-dropping-particle" : "", "parse-names" : false, "suffix" : "" }, { "dropping-particle" : "", "family" : "Round", "given" : "Jeff", "non-dropping-particle" : "", "parse-names" : false, "suffix" : "" }, { "dropping-particle" : "", "family" : "Horner", "given" : "Patrick", "non-dropping-particle" : "", "parse-names" : false, "suffix" : "" }, { "dropping-particle" : "", "family" : "Macleod", "given" : "John", "non-dropping-particle" : "", "parse-names" : false, "suffix" : "" }, { "dropping-particle" : "", "family" : "Goldenberg", "given" : "Simon", "non-dropping-particle" : "", "parse-names" : false, "suffix" : "" }, { "dropping-particle" : "", "family" : "Deol", "given" : "Arminder", "non-dropping-particle" : "", "parse-names" : false, "suffix" : "" }, { "dropping-particle" : "", "family" : "Adams", "given" : "Elisabeth J", "non-dropping-particle" : "", "parse-names" : false, "suffix" : "" } ], "container-title" : "Sex Transm Infect", "id" : "ITEM-12", "issue" : "2", "issued" : { "date-parts" : [ [ "2014", "3" ] ] }, "page" : "104-11", "title" : "An early evaluation of clinical and economic costs and benefits of implementing point of care NAAT tests for Chlamydia trachomatis and Neisseria gonorrhoea in genitourinary medicine clinics in England.", "type" : "article-journal", "volume" : "90" }, "uris" : [ "http://www.mendeley.com/documents/?uuid=839e0394-dfc6-4cc9-a76a-47483ec8b07d", "http://www.mendeley.com/documents/?uuid=a5843ce2-3049-36bd-81de-6855a2dcb6c5", "http://www.mendeley.com/documents/?uuid=5e8b8b56-a0aa-438f-b266-c987de427a61" ] }, { "id" : "ITEM-13",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"ITEM-13",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"&lt;sup&gt;40,46,49,51,54,55,58,61,65,66,70,71,76&lt;/sup&gt;", "plainTextFormattedCitation" : "40,46,49,51,54,55,58,61,65,66,70,71,76", "previouslyFormattedCitation" : "&lt;sup&gt;40,46,49,51,54,55,58,61,65,66,70,71,76&lt;/sup&gt;"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40,46,49,51,54,55,58,61,65,66,70,71,76</w:t>
      </w:r>
      <w:r w:rsidRPr="0024409C">
        <w:rPr>
          <w:rFonts w:ascii="Helvetica Neue" w:hAnsi="Helvetica Neue"/>
        </w:rPr>
        <w:fldChar w:fldCharType="end"/>
      </w:r>
      <w:r w:rsidRPr="0024409C">
        <w:rPr>
          <w:rFonts w:ascii="Helvetica Neue" w:hAnsi="Helvetica Neue"/>
        </w:rPr>
        <w:t xml:space="preserve"> with an outer range of 0–0.75</w:t>
      </w:r>
      <w:r w:rsidRPr="0024409C">
        <w:rPr>
          <w:rFonts w:ascii="Helvetica Neue" w:hAnsi="Helvetica Neue"/>
        </w:rPr>
        <w:fldChar w:fldCharType="begin" w:fldLock="1"/>
      </w:r>
      <w:r w:rsidR="002E5A1F">
        <w:rPr>
          <w:rFonts w:ascii="Helvetica Neue" w:hAnsi="Helvetica Neue"/>
        </w:rPr>
        <w:instrText>ADDIN CSL_CITATION { "citationItems" : [ { "id" : "ITEM-1", "itemData" : { "DOI" : "10.1097/OLQ.0b013e31822e9192", "ISSN" : "1537-4521", "PMID" : "21992986", "abstract" : "BACKGROUND Partner treatment is an important component of sexually transmitted disease control. Several randomized controlled trials have compared expedited partner treatment (EPT) to unassisted standard partner referral (SR). All of these trials found that EPT significantly increased partner treatment over SR, whereas some found that EPT significantly lowered reinfection rates in index patients. METHODS We collected cost data to assess the payer-specific, health care system, and societal-level cost of EPT and SR. We used data on partner treatment and index patient reinfection rates from 2 randomized controlled trials examining EPT and SR for patients diagnosed with chlamydia or gonorrhea. Additional elements were estimated or drawn from the literature. We used a Monte Carlo simulation to assess the impact on cost and effectiveness of varying several variables simultaneously, and calculated threshold values for selected variables at which EPT and SR costs per patient were equal. RESULTS From a health care system or societal perspective, EPT was less costly and it treated more partners than SR. From the perspective of an individual payer, EPT was less costly than SR if \u226532% to 37% of male index patients' female partners or \u226529% of female index patients' male partners received care from the same payer. CONCLUSIONS EPT has a lower cost from a societal or health care system perspective than SR and treats more partners. Individual payers may find EPT to be more costly than SR, depending on how many of their patients' partners receive care from the same payer.", "author" : [ { "dropping-particle" : "", "family" : "Gift", "given" : "Thomas L", "non-dropping-particle" : "", "parse-names" : false, "suffix" : "" }, { "dropping-particle" : "", "family" : "Kissinger", "given" : "Patricia", "non-dropping-particle" : "", "parse-names" : false, "suffix" : "" }, { "dropping-particle" : "", "family" : "Mohammed", "given" : "Hamish", "non-dropping-particle" : "", "parse-names" : false, "suffix" : "" }, { "dropping-particle" : "", "family" : "Leichliter", "given" : "Jami S", "non-dropping-particle" : "", "parse-names" : false, "suffix" : "" }, { "dropping-particle" : "", "family" : "Hogben", "given" : "Matthew", "non-dropping-particle" : "", "parse-names" : false, "suffix" : "" }, { "dropping-particle" : "", "family" : "Golden", "given" : "Matthew R", "non-dropping-particle" : "", "parse-names" : false, "suffix" : "" } ], "container-title" : "Sexually transmitted diseases", "id" : "ITEM-1", "issue" : "11", "issued" : { "date-parts" : [ [ "2011", "11" ] ] }, "page" : "1067-73", "title" : "The cost and cost-effectiveness of expedited partner therapy compared with standard partner referral for the treatment of chlamydia or gonorrhea.", "type" : "article-journal", "volume" : "38" }, "uris" : [ "http://www.mendeley.com/documents/?uuid=4eeec641-58bf-3a80-9d3e-c5d6d9b87eb4" ] }, { "id" : "ITEM-2", "itemData" : { "ISSN" : "1537-4521", "PMID" : "22421691", "abstract" : "BACKGROUND Rates of Chlamydia trachomatis (CT) infection in Canada have been increasing since the mid-1990s. We sought to estimate the burden of CT in this population. METHODS We developed an age- and sex-structured mathematical model parameterized to reproduce trends in CT prevalence between 1991 and 2009 in the Canadian population aged 10 to 39 years. Costs were identified, measured, and valued using a modified societal perspective and converted to year 2009 Canadian dollars. Cost-effectiveness of the implemented policy of enhanced screening for asymptomatic infections was estimated by comparison with model-projected trends in the absence of increased screening. Main outcome measures were current net cost and burden of illness attributable to CT infection, and incremental cost-effectiveness ratios. RESULTS Under base case model assumptions, there was a trend of increasing detection of CT cases (due to increases in screening), despite an underlying stabilization of actual CT infections. Average estimated costs associated with CT infection over this period were $51.4 million per year. Costs of screening and treatment of asymptomatic infections as a proportion of total CT costs were estimated to have increased over time, whereas costs of long-term sequelae associated with untreated infections declined over the same period. Compared with no change in screening, enhanced screening was estimated to be highly cost-effective, with an incremental cost-effectiveness ratio of $2910 per quality-adjusted life year. CONCLUSIONS Despite increases in screening, the economic burden of CT in Canada remains high. Further investigation of trends in chlamydia-associated complications is required to better understand the impact of screening on incidence.", "author" : [ { "dropping-particle" : "", "family" : "Tuite", "given" : "Ashleigh R", "non-dropping-particle" : "", "parse-names" : false, "suffix" : "" }, { "dropping-particle" : "", "family" : "Jayaraman", "given" : "Gayatri C", "non-dropping-particle" : "", "parse-names" : false, "suffix" : "" }, { "dropping-particle" : "", "family" : "Allen", "given" : "Vanessa G", "non-dropping-particle" : "", "parse-names" : false, "suffix" : "" }, { "dropping-particle" : "", "family" : "Fisman", "given" : "David N", "non-dropping-particle" : "", "parse-names" : false, "suffix" : "" } ], "container-title" : "Sex Transm Dis", "id" : "ITEM-2", "issue" : "4", "issued" : { "date-parts" : [ [ "2012", "4" ] ] }, "page" : "260-7", "title" : "Estimation of the burden of disease and costs of genital Chlamydia trachomatis infection in Canada.", "type" : "article-journal", "volume" : "39" }, "uris" : [ "http://www.mendeley.com/documents/?uuid=5fbc594f-47d4-3825-b783-ffaffc9001ae", "http://www.mendeley.com/documents/?uuid=77d327f5-5df4-429f-b85b-0821bbac064e" ] }, { "id" : "ITEM-3", "itemData" : { "ISSN" : "1368-4973", "PMID" : "17012515", "abstract" : "BACKGROUND In sub-Saharan Africa, gonococcal and chlamydial infections are usually managed using the syndromic approach. However, many infections are asymptomatic in women, and the syndromic algorithm has poor sensitivity and specificity for infections caused by Neisseria gonorrhoeae (Ng) and Chlamydia trachomatis (Ct). Because of this, rapid point of care (POC) tests for Ct/Ng could improve sexually transmitted infection (STI) management in women. This study uses mathematical modelling to estimate the incremental cost effectiveness of using POC tests to diagnose Ng/Ct instead of the current syndromic approach used by the SIDA2 HIV/STI prevention project for female sex workers in Cotonou, Benin. METHODS A dynamic mathematical model was used with data from Cotonou to estimate the HIV impact of the existing SIDA2 project (1995-8), and to project how impact would change if POC tests had been used. As observed in test evaluations, the POC tests were assumed to have high specificity, but a range of sensitivities. The incremental economic cost effectiveness of using POC tests was modelled using data on intervention costs and an evaluation of an Ng POC test in Cotonou in 2004. All costs were in 2004 US dollars. RESULTS The model estimated the STI treatment aspect of the intervention averted 18 553 Ng/Ct and 359 HIV infections over 4 years when the syndromic approach was used. In contrast, if Ng/Ct had been diagnosed with a 70-80% sensitive and 95% specific POC test then 24-31% fewer clinic attenders would have been treated, 40-60% more Ng/Ct and HIV infections would have been averted, and the incremental cost effectiveness of using them would have been 107-151 dollars per HIV infection averted if the POC tests cost 2 dollars and 58-81 dollars if they cost 1 dollar. CONCLUSIONS POC tests can be a cost effective strategy for substantially increasing the impact on HIV transmission, and decreasing the degree of inappropriate treatment of STI treatment interventions that use syndromic management to diagnose Ng/Ct.", "author" : [ { "dropping-particle" : "", "family" : "Vickerman", "given" : "P", "non-dropping-particle" : "", "parse-names" : false, "suffix" : "" }, { "dropping-particle" : "", "family" : "Watts", "given" : "C", "non-dropping-particle" : "", "parse-names" : false, "suffix" : "" }, { "dropping-particle" : "", "family" : "Peeling", "given" : "R W", "non-dropping-particle" : "", "parse-names" : false, "suffix" : "" }, { "dropping-particle" : "", "family" : "Mabey", "given" : "D", "non-dropping-particle" : "", "parse-names" : false, "suffix" : "" }, { "dropping-particle" : "", "family" : "Alary", "given" : "M", "non-dropping-particle" : "", "parse-names" : false, "suffix" : "" } ], "container-title" : "Sex Transm Infect", "id" : "ITEM-3", "issue" : "5", "issued" : { "date-parts" : [ [ "2006", "10" ] ] }, "page" : "403-12", "title" : "Modelling the cost effectiveness of rapid point of care diagnostic tests for the control of HIV and other sexually transmitted infections among female sex workers.", "type" : "article-journal", "volume" : "82" }, "uris" : [ "http://www.mendeley.com/documents/?uuid=34653315-add2-4125-a9d5-d49b26f46065" ] }, { "id" : "ITEM-4", "itemData" : { "ISSN" : "1537-4521", "PMID" : "22504590", "abstract" : "OBJECTIVES Model impact of increasing screening and partner notification (PN) on chlamydia positivity. METHODS We used a stochastic simulation model describing pair formation and dissolution in an age-structured heterosexual population. The model accounts for steady, casual, and concurrent partnerships and a highly sexually active core group. The model used existing sexual behavior data from the United States and was validated using chlamydia positivity data from Region X (Alaska, Idaho, Oregon, Washington). A screening program with a coverage rate of 20% was implemented among women aged 15 to 24 years. After 10 years, we increased screening coverage to 35%, 50%, and 65% and partner treatment rates from 20% to 40% and 55%. Finally, we included male screening (aged 15-24, screening coverage: 20% and 35%, partner treatment: 25% and 40%). We analyzed the effects on chlamydia positivity in women and the frequency of reinfection 6 months after treatment. RESULTS The model described the decline in positivity observed from 1988 to 1997 in Region X, given screening coverage of 20% and a 25% partner treatment rate. Increasing screening coverage from 35% to 65% resulted in incremental decreases in positivity as did increasing the PN rate; a 23% reduction in positivity was achieved by either increasing screening by 3-fold or PN by 2-fold. Adding male screening to the program had less impact than increasing screening coverage or PN among women. Increased PN and treatment reduced reinfection rates considerably. CONCLUSIONS Increasing efforts in PN may contribute at least as much to control of chlamydia infection as increasing screening coverage rates.", "author" : [ { "dropping-particle" : "", "family" : "Kretzschmar", "given" : "Mirjam", "non-dropping-particle" : "", "parse-names" : false, "suffix" : "" }, { "dropping-particle" : "", "family" : "Satterwhite", "given" : "Catherine", "non-dropping-particle" : "", "parse-names" : false, "suffix" : "" }, { "dropping-particle" : "", "family" : "Leichliter", "given" : "Jami", "non-dropping-particle" : "", "parse-names" : false, "suffix" : "" }, { "dropping-particle" : "", "family" : "Berman", "given" : "Stuart", "non-dropping-particle" : "", "parse-names" : false, "suffix" : "" } ], "container-title" : "Sex Transm Dis", "id" : "ITEM-4", "issue" : "5", "issued" : { "date-parts" : [ [ "2012", "5" ] ] }, "page" : "325-31", "title" : "Effects of screening and partner notification on Chlamydia positivity in the United States: a modeling study.", "type" : "article-journal", "volume" : "39" }, "uris" : [ "http://www.mendeley.com/documents/?uuid=9e28b657-b832-4f92-822f-ede371cccbda" ] }, { "id" : "ITEM-5", "itemData" : { "ISSN" : "1742-4682", "PMID" : "16426453", "abstract" : "BACKGROUND A national chlamydia screening programme is currently being rolled out in the UK and other countries. However, much of the epidemiology remains poorly understood. In this paper we present a stochastic, individual based, dynamic sexual network model of chlamydia transmission and its parameterisation. Mathematical models provide a theoretical framework for understanding the key epidemiological features of chlamydia: sexual behaviour, health care seeking and transmission dynamics. RESULTS The model parameters were estimated either directly or by systematic fitting to a variety of appropriate data sources. The fitted model was representative of sexual behaviour, chlamydia epidemiology and health care use in England. We were able to recapture the observed age distribution of chlamydia prevalence. CONCLUSION Estimating parameters for models of sexual behaviour and transmission of chlamydia is complex. Most of the parameter values are highly correlated, highly variable and there is little empirical evidence to inform estimates. We used a novel approach to estimate the rate of active treatment seeking, by combining data sources, which improved the credibility of the model results. The model structure is flexible and is broadly applicable to other developed world settings and provides a practical tool for public health decision makers.", "author" : [ { "dropping-particle" : "", "family" : "Turner", "given" : "Katherine M E", "non-dropping-particle" : "", "parse-names" : false, "suffix" : "" }, { "dropping-particle" : "", "family" : "Adams", "given" : "Elisabeth J", "non-dropping-particle" : "", "parse-names" : false, "suffix" : "" }, { "dropping-particle" : "", "family" : "Gay", "given" : "Nigel", "non-dropping-particle" : "", "parse-names" : false, "suffix" : "" }, { "dropping-particle" : "", "family" : "Ghani", "given" : "Azra C", "non-dropping-particle" : "", "parse-names" : false, "suffix" : "" }, { "dropping-particle" : "", "family" : "Mercer", "given" : "Catherine", "non-dropping-particle" : "", "parse-names" : false, "suffix" : "" }, { "dropping-particle" : "", "family" : "Edmunds", "given" : "W John", "non-dropping-particle" : "", "parse-names" : false, "suffix" : "" } ], "container-title" : "Theor Biol Med Model", "id" : "ITEM-5", "issued" : { "date-parts" : [ [ "2006" ] ] }, "page" : "3", "title" : "Developing a realistic sexual network model of chlamydia transmission in Britain.", "type" : "article-journal", "volume" : "3" }, "uris" : [ "http://www.mendeley.com/documents/?uuid=d5089e58-930f-47f0-8958-55ecbfb070a5" ] } ], "mendeley" : { "formattedCitation" : "&lt;sup&gt;44,50,53,98,99&lt;/sup&gt;", "plainTextFormattedCitation" : "44,50,53,98,99", "previouslyFormattedCitation" : "&lt;sup&gt;44,50,53,98,99&lt;/sup&gt;"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44,50,53,98,99</w:t>
      </w:r>
      <w:r w:rsidRPr="0024409C">
        <w:rPr>
          <w:rFonts w:ascii="Helvetica Neue" w:hAnsi="Helvetica Neue"/>
        </w:rPr>
        <w:fldChar w:fldCharType="end"/>
      </w:r>
      <w:r w:rsidRPr="0024409C">
        <w:rPr>
          <w:rFonts w:ascii="Helvetica Neue" w:hAnsi="Helvetica Neue"/>
        </w:rPr>
        <w:t xml:space="preserve"> and a sizable cluster of estimates at 0.75.</w:t>
      </w:r>
      <w:r w:rsidRPr="0024409C">
        <w:rPr>
          <w:rFonts w:ascii="Helvetica Neue" w:hAnsi="Helvetica Neue"/>
        </w:rPr>
        <w:fldChar w:fldCharType="begin" w:fldLock="1"/>
      </w:r>
      <w:r w:rsidR="002E5A1F">
        <w:rPr>
          <w:rFonts w:ascii="Helvetica Neue" w:hAnsi="Helvetica Neue"/>
        </w:rPr>
        <w:instrText>ADDIN CSL_CITATION { "citationItems" : [ { "id" : "ITEM-1", "itemData" : { "ISSN" : "0022-1899", "PMID" : "19432550", "abstract" : "BACKGROUND We investigated the likely impact of vaccines on the prevalence of and morbidity due to Chlamydia trachomatis (chlamydia) infections in heterosexual populations. METHODS An individual-based mathematical model of chlamydia transmission was developed and linked to the infection course in chlamydia-infected individuals. The model describes the impact of a vaccine through its effect on the chlamydial load required to infect susceptible individuals (the \"critical load\"), the load in infected individuals, and their subsequent infectiousness. The model was calibrated using behavioral, biological, and clinical data. RESULTS A fully protective chlamydia vaccine administered before sexual debut can theoretically eliminate chlamydia epidemics within 20 years. Partially effective vaccines can still greatly reduce the incidence of chlamydia infection. Vaccines should aim primarily to increase the critical load in susceptible individuals and secondarily to decrease the peak load and/or the duration of infection in vaccinated individuals who become infected. Vaccinating both sexes has a beneficial impact on chlamydia-related morbidity, but targeting women is more effective than targeting men. CONCLUSIONS Our findings can be used in laboratory settings to evaluate vaccine candidates in animal models, by regulatory bodies in the promotion of candidates for clinical trials, and by public health authorities in deciding on optimal intervention strategies.", "author" : [ { "dropping-particle" : "", "family" : "Gray", "given" : "Richard T", "non-dropping-particle" : "", "parse-names" : false, "suffix" : "" }, { "dropping-particle" : "", "family" : "Beagley", "given" : "Kenneth W", "non-dropping-particle" : "", "parse-names" : false, "suffix" : "" }, { "dropping-particle" : "", "family" : "Timms", "given" : "Peter", "non-dropping-particle" : "", "parse-names" : false, "suffix" : "" }, { "dropping-particle" : "", "family" : "Wilson", "given" : "David P", "non-dropping-particle" : "", "parse-names" : false, "suffix" : "" } ], "container-title" : "J Inf Dis", "id" : "ITEM-1", "issue" : "11", "issued" : { "date-parts" : [ [ "2009", "6" ] ] }, "page" : "1680-8", "title" : "Modeling the impact of potential vaccines on epidemics of sexually transmitted Chlamydia trachomatis infection.", "type" : "article-journal", "volume" : "199" }, "uris" : [ "http://www.mendeley.com/documents/?uuid=b8f7da0c-a8c0-45b8-b274-a0d3b3bc2eb6", "http://www.mendeley.com/documents/?uuid=30257bd5-5f99-38b8-a1d8-dabd11bf07b4" ] }, { "id" : "ITEM-2", "itemData" : { "ISSN" : "1553-7358", "PMID" : "22570594", "abstract" : "There are four major quantities that are measured in sexual behavior surveys that are thought to be especially relevant for the performance of sexual network models in terms of disease transmission. These are (i) the cumulative distribution of lifetime number of partners, (ii) the distribution of partnership durations, (iii) the distribution of gap lengths between partnerships, and (iv) the number of recent partners. Fitting a network model to these quantities as measured in sexual behavior surveys is expected to result in a good description of Chlamydia trachomatis transmission in terms of the heterogeneity of the distribution of infection in the population. Here we present a simulation model of a sexual contact network, in which we explored the role of behavioral heterogeneity of simulated individuals on the ability of the model to reproduce population-level sexual survey data from the Netherlands and UK. We find that a high level of heterogeneity in the ability of individuals to acquire and maintain (additional) partners strongly facilitates the ability of the model to accurately simulate the powerlaw-like distribution of the lifetime number of partners, and the age at which these partnerships were accumulated, as surveyed in actual sexual contact networks. Other sexual network features, such as the gap length between partnerships and the partnership duration, could-at the current level of detail of sexual survey data against which they were compared-be accurately modeled by a constant value (for transitional concurrency) and by exponential distributions (for partnership duration). Furthermore, we observe that epidemiological measures on disease prevalence in survey data can be used as a powerful tool for building accurate sexual contact networks, as these measures provide information on the level of mixing between individuals of different levels of sexual activity in the population, a parameter that is hard to acquire through surveying individuals.", "author" : [ { "dropping-particle" : "V", "family" : "Schmid", "given" : "Boris", "non-dropping-particle" : "", "parse-names" : false, "suffix" : "" }, { "dropping-particle" : "", "family" : "Kretzschmar", "given" : "Mirjam", "non-dropping-particle" : "", "parse-names" : false, "suffix" : "" } ], "container-title" : "PLoS Comput Biol", "id" : "ITEM-2", "issue" : "4", "issued" : { "date-parts" : [ [ "2012" ] ] }, "page" : "e1002470", "title" : "Determinants of sexual network structure and their impact on cumulative network measures.", "type" : "article-journal", "volume" : "8" }, "uris" : [ "http://www.mendeley.com/documents/?uuid=a1e755bd-090b-4a64-adb0-52e0b3ce18c7", "http://www.mendeley.com/documents/?uuid=5decc760-231c-3da7-ae50-cbe56f48b440", "http://www.mendeley.com/documents/?uuid=8dd344a6-f0b6-4c4c-8dd6-1dff97bca25b" ] }, { "id" : "ITEM-3",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"ITEM-3",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"http://www.mendeley.com/documents/?uuid=47d12065-64d6-4c88-b142-bab9b2de6c4a" ] }, { "id" : "ITEM-4",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"ITEM-4",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"http://www.mendeley.com/documents/?uuid=068ae4c2-fc1a-407c-9042-659f35956723", "http://www.mendeley.com/documents/?uuid=79167eaa-7546-3c44-8cc8-210cd54f8e72", "http://www.mendeley.com/documents/?uuid=5fb2b580-64d5-479e-989a-85a9961eaadf" ] }, { "id" : "ITEM-5",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"ITEM-5",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"mendeley" : { "formattedCitation" : "&lt;sup&gt;59,60,68,69,73&lt;/sup&gt;", "plainTextFormattedCitation" : "59,60,68,69,73", "previouslyFormattedCitation" : "&lt;sup&gt;59,60,68,69,73&lt;/sup&gt;"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59,60,68,69,73</w:t>
      </w:r>
      <w:r w:rsidRPr="0024409C">
        <w:rPr>
          <w:rFonts w:ascii="Helvetica Neue" w:hAnsi="Helvetica Neue"/>
        </w:rPr>
        <w:fldChar w:fldCharType="end"/>
      </w:r>
      <w:r w:rsidRPr="0024409C">
        <w:rPr>
          <w:rFonts w:ascii="Helvetica Neue" w:hAnsi="Helvetica Neue"/>
        </w:rPr>
        <w:t xml:space="preserve"> Beck et al.</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differentiated between the probability of symptoms of urethral and rectal CT infections in MSM, estimating a 4-fold increase in the likelihood of symptoms (0.58 versus 0.14) at the urethral site. The proportion symptomatic in males tends to be increased 1.5–3 fold over the same proportion in women,</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"ITEM-2", "issue" : "2", "issued" : { "date-parts" : [ [ "2012", "2" ] ] }, "page" : "161-8", "title" : "The role of sexually transmitted infections in the evolution of the South African HIV epidemic.", "type" : "article-journal", "volume" : "17" }, "uris" : [ "http://www.mendeley.com/documents/?uuid=0e1ea8f2-849f-41da-864c-66e864358726" ] }, { "id" : "ITEM-3",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"ITEM-3",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"http://www.mendeley.com/documents/?uuid=2648772e-edde-461a-8e03-7b3f465934c1" ] }, { "id" : "ITEM-4", "itemData" : { "ISSN" : "0148-5717", "PMID" : "16601656", "abstract" : "OBJECTIVE To estimate the incremental effects and costs of a home sampling screening approach for Chlamydia trachomatis over the current in-office screening practice in Denmark. GOALS To assess the effect of a new screening strategy. STUDY DESIGN A dynamic Monte Carlo model estimated prevalence and incidence over 10 years for a home sampling screening program and the current in-office screening. Subsequently, the incremental number of major outcomes averted (MOA) and the related direct and indirect costs were estimated. RESULTS Infection prevalence after 10 years was 1.0% with a home sampling program and 4.2% with the current in-office screening practice. The total costs per MOA reached 3186 US dollars during the first year of the home sampling strategy, but in year 4, the accumulated indirect costs offset the direct costs, and the program henceforth saved society costs. CONCLUSIONS Home sampling should be considered a relevant alternative to the current practice of in-office screening.", "author" : [ { "dropping-particle" : "", "family" : "Andersen", "given" : "Berit", "non-dropping-particle" : "", "parse-names" : false, "suffix" : "" }, { "dropping-particle" : "", "family" : "Gundgaard", "given" : "Jens", "non-dropping-particle" : "", "parse-names" : false, "suffix" : "" }, { "dropping-particle" : "", "family" : "Kretzschmar", "given" : "Mirjam", "non-dropping-particle" : "", "parse-names" : false, "suffix" : "" }, { "dropping-particle" : "", "family" : "Olsen", "given" : "Jens", "non-dropping-particle" : "", "parse-names" : false, "suffix" : "" }, { "dropping-particle" : "", "family" : "Welte", "given" : "Robert", "non-dropping-particle" : "", "parse-names" : false, "suffix" : "" }, { "dropping-particle" : "", "family" : "Oster-Gaard", "given" : "Lars", "non-dropping-particle" : "", "parse-names" : false, "suffix" : "" } ], "container-title" : "Sex Transm Dis", "id" : "ITEM-4", "issue" : "7", "issued" : { "date-parts" : [ [ "2006", "7" ] ] }, "page" : "407-15", "title" : "Prediction of costs, effectiveness, and disease control of a population-based program using home sampling for diagnosis of urogenital Chlamydia trachomatis infections", "type" : "article-journal", "volume" : "33" }, "uris" : [ "http://www.mendeley.com/documents/?uuid=ad4655e6-1796-4a64-b0b1-a55b81b1875a" ] }, { "id" : "ITEM-5", "itemData" : { "ISSN" : "1098-3015", "PMID" : "16441519", "abstract" : "OBJECTIVE To estimate the cost-effectiveness of a systematic one-off Chlamydia trachomatis (CT) screening program including partner treatment for Dutch young adults. METHODS Data on infection prevalence, participation rates, and sexual behavior were obtained from a large pilot study conducted in The Netherlands. Opposite to almost all previous economic evaluations of CT screening, we developed a dynamic Susceptible-Infected-Susceptible (SIS) model to estimate the impact of the screening program on the incidence and prevalence of CT in the population. SIS models are widely used in epidemiology of infectious diseases, for modeling the transmission dynamics over time. Subsequently, a predictive decision model was used to calculate the complications averted by the screening program. Cost-effectiveness was expressed as the net costs per major outcome averted (MOA) and was estimated in the baseline analysis and in sensitivity analysis. RESULTS The overall prevalence decreased from 1.79% to 1.05% as a result of the screening program directed at both men and women. The program costs were mainly offset by the averted costs, although not fully. Resulting net costs per MOA were 373 euro sin the baseline analysis. Sensitivity analysis showed that partner treatment and sending a reminder are important aspects improving cost-effectiveness. Additionally, restricting the screening to women only was estimated to save costs. CONCLUSIONS Our cost-effectiveness analysis shows that the Dutch society has net to pay for the prevention of CT-complications through screening young men and women. One could argue although that 373 euros per MOA presents a reasonable cost. A screening program consisting of screening women only should always be adopted from a pharmacoeconomic point of view. Our dynamic approach appreciates better the specific characteristics of an infectious disease, such as CT.", "author" : [ { "dropping-particle" : "", "family" : "Vries", "given" : "Robin", "non-dropping-particle" : "de", "parse-names" : false, "suffix" : "" }, { "dropping-particle" : "", "family" : "Bergen", "given" : "Jan E A M", "non-dropping-particle" : "van", "parse-names" : false, "suffix" : "" }, { "dropping-particle" : "", "family" : "Jong-van den Berg", "given" : "Lolkje T W", "non-dropping-particle" : "de", "parse-names" : false, "suffix" : "" }, { "dropping-particle" : "", "family" : "Postma", "given" : "Maarten J", "non-dropping-particle" : "", "parse-names" : false, "suffix" : "" }, { "dropping-particle" : "", "family" : "PILOT-CT Study Group", "given" : "", "non-dropping-particle" : "", "parse-names" : false, "suffix" : "" } ], "container-title" : "Value Health", "id" : "ITEM-5", "issue" : "1", "issued" : { "date-parts" : [ [ "2006" ] ] }, "page" : "1-11", "title" : "Systematic screening for Chlamydia trachomatis: estimating cost-effectiveness using dynamic modeling and Dutch data.", "type" : "article-journal", "volume" : "9" }, "uris" : [ "http://www.mendeley.com/documents/?uuid=61604c03-0238-4209-a717-7a9a4a4c0970", "http://www.mendeley.com/documents/?uuid=e6b2746c-5513-35bc-a1ee-f7a7254cb93e", "http://www.mendeley.com/documents/?uuid=8e96c8da-077a-4c30-a080-f80beaaff04a" ] }, { "id" : "ITEM-6",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"ITEM-6", "issued" : { "date-parts" : [ [ "2013" ] ] }, "page" : "188", "title" : "Population movement can sustain STI prevalence in remote Australian indigenous communities.", "type" : "article-journal", "volume" : "13" }, "uris" : [ "http://www.mendeley.com/documents/?uuid=439c8ade-8864-4f5e-9dff-966b3d367e00" ] }, { "id" : "ITEM-7", "itemData" : { "ISSN" : "1537-4521", "PMID" : "22504590", "abstract" : "OBJECTIVES Model impact of increasing screening and partner notification (PN) on chlamydia positivity. METHODS We used a stochastic simulation model describing pair formation and dissolution in an age-structured heterosexual population. The model accounts for steady, casual, and concurrent partnerships and a highly sexually active core group. The model used existing sexual behavior data from the United States and was validated using chlamydia positivity data from Region X (Alaska, Idaho, Oregon, Washington). A screening program with a coverage rate of 20% was implemented among women aged 15 to 24 years. After 10 years, we increased screening coverage to 35%, 50%, and 65% and partner treatment rates from 20% to 40% and 55%. Finally, we included male screening (aged 15-24, screening coverage: 20% and 35%, partner treatment: 25% and 40%). We analyzed the effects on chlamydia positivity in women and the frequency of reinfection 6 months after treatment. RESULTS The model described the decline in positivity observed from 1988 to 1997 in Region X, given screening coverage of 20% and a 25% partner treatment rate. Increasing screening coverage from 35% to 65% resulted in incremental decreases in positivity as did increasing the PN rate; a 23% reduction in positivity was achieved by either increasing screening by 3-fold or PN by 2-fold. Adding male screening to the program had less impact than increasing screening coverage or PN among women. Increased PN and treatment reduced reinfection rates considerably. CONCLUSIONS Increasing efforts in PN may contribute at least as much to control of chlamydia infection as increasing screening coverage rates.", "author" : [ { "dropping-particle" : "", "family" : "Kretzschmar", "given" : "Mirjam", "non-dropping-particle" : "", "parse-names" : false, "suffix" : "" }, { "dropping-particle" : "", "family" : "Satterwhite", "given" : "Catherine", "non-dropping-particle" : "", "parse-names" : false, "suffix" : "" }, { "dropping-particle" : "", "family" : "Leichliter", "given" : "Jami", "non-dropping-particle" : "", "parse-names" : false, "suffix" : "" }, { "dropping-particle" : "", "family" : "Berman", "given" : "Stuart", "non-dropping-particle" : "", "parse-names" : false, "suffix" : "" } ], "container-title" : "Sex Transm Dis", "id" : "ITEM-7", "issue" : "5", "issued" : { "date-parts" : [ [ "2012", "5" ] ] }, "page" : "325-31", "title" : "Effects of screening and partner notification on Chlamydia positivity in the United States: a modeling study.", "type" : "article-journal", "volume" : "39" }, "uris" : [ "http://www.mendeley.com/documents/?uuid=9e28b657-b832-4f92-822f-ede371cccbda" ] }, { "id" : "ITEM-8", "itemData" : { "ISSN" : "0002-9262", "PMID" : "11159151", "abstract" : "The design of a screening program for asymptomatic genital infections with Chlamydia trachomatis, requires decisions about which sex or age group should be targeted and whether partner referral should be included in the program. To investigate the effects of various screening programs on the prevalence and incidence of asymptomatic C. trachomatis infections in women, in May 1996 to April 1997 in Bilthoven, the Netherlands, the authors used a stochastic simulation model for C. trachomatis transmission in an age-structured, heterosexual population with a sexually highly active core group. Different screening scenarios were implemented over a time period of 10 years. Prevalence, incidence, and the fraction of infected persons found by partner referral were computed. Through screening of men and women between ages 15 and 24 years (baseline scenario), the prevalence of asymptomatic infections in women could be reduced from 4.2% to 1.4% in 10 years. Increasing the age range of screening up to ages 29 or 34 years led to prevalences of 0.4% and 0.06%, respectively, after 10 years. About 28% of all infected persons were found via partner referral. There are considerable indirect positive effects of screening on those population groups that are not included in the screening because of the reduced risk of becoming infected. Partner referral contributes substantially to prevalence reduction.", "author" : [ { "dropping-particle" : "", "family" : "Kretzschmar", "given" : "M", "non-dropping-particle" : "", "parse-names" : false, "suffix" : "" }, { "dropping-particle" : "", "family" : "Welte", "given" : "R", "non-dropping-particle" : "", "parse-names" : false, "suffix" : "" }, { "dropping-particle" : "", "family" : "Hoek", "given" : "A", "non-dropping-particle" : "van den", "parse-names" : false, "suffix" : "" }, { "dropping-particle" : "", "family" : "Postma", "given" : "M J", "non-dropping-particle" : "", "parse-names" : false, "suffix" : "" } ], "container-title" : "Am J Epidemiol", "id" : "ITEM-8", "issue" : "1", "issued" : { "date-parts" : [ [ "2001", "1", "1" ] ] }, "page" : "90-101", "title" : "Comparative model-based analysis of screening programs for Chlamydia trachomatis infections.", "type" : "article-journal", "volume" : "153" }, "uris" : [ "http://www.mendeley.com/documents/?uuid=37158024-4fed-4aa7-8960-1c7d1c10b124" ] }, { "id" : "ITEM-9",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"ITEM-9",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"http://www.mendeley.com/documents/?uuid=3c299a64-056b-481b-b77b-d107cfd9d041" ] }, { "id" : "ITEM-10",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"ITEM-10",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"http://www.mendeley.com/documents/?uuid=068ae4c2-fc1a-407c-9042-659f35956723", "http://www.mendeley.com/documents/?uuid=79167eaa-7546-3c44-8cc8-210cd54f8e72", "http://www.mendeley.com/documents/?uuid=a1d09876-2864-4d96-8f80-5a8f4d192176" ] }, { "id" : "ITEM-11", "itemData" : { "ISSN" : "1873-2607", "PMID" : "26952078", "abstract" : "INTRODUCTION In spite of chlamydia screening recommendations, U.S. testing coverage continues to be low. This study explored the cost-effectiveness of a patient-directed, universal, opportunistic Opt-Out Testing strategy (based on insurance coverage, healthcare utilization, and test acceptance probabilities) for all women aged 15-24 years compared with current Risk-Based Screening (30% coverage) from a societal perspective. METHODS Based on insurance coverage (80%); healthcare utilization (83%); and test acceptance (75%), the proposed Opt-Out Testing strategy would have an expected annual testing coverage of approximately 50% for sexually active women aged 15-24 years. A basic compartmental heterosexual transmission model was developed to account for population-level transmission dynamics. Two groups were assumed based on self-reported sexual activity. All model parameters were obtained from the literature. Costs and benefits were tracked over a 50-year period. The relative sensitivity of the estimated incremental cost-effectiveness ratios to the variables/parameters was determined. This study was conducted in 2014-2015. RESULTS Based on the model, the Opt-Out Testing strategy decreased the overall chlamydia prevalence by &gt;55% (2.7% to 1.2%). The Opt-Out Testing strategy was cost saving compared with the current Risk-Based Screening strategy. The estimated incremental cost-effectiveness ratio was most sensitive to the female pre-opt out prevalence, followed by the probability of female sequelae and discount rate. CONCLUSIONS The proposed Opt-Out Testing strategy was cost saving, improving health outcomes at a lower net cost than current testing. However, testing gaps would remain because many women might not have health insurance coverage, or not utilize health care.", "author" : [ { "dropping-particle" : "", "family" : "Owusu-Edusei", "given" : "Kwame", "non-dropping-particle" : "", "parse-names" : false, "suffix" : "" }, { "dropping-particle" : "", "family" : "Hoover", "given" : "Karen W", "non-dropping-particle" : "", "parse-names" : false, "suffix" : "" }, { "dropping-particle" : "", "family" : "Gift", "given" : "Thomas L", "non-dropping-particle" : "", "parse-names" : false, "suffix" : "" } ], "container-title" : "Am J Prev Med", "id" : "ITEM-11", "issue" : "2", "issued" : { "date-parts" : [ [ "2016", "8" ] ] }, "page" : "216-24", "title" : "Cost-effectiveness of opt-out chlamydia testing for high-risk young women in the US", "type" : "article-journal", "volume" : "51" }, "uris" : [ "http://www.mendeley.com/documents/?uuid=9fdf9f8a-a31a-4318-b59a-dcc965726109" ] }, { "id" : "ITEM-12", "itemData" : { "ISSN" : "1932-6203", "PMID" : "23527005", "abstract" : "BACKGROUND A large trial to investigate the effectiveness of population based screening for chlamydia infections was conducted in the Netherlands in 2008-2012. The trial was register based and consisted of four rounds of screening of women and men in the age groups 16-29 years in three regions in the Netherlands. Data were collected on participation rates and positivity rates per round. A modeling study was conducted to project screening effects for various screening strategies into the future. METHODS AND FINDINGS We used a stochastic network simulation model incorporating partnership formation and dissolution, aging and a sexual life course perspective. Trends in baseline rates of chlamydia testing and treatment were used to describe the epidemiological situation before the start of the screening program. Data on participation rates was used to describe screening uptake in rural and urban areas. Simulations were used to project the effectiveness of screening on chlamydia prevalence for a time period of 10 years. In addition, we tested alternative screening strategies, such as including only women, targeting different age groups, and biennial screening. Screening reduced prevalence by about 1% in the first two screening rounds and leveled off after that. Extrapolating observed participation rates into the future indicated very low participation in the long run. Alternative strategies only marginally changed the effectiveness of screening. Higher participation rates as originally foreseen in the program would have succeeded in reducing chlamydia prevalence to very low levels in the long run. CONCLUSIONS Decreasing participation rates over time profoundly impact the effectiveness of population based screening for chlamydia infections. Using data from several consecutive rounds of screening in a simulation model enabled us to assess the future effectiveness of screening on prevalence. If participation rates cannot be kept at a sufficient level, the effectiveness of screening on prevalence will remain limited.", "author" : [ { "dropping-particle" : "V", "family" : "Schmid", "given" : "Boris", "non-dropping-particle" : "", "parse-names" : false, "suffix" : "" }, { "dropping-particle" : "", "family" : "Over", "given" : "Eelco A B", "non-dropping-particle" : "", "parse-names" : false, "suffix" : "" }, { "dropping-particle" : "", "family" : "Broek", "given" : "Ingrid V F", "non-dropping-particle" : "van den", "parse-names" : false, "suffix" : "" }, { "dropping-particle" : "", "family" : "Coul", "given" : "Eline L M", "non-dropping-particle" : "Op de", "parse-names" : false, "suffix" : "" }, { "dropping-particle" : "", "family" : "Bergen", "given" : "Jan E A M", "non-dropping-particle" : "van", "parse-names" : false, "suffix" : "" }, { "dropping-particle" : "", "family" : "Fennema", "given" : "Johan S A", "non-dropping-particle" : "", "parse-names" : false, "suffix" : "" }, { "dropping-particle" : "", "family" : "G\u00f6tz", "given" : "Hannelore M", "non-dropping-particle" : "", "parse-names" : false, "suffix" : "" }, { "dropping-particle" : "", "family" : "Hoebe", "given" : "Christian J P A", "non-dropping-particle" : "", "parse-names" : false, "suffix" : "" }, { "dropping-particle" : "", "family" : "Wit", "given" : "G Ardine", "non-dropping-particle" : "de", "parse-names" : false, "suffix" : "" }, { "dropping-particle" : "", "family" : "Sande", "given" : "Marianne A B", "non-dropping-particle" : "van der", "parse-names" : false, "suffix" : "" }, { "dropping-particle" : "", "family" : "Kretzschmar", "given" : "Mirjam E E", "non-dropping-particle" : "", "parse-names" : false, "suffix" : "" } ], "container-title" : "PloS One", "id" : "ITEM-12", "issue" : "3", "issued" : { "date-parts" : [ [ "2013" ] ] }, "page" : "e58674", "title" : "Effects of population based screening for Chlamydia infections in the Netherlands limited by declining participation rates.", "type" : "article-journal", "volume" : "8" }, "uris" : [ "http://www.mendeley.com/documents/?uuid=b7c5011a-ab95-4c43-aaa8-4cb74bf719e5" ] }, { "id" : "ITEM-13",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"ITEM-13",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"&lt;sup&gt;40,46,49\u201351,54,55,65,66,68\u201370,76&lt;/sup&gt;", "plainTextFormattedCitation" : "40,46,49\u201351,54,55,65,66,68\u201370,76", "previouslyFormattedCitation" : "&lt;sup&gt;40,46,49\u201351,54,55,65,66,68\u201370,76&lt;/sup&gt;"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40,46,49–51,54,55,65,66,68–70,76</w:t>
      </w:r>
      <w:r w:rsidRPr="0024409C">
        <w:rPr>
          <w:rFonts w:ascii="Helvetica Neue" w:hAnsi="Helvetica Neue"/>
        </w:rPr>
        <w:fldChar w:fldCharType="end"/>
      </w:r>
      <w:r w:rsidRPr="0024409C">
        <w:rPr>
          <w:rFonts w:ascii="Helvetica Neue" w:hAnsi="Helvetica Neue"/>
        </w:rPr>
        <w:t xml:space="preserve"> with a few exceptions where women are estimated to be more symptomatic.</w:t>
      </w:r>
      <w:r w:rsidRPr="0024409C">
        <w:rPr>
          <w:rFonts w:ascii="Helvetica Neue" w:hAnsi="Helvetica Neue"/>
        </w:rPr>
        <w:fldChar w:fldCharType="begin" w:fldLock="1"/>
      </w:r>
      <w:r w:rsidR="002E5A1F">
        <w:rPr>
          <w:rFonts w:ascii="Helvetica Neue" w:hAnsi="Helvetica Neue"/>
        </w:rPr>
        <w:instrText>ADDIN CSL_CITATION { "citationItems" : [ { "id" : "ITEM-1", "itemData" : { "ISSN" : "1537-4521", "PMID" : "22421691", "abstract" : "BACKGROUND Rates of Chlamydia trachomatis (CT) infection in Canada have been increasing since the mid-1990s. We sought to estimate the burden of CT in this population. METHODS We developed an age- and sex-structured mathematical model parameterized to reproduce trends in CT prevalence between 1991 and 2009 in the Canadian population aged 10 to 39 years. Costs were identified, measured, and valued using a modified societal perspective and converted to year 2009 Canadian dollars. Cost-effectiveness of the implemented policy of enhanced screening for asymptomatic infections was estimated by comparison with model-projected trends in the absence of increased screening. Main outcome measures were current net cost and burden of illness attributable to CT infection, and incremental cost-effectiveness ratios. RESULTS Under base case model assumptions, there was a trend of increasing detection of CT cases (due to increases in screening), despite an underlying stabilization of actual CT infections. Average estimated costs associated with CT infection over this period were $51.4 million per year. Costs of screening and treatment of asymptomatic infections as a proportion of total CT costs were estimated to have increased over time, whereas costs of long-term sequelae associated with untreated infections declined over the same period. Compared with no change in screening, enhanced screening was estimated to be highly cost-effective, with an incremental cost-effectiveness ratio of $2910 per quality-adjusted life year. CONCLUSIONS Despite increases in screening, the economic burden of CT in Canada remains high. Further investigation of trends in chlamydia-associated complications is required to better understand the impact of screening on incidence.", "author" : [ { "dropping-particle" : "", "family" : "Tuite", "given" : "Ashleigh R", "non-dropping-particle" : "", "parse-names" : false, "suffix" : "" }, { "dropping-particle" : "", "family" : "Jayaraman", "given" : "Gayatri C", "non-dropping-particle" : "", "parse-names" : false, "suffix" : "" }, { "dropping-particle" : "", "family" : "Allen", "given" : "Vanessa G", "non-dropping-particle" : "", "parse-names" : false, "suffix" : "" }, { "dropping-particle" : "", "family" : "Fisman", "given" : "David N", "non-dropping-particle" : "", "parse-names" : false, "suffix" : "" } ], "container-title" : "Sex Transm Dis", "id" : "ITEM-1", "issue" : "4", "issued" : { "date-parts" : [ [ "2012", "4" ] ] }, "page" : "260-7", "title" : "Estimation of the burden of disease and costs of genital Chlamydia trachomatis infection in Canada.", "type" : "article-journal", "volume" : "39" }, "uris" : [ "http://www.mendeley.com/documents/?uuid=77d327f5-5df4-429f-b85b-0821bbac064e", "http://www.mendeley.com/documents/?uuid=5fbc594f-47d4-3825-b783-ffaffc9001ae" ] }, { "id" : "ITEM-2", "itemData" : { "ISSN" : "1472-3263", "PMID" : "24273127", "abstract" : "OBJECTIVES To estimate the costs and benefits of clinical pathways incorporating a point of care (POC) nucleic acid amplification test (NAAT) for chlamydia and gonorrhoea in genitourinary medicine (GUM) clinics compared with standard off-site laboratory testing. METHOD We simulated 1.2 million GUM clinic attendees in England. A simulation in Microsoft Excel was developed to compare existing standard pathways of management for chlamydia and gonorrhoea with a POC NAAT. We conducted scenario analyses to evaluate the robustness of the model findings. The primary outcome was the incremental cost-effectiveness ratio. Secondary outcomes included the number of inappropriate treatments, complications and transmissions averted. RESULTS The baseline cost of using the point of POC NAAT was \u00a3103.9 million compared with \u00a3115.6 million for standard care. The POC NAAT was also associated with a small increase of 46 quality adjusted life years, making the new test both more effective and cheaper. Over 95 000 inappropriate treatments might be avoided by using a POC NAAT. Patients receive diagnosis and treatment on the same day as testing, which may also prevent 189 cases of pelvic inflammatory disease and 17 561 onward transmissions annually. DISCUSSION Replacing standard laboratory tests for chlamydia and gonorrhoea with a POC test could be cost saving and patients would benefit from more accurate diagnosis and less unnecessary treatment. Overtreatment currently accounts for about a tenth of the reported treatments for chlamydia and gonorrhoea and POC NAATs would effectively eliminate the need for presumptive treatment.", "author" : [ { "dropping-particle" : "", "family" : "Turner", "given" : "Katherine M E", "non-dropping-particle" : "", "parse-names" : false, "suffix" : "" }, { "dropping-particle" : "", "family" : "Round", "given" : "Jeff", "non-dropping-particle" : "", "parse-names" : false, "suffix" : "" }, { "dropping-particle" : "", "family" : "Horner", "given" : "Patrick", "non-dropping-particle" : "", "parse-names" : false, "suffix" : "" }, { "dropping-particle" : "", "family" : "Macleod", "given" : "John", "non-dropping-particle" : "", "parse-names" : false, "suffix" : "" }, { "dropping-particle" : "", "family" : "Goldenberg", "given" : "Simon", "non-dropping-particle" : "", "parse-names" : false, "suffix" : "" }, { "dropping-particle" : "", "family" : "Deol", "given" : "Arminder", "non-dropping-particle" : "", "parse-names" : false, "suffix" : "" }, { "dropping-particle" : "", "family" : "Adams", "given" : "Elisabeth J", "non-dropping-particle" : "", "parse-names" : false, "suffix" : "" } ], "container-title" : "Sex Transm Infect", "id" : "ITEM-2", "issue" : "2", "issued" : { "date-parts" : [ [ "2014", "3" ] ] }, "page" : "104-11", "title" : "An early evaluation of clinical and economic costs and benefits of implementing point of care NAAT tests for Chlamydia trachomatis and Neisseria gonorrhoea in genitourinary medicine clinics in England.", "type" : "article-journal", "volume" : "90" }, "uris" : [ "http://www.mendeley.com/documents/?uuid=839e0394-dfc6-4cc9-a76a-47483ec8b07d", "http://www.mendeley.com/documents/?uuid=a5843ce2-3049-36bd-81de-6855a2dcb6c5", "http://www.mendeley.com/documents/?uuid=ad6f843b-9224-4c4e-ad62-0208e1f78bab" ] }, { "id" : "ITEM-3", "itemData" : { "ISSN" : "1742-4682", "PMID" : "16426453", "abstract" : "BACKGROUND A national chlamydia screening programme is currently being rolled out in the UK and other countries. However, much of the epidemiology remains poorly understood. In this paper we present a stochastic, individual based, dynamic sexual network model of chlamydia transmission and its parameterisation. Mathematical models provide a theoretical framework for understanding the key epidemiological features of chlamydia: sexual behaviour, health care seeking and transmission dynamics. RESULTS The model parameters were estimated either directly or by systematic fitting to a variety of appropriate data sources. The fitted model was representative of sexual behaviour, chlamydia epidemiology and health care use in England. We were able to recapture the observed age distribution of chlamydia prevalence. CONCLUSION Estimating parameters for models of sexual behaviour and transmission of chlamydia is complex. Most of the parameter values are highly correlated, highly variable and there is little empirical evidence to inform estimates. We used a novel approach to estimate the rate of active treatment seeking, by combining data sources, which improved the credibility of the model results. The model structure is flexible and is broadly applicable to other developed world settings and provides a practical tool for public health decision makers.", "author" : [ { "dropping-particle" : "", "family" : "Turner", "given" : "Katherine M E", "non-dropping-particle" : "", "parse-names" : false, "suffix" : "" }, { "dropping-particle" : "", "family" : "Adams", "given" : "Elisabeth J", "non-dropping-particle" : "", "parse-names" : false, "suffix" : "" }, { "dropping-particle" : "", "family" : "Gay", "given" : "Nigel", "non-dropping-particle" : "", "parse-names" : false, "suffix" : "" }, { "dropping-particle" : "", "family" : "Ghani", "given" : "Azra C", "non-dropping-particle" : "", "parse-names" : false, "suffix" : "" }, { "dropping-particle" : "", "family" : "Mercer", "given" : "Catherine", "non-dropping-particle" : "", "parse-names" : false, "suffix" : "" }, { "dropping-particle" : "", "family" : "Edmunds", "given" : "W John", "non-dropping-particle" : "", "parse-names" : false, "suffix" : "" } ], "container-title" : "Theor Biol Med Model", "id" : "ITEM-3", "issued" : { "date-parts" : [ [ "2006" ] ] }, "page" : "3", "title" : "Developing a realistic sexual network model of chlamydia transmission in Britain.", "type" : "article-journal", "volume" : "3" }, "uris" : [ "http://www.mendeley.com/documents/?uuid=d5089e58-930f-47f0-8958-55ecbfb070a5" ] } ], "mendeley" : { "formattedCitation" : "&lt;sup&gt;53,61,99&lt;/sup&gt;", "plainTextFormattedCitation" : "53,61,99", "previouslyFormattedCitation" : "&lt;sup&gt;53,61,99&lt;/sup&gt;"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53,61,99</w:t>
      </w:r>
      <w:r w:rsidRPr="0024409C">
        <w:rPr>
          <w:rFonts w:ascii="Helvetica Neue" w:hAnsi="Helvetica Neue"/>
        </w:rPr>
        <w:fldChar w:fldCharType="end"/>
      </w:r>
      <w:r w:rsidRPr="0024409C">
        <w:rPr>
          <w:rFonts w:ascii="Helvetica Neue" w:hAnsi="Helvetica Neue"/>
        </w:rPr>
        <w:t xml:space="preserve"> </w:t>
      </w:r>
      <w:r w:rsidR="001002FC" w:rsidRPr="0024409C">
        <w:rPr>
          <w:rFonts w:ascii="Helvetica Neue" w:hAnsi="Helvetica Neue"/>
        </w:rPr>
        <w:t>In our prior STI model</w:t>
      </w:r>
      <w:r w:rsidR="001002FC" w:rsidRPr="0024409C">
        <w:rPr>
          <w:rFonts w:ascii="Helvetica Neue" w:hAnsi="Helvetica Neue"/>
        </w:rPr>
        <w:fldChar w:fldCharType="begin" w:fldLock="1"/>
      </w:r>
      <w:r w:rsidR="002E5A1F">
        <w:rPr>
          <w:rFonts w:ascii="Helvetica Neue" w:hAnsi="Helvetica Neue"/>
        </w:rPr>
        <w:instrText>ADDIN CSL_CITATION { "citationItems" : [ { "id" : "ITEM-1",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"ITEM-1",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"&lt;sup&gt;5&lt;/sup&gt;", "plainTextFormattedCitation" : "5", "previouslyFormattedCitation" : "&lt;sup&gt;5&lt;/sup&gt;" }, "properties" : { "noteIndex" : 0 }, "schema" : "https://github.com/citation-style-language/schema/raw/master/csl-citation.json" }</w:instrText>
      </w:r>
      <w:r w:rsidR="001002FC" w:rsidRPr="0024409C">
        <w:rPr>
          <w:rFonts w:ascii="Helvetica Neue" w:hAnsi="Helvetica Neue"/>
        </w:rPr>
        <w:fldChar w:fldCharType="separate"/>
      </w:r>
      <w:r w:rsidR="001002FC" w:rsidRPr="0024409C">
        <w:rPr>
          <w:rFonts w:ascii="Helvetica Neue" w:hAnsi="Helvetica Neue"/>
          <w:noProof/>
          <w:vertAlign w:val="superscript"/>
        </w:rPr>
        <w:t>5</w:t>
      </w:r>
      <w:r w:rsidR="001002FC" w:rsidRPr="0024409C">
        <w:rPr>
          <w:rFonts w:ascii="Helvetica Neue" w:hAnsi="Helvetica Neue"/>
        </w:rPr>
        <w:fldChar w:fldCharType="end"/>
      </w:r>
      <w:r w:rsidR="001002FC" w:rsidRPr="0024409C">
        <w:rPr>
          <w:rFonts w:ascii="Helvetica Neue" w:hAnsi="Helvetica Neue"/>
        </w:rPr>
        <w:t xml:space="preserve">, we used a Bayesian approach to address uncertainty, </w:t>
      </w:r>
      <w:r w:rsidRPr="0024409C">
        <w:rPr>
          <w:rFonts w:ascii="Helvetica Neue" w:hAnsi="Helvetica Neue"/>
        </w:rPr>
        <w:t>establish</w:t>
      </w:r>
      <w:r w:rsidR="001002FC" w:rsidRPr="0024409C">
        <w:rPr>
          <w:rFonts w:ascii="Helvetica Neue" w:hAnsi="Helvetica Neue"/>
        </w:rPr>
        <w:t>ing</w:t>
      </w:r>
      <w:r w:rsidRPr="0024409C">
        <w:rPr>
          <w:rFonts w:ascii="Helvetica Neue" w:hAnsi="Helvetica Neue"/>
        </w:rPr>
        <w:t xml:space="preserve"> a prior distribution for calibration of 0.01–0.15 for the probability that a rectal CT infection would be symptomatic, and a distribution of 0.60–0.95 for the probability that a urethral CT infection would be symptomatic to incorporate site-specific infection. The</w:t>
      </w:r>
      <w:r w:rsidR="001002FC" w:rsidRPr="0024409C">
        <w:rPr>
          <w:rFonts w:ascii="Helvetica Neue" w:hAnsi="Helvetica Neue"/>
        </w:rPr>
        <w:t>se</w:t>
      </w:r>
      <w:r w:rsidRPr="0024409C">
        <w:rPr>
          <w:rFonts w:ascii="Helvetica Neue" w:hAnsi="Helvetica Neue"/>
        </w:rPr>
        <w:t xml:space="preserve"> estimated posterior values were 0.1035 for the probability of symptomatic rectal CT, and a probability of 0.8850 for symptomatic urethral CT.</w:t>
      </w:r>
      <w:r w:rsidR="001002FC" w:rsidRPr="0024409C">
        <w:rPr>
          <w:rFonts w:ascii="Helvetica Neue" w:hAnsi="Helvetica Neue"/>
        </w:rPr>
        <w:t xml:space="preserve"> For this model, however, we reverted to the Beck values of 0.</w:t>
      </w:r>
      <w:r w:rsidR="00EC7A9D" w:rsidRPr="0024409C">
        <w:rPr>
          <w:rFonts w:ascii="Helvetica Neue" w:hAnsi="Helvetica Neue"/>
        </w:rPr>
        <w:t>14</w:t>
      </w:r>
      <w:r w:rsidR="001002FC" w:rsidRPr="0024409C">
        <w:rPr>
          <w:rFonts w:ascii="Helvetica Neue" w:hAnsi="Helvetica Neue"/>
        </w:rPr>
        <w:t xml:space="preserve"> for the probability of symptomatic rectal </w:t>
      </w:r>
      <w:r w:rsidR="00EC7A9D" w:rsidRPr="0024409C">
        <w:rPr>
          <w:rFonts w:ascii="Helvetica Neue" w:hAnsi="Helvetica Neue"/>
        </w:rPr>
        <w:t>CT</w:t>
      </w:r>
      <w:r w:rsidR="001002FC" w:rsidRPr="0024409C">
        <w:rPr>
          <w:rFonts w:ascii="Helvetica Neue" w:hAnsi="Helvetica Neue"/>
        </w:rPr>
        <w:t xml:space="preserve"> infection and 0.</w:t>
      </w:r>
      <w:r w:rsidR="00EC7A9D" w:rsidRPr="0024409C">
        <w:rPr>
          <w:rFonts w:ascii="Helvetica Neue" w:hAnsi="Helvetica Neue"/>
        </w:rPr>
        <w:t>58</w:t>
      </w:r>
      <w:r w:rsidR="001002FC" w:rsidRPr="0024409C">
        <w:rPr>
          <w:rFonts w:ascii="Helvetica Neue" w:hAnsi="Helvetica Neue"/>
        </w:rPr>
        <w:t xml:space="preserve"> for the probability of symptomatic urethral </w:t>
      </w:r>
      <w:r w:rsidR="00EC7A9D" w:rsidRPr="0024409C">
        <w:rPr>
          <w:rFonts w:ascii="Helvetica Neue" w:hAnsi="Helvetica Neue"/>
        </w:rPr>
        <w:t>CT</w:t>
      </w:r>
      <w:r w:rsidR="001002FC" w:rsidRPr="0024409C">
        <w:rPr>
          <w:rFonts w:ascii="Helvetica Neue" w:hAnsi="Helvetica Neue"/>
        </w:rPr>
        <w:t xml:space="preserve"> infection</w:t>
      </w:r>
      <w:r w:rsidR="00EC7A9D" w:rsidRPr="0024409C">
        <w:rPr>
          <w:rFonts w:ascii="Helvetica Neue" w:hAnsi="Helvetica Neue"/>
        </w:rPr>
        <w:t>, increasing the probability of symptoms at a rectal site but decreasing the probability of symptoms at a urethral site.</w:t>
      </w:r>
    </w:p>
    <w:p w14:paraId="3646400C" w14:textId="5E419B63" w:rsidR="00EA384A" w:rsidRPr="0024409C" w:rsidRDefault="00273CDD" w:rsidP="001002FC">
      <w:pPr>
        <w:pStyle w:val="Heading2"/>
        <w:rPr>
          <w:rFonts w:ascii="Helvetica Neue" w:hAnsi="Helvetica Neue"/>
          <w:szCs w:val="22"/>
        </w:rPr>
      </w:pPr>
      <w:bookmarkStart w:id="43" w:name="_Toc466401464"/>
      <w:bookmarkStart w:id="44" w:name="_Toc522270428"/>
      <w:r w:rsidRPr="0024409C">
        <w:rPr>
          <w:rFonts w:ascii="Helvetica Neue" w:hAnsi="Helvetica Neue"/>
          <w:szCs w:val="22"/>
        </w:rPr>
        <w:t>9</w:t>
      </w:r>
      <w:r w:rsidR="00690949" w:rsidRPr="0024409C">
        <w:rPr>
          <w:rFonts w:ascii="Helvetica Neue" w:hAnsi="Helvetica Neue"/>
          <w:szCs w:val="22"/>
        </w:rPr>
        <w:t>.3</w:t>
      </w:r>
      <w:r w:rsidR="00EA384A" w:rsidRPr="0024409C">
        <w:rPr>
          <w:rFonts w:ascii="Helvetica Neue" w:hAnsi="Helvetica Neue"/>
          <w:szCs w:val="22"/>
        </w:rPr>
        <w:t xml:space="preserve"> </w:t>
      </w:r>
      <w:r w:rsidR="00EA384A" w:rsidRPr="0024409C">
        <w:rPr>
          <w:rFonts w:ascii="Helvetica Neue" w:hAnsi="Helvetica Neue"/>
          <w:szCs w:val="22"/>
        </w:rPr>
        <w:tab/>
        <w:t>Gonorrhea Symptoms</w:t>
      </w:r>
      <w:bookmarkEnd w:id="43"/>
      <w:bookmarkEnd w:id="44"/>
    </w:p>
    <w:p w14:paraId="4013CFCC" w14:textId="7C8D0439" w:rsidR="00EA384A" w:rsidRPr="0024409C" w:rsidRDefault="00EA384A" w:rsidP="001002FC">
      <w:pPr>
        <w:spacing w:line="360" w:lineRule="auto"/>
        <w:rPr>
          <w:rFonts w:ascii="Helvetica Neue" w:hAnsi="Helvetica Neue"/>
        </w:rPr>
      </w:pPr>
      <w:r w:rsidRPr="0024409C">
        <w:rPr>
          <w:rFonts w:ascii="Helvetica Neue" w:hAnsi="Helvetica Neue"/>
        </w:rPr>
        <w:t>NG infections can also be present with or without symptoms, and estimates of the proportion of infections that are symptomatic have varied. The middle 50% of estimates of this proportion from STI or HIV/STI models for men has ranged from 0.35–0.88,</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"ITEM-1", "issue" : "2", "issued" : { "date-parts" : [ [ "2012", "2" ] ] }, "page" : "161-8", "title" : "The role of sexually transmitted infections in the evolution of the South African HIV epidemic.", "type" : "article-journal", "volume" : "17" }, "uris" : [ "http://www.mendeley.com/documents/?uuid=0e1ea8f2-849f-41da-864c-66e864358726" ] }, { "id" : "ITEM-2",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"ITEM-2",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"http://www.mendeley.com/documents/?uuid=b518b616-8d4c-4be2-b73f-161ab815c250" ] }, { "id" : "ITEM-3", "itemData" : { "ISSN" : "1386-9620", "PMID" : "18074967", "abstract" : "Contact tracing (also known as partner notification) is a primary means of controlling infectious diseases such as tuberculosis (TB), human immunodeficiency virus (HIV), and sexually transmitted diseases (STDs). However, little work has been done to determine the optimal level of investment in contact tracing. In this paper, we present a methodology for evaluating the appropriate level of investment in contact tracing. We develop and apply a simulation model of contact tracing and the spread of an infectious disease among a network of individuals in order to evaluate the cost and effectiveness of different levels of contact tracing. We show that contact tracing is likely to have diminishing returns to scale in investment: incremental investments in contact tracing yield diminishing reductions in disease prevalence. In conjunction with a cost-effectiveness threshold, we then determine the optimal amount that should be invested in contact tracing. We first assume that the only incremental disease control is contact tracing. We then extend the analysis to consider the optimal allocation of a budget between contact tracing and screening for exogenous infection, and between contact tracing and screening for endogenous infection. We discuss how a simulation model of this type, appropriately tailored, could be used as a policy tool for determining the appropriate level of investment in contact tracing for a specific disease in a specific population. We present an example application to contact tracing for chlamydia control.", "author" : [ { "dropping-particle" : "", "family" : "Armbruster", "given" : "Benjamin", "non-dropping-particle" : "", "parse-names" : false, "suffix" : "" }, { "dropping-particle" : "", "family" : "Brandeau", "given" : "Margaret L", "non-dropping-particle" : "", "parse-names" : false, "suffix" : "" } ], "container-title" : "Health Care Manag Sci", "id" : "ITEM-3", "issue" : "4", "issued" : { "date-parts" : [ [ "2007", "12" ] ] }, "page" : "341-55", "title" : "Contact tracing to control infectious disease: when enough is enough.", "type" : "article-journal", "volume" : "10" }, "uris" : [ "http://www.mendeley.com/documents/?uuid=a259d1eb-ded8-4212-8b42-2d47ef69c8b6", "http://www.mendeley.com/documents/?uuid=08bf6bbf-3be1-350b-81e0-dff9e63bc8e7", "http://www.mendeley.com/documents/?uuid=21d1fe76-5293-4cbf-a74d-34826f9c3a97" ] }, { "id" : "ITEM-4", "itemData" : { "ISSN" : "0264410X", "abstract" : "Gonorrhea, one of the most common sexually transmitted infections worldwide, can lead to serious sequelae, including infertility and increased HIV transmission. Recently, untreatable, multidrug-resistant Neisseria gonorrhoeae strains have been reported. In the absence of new antibiotics, and given the speed with which resistance has emerged to all previously used antibiotics, development of a vaccine would be the ideal solution to this public health emergency. Understanding the desired characteristics, target population, and expected impact of an anti-gonococcal vaccine is essential to facilitate vaccine design, assessment and implementation. The modeling presented herein aims to fill these conceptual gaps, and inform future gonococcal vaccine development. Using an individual-based, epidemiological simulation model, gonococcal prevalence was simulated in a heterosexual population of 100,000 individuals after the introduction of vaccines with varied efficacy (10\u2013100%) and duration of protection (2.5\u201320 years). Model simulations predict that gonococcal prevalence could be reduced by at least 90% after 20 years, if all 13-year-olds were given a non-waning vaccine with 50% efficacy, or a vaccine with 100% efficacy that wanes after 7.5 years. A 40% reduction in prevalence is achievable with a non-waning vaccine of only 20% efficacy. We conclude that a vaccine of moderate efficacy and duration could have a substantive impact on gonococcal prevalence, and disease sequelae, if coverage is high and protection lasts over the highest risk period (i.e., most sexual partner change) among young people.", "author" : [ { "dropping-particle" : "", "family" : "Craig", "given" : "Andrew P.", "non-dropping-particle" : "", "parse-names" : false, "suffix" : "" }, { "dropping-particle" : "", "family" : "Gray", "given" : "Richard T.", "non-dropping-particle" : "", "parse-names" : false, "suffix" : "" }, { "dropping-particle" : "", "family" : "Edwards", "given" : "Jennifer L.", "non-dropping-particle" : "", "parse-names" : false, "suffix" : "" }, { "dropping-particle" : "", "family" : "Apicella", "given" : "Michael A.", "non-dropping-particle" : "", "parse-names" : false, "suffix" : "" }, { "dropping-particle" : "", "family" : "Jennings", "given" : "Michael P.", "non-dropping-particle" : "", "parse-names" : false, "suffix" : "" }, { "dropping-particle" : "", "family" : "Wilson", "given" : "David P.", "non-dropping-particle" : "", "parse-names" : false, "suffix" : "" }, { "dropping-particle" : "", "family" : "Seib", "given" : "Kate L.", "non-dropping-particle" : "", "parse-names" : false, "suffix" : "" } ], "container-title" : "Vaccine", "id" : "ITEM-4", "issue" : "36", "issued" : { "date-parts" : [ [ "2015" ] ] }, "page" : "4520-4525", "title" : "The potential impact of vaccination on the prevalence of gonorrhea", "type" : "article-journal", "volume" : "33" }, "uris" : [ "http://www.mendeley.com/documents/?uuid=f7ca839a-9977-4bb8-9aac-adf22570110c", "http://www.mendeley.com/documents/?uuid=68d9b0c6-5bf1-3557-8f4b-a46d0f1c8a01", "http://www.mendeley.com/documents/?uuid=56470fa4-3a2d-4916-bb5a-ebc96aedd6aa" ] }, { "id" : "ITEM-5",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"ITEM-5",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"ITEM-6", "itemData" : { "ISSN" : "1932-6203", "PMID" : "26181042", "abstract" : "BACKGROUND Surveillance for gonorrhoea antimicrobial resistance (AMR) is compromised by a move away from culture-based testing in favour of more convenient nucleic acid amplification test (NAAT) tests. We assessed the potential benefit of a molecular resistance test in terms of the timeliness of detection of gonorrhoea AMR. METHODS AND FINDINGS An individual-based mathematical model was developed to describe the transmission of gonorrhoea in a remote Indigenous population in Australia. We estimated the impact of the molecular test on the time delay between first importation and the first confirmation that the prevalence of gonorrhoea AMR (resistance proportion) has breached the WHO-recommended 5% threshold (when a change in antibiotic should occur). In the remote setting evaluated in this study, the model predicts that when culture is the only available means of testing for AMR, the breach will only be detected when the actual prevalence of AMR in the population has already reached 8 - 18%, with an associated delay of ~43 - 69 months between first importation and detection. With the addition of a molecular resistance test, the number of samples for which AMR can be determined increases facilitating earlier detection at a lower resistance proportion. For the best case scenario, where AMR can be determined for all diagnostic samples, the alert would be triggered at least 8 months earlier than using culture alone and the resistance proportion will have only slightly exceeded the 5% notification threshold. CONCLUSIONS Molecular tests have the potential to provide more timely warning of the emergence of gonorrhoea AMR. This in turn will facilitate earlier treatment switching and more targeted treatment, which has the potential to reduce the population impact of gonorrhoea AMR.", "author" : [ { "dropping-particle" : "", "family" : "Hui", "given" : "Ben B", "non-dropping-particle" : "", "parse-names" : false, "suffix" : "" }, { "dropping-particle" : "", "family" : "Ryder", "given" : "Nathan", "non-dropping-particle" : "", "parse-names" : false, "suffix" : "" }, { "dropping-particle" : "", "family" : "Su", "given" : "Jiunn-Yih", "non-dropping-particle" : "", "parse-names" : false, "suffix" : "" }, { "dropping-particle" : "", "family" : "Ward", "given" : "James", "non-dropping-particle" : "", "parse-names" : false, "suffix" : "" }, { "dropping-particle" : "", "family" : "Chen", "given" : "Marcus Y", "non-dropping-particle" : "", "parse-names" : false, "suffix" : "" }, { "dropping-particle" : "", "family" : "Donovan", "given" : "Basil", "non-dropping-particle" : "", "parse-names" : false, "suffix" : "" }, { "dropping-particle" : "", "family" : "Fairley", "given" : "Christopher K", "non-dropping-particle" : "", "parse-names" : false, "suffix" : "" }, { "dropping-particle" : "", "family" : "Guy", "given" : "Rebecca J", "non-dropping-particle" : "", "parse-names" : false, "suffix" : "" }, { "dropping-particle" : "", "family" : "Lahra", "given" : "Monica M", "non-dropping-particle" : "", "parse-names" : false, "suffix" : "" }, { "dropping-particle" : "", "family" : "Law", "given" : "Mathew G", "non-dropping-particle" : "", "parse-names" : false, "suffix" : "" }, { "dropping-particle" : "", "family" : "Whiley", "given" : "David M", "non-dropping-particle" : "", "parse-names" : false, "suffix" : "" }, { "dropping-particle" : "", "family" : "Regan", "given" : "David G", "non-dropping-particle" : "", "parse-names" : false, "suffix" : "" } ], "container-title" : "PLoS ONE", "id" : "ITEM-6", "issue" : "7", "issued" : { "date-parts" : [ [ "2015" ] ] }, "page" : "e0133202", "title" : "Exploring the benefits of molecular testing for gonorrhoea antibiotic resistance surveillance in remote settings", "type" : "article-journal", "volume" : "10" }, "uris" : [ "http://www.mendeley.com/documents/?uuid=853244d6-109b-48aa-ba0a-5a4ae2a51e59", "http://www.mendeley.com/documents/?uuid=85aa5e13-fa6a-3558-a9cb-11a0e8643472", "http://www.mendeley.com/documents/?uuid=44679961-6cce-4588-ad9f-08555995ca7c" ] }, { "id" : "ITEM-7", "itemData" : { "ISSN" : "1095-8541", "PMID" : "20670632", "abstract" : "An SIS/SAS model of gonorrhea transmission in a population of highly active men-having-sex-with-men (MSM) is presented in this paper to study the impact of safe behavior on the dynamics of gonorrhea prevalence. Safe behaviors may fall into two categories-prevention and self-awareness. Prevention will be modeled via consistent condom use and self-awareness via STD testing frequency. Stability conditions for the disease free equilibrium and endemic equilibrium are determined along with a complete analysis of global dynamics. The control reproductive number is used as a means for measuring the effect of changes to model parameters on the prevalence of the disease. We also find that appropriate intervention would be in the form of a multifaceted approach at overall risk reduction rather than tackling one specific control individually.", "author" : [ { "dropping-particle" : "", "family" : "Morin", "given" : "Benjamin R", "non-dropping-particle" : "", "parse-names" : false, "suffix" : "" }, { "dropping-particle" : "", "family" : "Medina-Rios", "given" : "Liana", "non-dropping-particle" : "", "parse-names" : false, "suffix" : "" }, { "dropping-particle" : "", "family" : "Camacho", "given" : "Erika T", "non-dropping-particle" : "", "parse-names" : false, "suffix" : "" }, { "dropping-particle" : "", "family" : "Castillo-Chavez", "given" : "Carlos", "non-dropping-particle" : "", "parse-names" : false, "suffix" : "" } ], "container-title" : "J Theor Biol", "id" : "ITEM-7", "issue" : "1", "issued" : { "date-parts" : [ [ "2010", "11" ] ] }, "page" : "35-40", "title" : "Static behavioral effects on gonorrhea transmission dynamics in a MSM population.", "type" : "article-journal", "volume" : "267" }, "uris" : [ "http://www.mendeley.com/documents/?uuid=2d3e36cd-50b1-4c54-bdf5-595e25f2ca6d", "http://www.mendeley.com/documents/?uuid=38850dea-b69a-32f5-93c4-9264082ff84f", "http://www.mendeley.com/documents/?uuid=2061f037-0d6b-4650-9303-0cee1a192a38" ] }, { "id" : "ITEM-8", "itemData" : { "ISSN" : "1472-3263", "PMID" : "24273127", "abstract" : "OBJECTIVES To estimate the costs and benefits of clinical pathways incorporating a point of care (POC) nucleic acid amplification test (NAAT) for chlamydia and gonorrhoea in genitourinary medicine (GUM) clinics compared with standard off-site laboratory testing. METHOD We simulated 1.2 million GUM clinic attendees in England. A simulation in Microsoft Excel was developed to compare existing standard pathways of management for chlamydia and gonorrhoea with a POC NAAT. We conducted scenario analyses to evaluate the robustness of the model findings. The primary outcome was the incremental cost-effectiveness ratio. Secondary outcomes included the number of inappropriate treatments, complications and transmissions averted. RESULTS The baseline cost of using the point of POC NAAT was \u00a3103.9 million compared with \u00a3115.6 million for standard care. The POC NAAT was also associated with a small increase of 46 quality adjusted life years, making the new test both more effective and cheaper. Over 95 000 inappropriate treatments might be avoided by using a POC NAAT. Patients receive diagnosis and treatment on the same day as testing, which may also prevent 189 cases of pelvic inflammatory disease and 17 561 onward transmissions annually. DISCUSSION Replacing standard laboratory tests for chlamydia and gonorrhoea with a POC test could be cost saving and patients would benefit from more accurate diagnosis and less unnecessary treatment. Overtreatment currently accounts for about a tenth of the reported treatments for chlamydia and gonorrhoea and POC NAATs would effectively eliminate the need for presumptive treatment.", "author" : [ { "dropping-particle" : "", "family" : "Turner", "given" : "Katherine M E", "non-dropping-particle" : "", "parse-names" : false, "suffix" : "" }, { "dropping-particle" : "", "family" : "Round", "given" : "Jeff", "non-dropping-particle" : "", "parse-names" : false, "suffix" : "" }, { "dropping-particle" : "", "family" : "Horner", "given" : "Patrick", "non-dropping-particle" : "", "parse-names" : false, "suffix" : "" }, { "dropping-particle" : "", "family" : "Macleod", "given" : "John", "non-dropping-particle" : "", "parse-names" : false, "suffix" : "" }, { "dropping-particle" : "", "family" : "Goldenberg", "given" : "Simon", "non-dropping-particle" : "", "parse-names" : false, "suffix" : "" }, { "dropping-particle" : "", "family" : "Deol", "given" : "Arminder", "non-dropping-particle" : "", "parse-names" : false, "suffix" : "" }, { "dropping-particle" : "", "family" : "Adams", "given" : "Elisabeth J", "non-dropping-particle" : "", "parse-names" : false, "suffix" : "" } ], "container-title" : "Sex Transm Infect", "id" : "ITEM-8", "issue" : "2", "issued" : { "date-parts" : [ [ "2014", "3" ] ] }, "page" : "104-11", "title" : "An early evaluation of clinical and economic costs and benefits of implementing point of care NAAT tests for Chlamydia trachomatis and Neisseria gonorrhoea in genitourinary medicine clinics in England.", "type" : "article-journal", "volume" : "90" }, "uris" : [ "http://www.mendeley.com/documents/?uuid=839e0394-dfc6-4cc9-a76a-47483ec8b07d", "http://www.mendeley.com/documents/?uuid=a5843ce2-3049-36bd-81de-6855a2dcb6c5", "http://www.mendeley.com/documents/?uuid=5ff9b4a5-7a6a-4d15-bdf9-aaa69d9618af" ] }, { "id" : "ITEM-9",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"ITEM-9", "issue" : "3", "issued" : { "date-parts" : [ [ "2010", "6", "1" ] ] }, "page" : "169-174", "title" : "A Bayesian approach to uncertainty analysis of sexually transmitted infection models", "type" : "article-journal", "volume" : "86" }, "uris" : [ "http://www.mendeley.com/documents/?uuid=31e9dca7-f246-4670-9001-4c78d9774ec7" ] }, { "id" : "ITEM-10",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"ITEM-10",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"mendeley" : { "formattedCitation" : "&lt;sup&gt;40,54,58,61,76,78,84,88,93,94&lt;/sup&gt;", "plainTextFormattedCitation" : "40,54,58,61,76,78,84,88,93,94", "previouslyFormattedCitation" : "&lt;sup&gt;40,54,58,61,76,78,84,88,93,94&lt;/sup&gt;"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40,54,58,61,76,78,84,88,93,94</w:t>
      </w:r>
      <w:r w:rsidRPr="0024409C">
        <w:rPr>
          <w:rFonts w:ascii="Helvetica Neue" w:hAnsi="Helvetica Neue"/>
        </w:rPr>
        <w:fldChar w:fldCharType="end"/>
      </w:r>
      <w:r w:rsidRPr="0024409C">
        <w:rPr>
          <w:rFonts w:ascii="Helvetica Neue" w:hAnsi="Helvetica Neue"/>
        </w:rPr>
        <w:t xml:space="preserve"> with a lower quartile of 0.11 to 0.25</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"1368-4973", "PMID" : "17012515", "abstract" : "BACKGROUND In sub-Saharan Africa, gonococcal and chlamydial infections are usually managed using the syndromic approach. However, many infections are asymptomatic in women, and the syndromic algorithm has poor sensitivity and specificity for infections caused by Neisseria gonorrhoeae (Ng) and Chlamydia trachomatis (Ct). Because of this, rapid point of care (POC) tests for Ct/Ng could improve sexually transmitted infection (STI) management in women. This study uses mathematical modelling to estimate the incremental cost effectiveness of using POC tests to diagnose Ng/Ct instead of the current syndromic approach used by the SIDA2 HIV/STI prevention project for female sex workers in Cotonou, Benin. METHODS A dynamic mathematical model was used with data from Cotonou to estimate the HIV impact of the existing SIDA2 project (1995-8), and to project how impact would change if POC tests had been used. As observed in test evaluations, the POC tests were assumed to have high specificity, but a range of sensitivities. The incremental economic cost effectiveness of using POC tests was modelled using data on intervention costs and an evaluation of an Ng POC test in Cotonou in 2004. All costs were in 2004 US dollars. RESULTS The model estimated the STI treatment aspect of the intervention averted 18 553 Ng/Ct and 359 HIV infections over 4 years when the syndromic approach was used. In contrast, if Ng/Ct had been diagnosed with a 70-80% sensitive and 95% specific POC test then 24-31% fewer clinic attenders would have been treated, 40-60% more Ng/Ct and HIV infections would have been averted, and the incremental cost effectiveness of using them would have been 107-151 dollars per HIV infection averted if the POC tests cost 2 dollars and 58-81 dollars if they cost 1 dollar. CONCLUSIONS POC tests can be a cost effective strategy for substantially increasing the impact on HIV transmission, and decreasing the degree of inappropriate treatment of STI treatment interventions that use syndromic management to diagnose Ng/Ct.", "author" : [ { "dropping-particle" : "", "family" : "Vickerman", "given" : "P", "non-dropping-particle" : "", "parse-names" : false, "suffix" : "" }, { "dropping-particle" : "", "family" : "Watts", "given" : "C", "non-dropping-particle" : "", "parse-names" : false, "suffix" : "" }, { "dropping-particle" : "", "family" : "Peeling", "given" : "R W", "non-dropping-particle" : "", "parse-names" : false, "suffix" : "" }, { "dropping-particle" : "", "family" : "Mabey", "given" : "D", "non-dropping-particle" : "", "parse-names" : false, "suffix" : "" }, { "dropping-particle" : "", "family" : "Alary", "given" : "M", "non-dropping-particle" : "", "parse-names" : false, "suffix" : "" } ], "container-title" : "Sex Transm Infect", "id" : "ITEM-2", "issue" : "5", "issued" : { "date-parts" : [ [ "2006", "10" ] ] }, "page" : "403-12", "title" : "Modelling the cost effectiveness of rapid point of care diagnostic tests for the control of HIV and other sexually transmitted infections among female sex workers.", "type" : "article-journal", "volume" : "82" }, "uris" : [ "http://www.mendeley.com/documents/?uuid=34653315-add2-4125-a9d5-d49b26f46065" ] }, { "id" : "ITEM-3", "itemData" : { "DOI" : "10.1097/OLQ.0b013e31822e9192", "ISSN" : "1537-4521", "PMID" : "21992986", "abstract" : "BACKGROUND Partner treatment is an important component of sexually transmitted disease control. Several randomized controlled trials have compared expedited partner treatment (EPT) to unassisted standard partner referral (SR). All of these trials found that EPT significantly increased partner treatment over SR, whereas some found that EPT significantly lowered reinfection rates in index patients. METHODS We collected cost data to assess the payer-specific, health care system, and societal-level cost of EPT and SR. We used data on partner treatment and index patient reinfection rates from 2 randomized controlled trials examining EPT and SR for patients diagnosed with chlamydia or gonorrhea. Additional elements were estimated or drawn from the literature. We used a Monte Carlo simulation to assess the impact on cost and effectiveness of varying several variables simultaneously, and calculated threshold values for selected variables at which EPT and SR costs per patient were equal. RESULTS From a health care system or societal perspective, EPT was less costly and it treated more partners than SR. From the perspective of an individual payer, EPT was less costly than SR if \u226532% to 37% of male index patients' female partners or \u226529% of female index patients' male partners received care from the same payer. CONCLUSIONS EPT has a lower cost from a societal or health care system perspective than SR and treats more partners. Individual payers may find EPT to be more costly than SR, depending on how many of their patients' partners receive care from the same payer.", "author" : [ { "dropping-particle" : "", "family" : "Gift", "given" : "Thomas L", "non-dropping-particle" : "", "parse-names" : false, "suffix" : "" }, { "dropping-particle" : "", "family" : "Kissinger", "given" : "Patricia", "non-dropping-particle" : "", "parse-names" : false, "suffix" : "" }, { "dropping-particle" : "", "family" : "Mohammed", "given" : "Hamish", "non-dropping-particle" : "", "parse-names" : false, "suffix" : "" }, { "dropping-particle" : "", "family" : "Leichliter", "given" : "Jami S", "non-dropping-particle" : "", "parse-names" : false, "suffix" : "" }, { "dropping-particle" : "", "family" : "Hogben", "given" : "Matthew", "non-dropping-particle" : "", "parse-names" : false, "suffix" : "" }, { "dropping-particle" : "", "family" : "Golden", "given" : "Matthew R", "non-dropping-particle" : "", "parse-names" : false, "suffix" : "" } ], "container-title" : "Sexually transmitted diseases", "id" : "ITEM-3", "issue" : "11", "issued" : { "date-parts" : [ [ "2011", "11" ] ] }, "page" : "1067-73", "title" : "The cost and cost-effectiveness of expedited partner therapy compared with standard partner referral for the treatment of chlamydia or gonorrhea.", "type" : "article-journal", "volume" : "38" }, "uris" : [ "http://www.mendeley.com/documents/?uuid=4eeec641-58bf-3a80-9d3e-c5d6d9b87eb4" ] }, { "id" : "ITEM-4",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"ITEM-4", "issue" : "106", "issued" : { "date-parts" : [ [ "2015" ] ] }, "page" : "20150067", "title" : "An anthropologically based model of the impact of asymptomatic cases on the spread of Neisseria gonorrhoeae.", "type" : "article-journal", "volume" : "12" }, "uris" : [ "http://www.mendeley.com/documents/?uuid=80f6739b-9b41-4722-bd93-001e23ac65df", "http://www.mendeley.com/documents/?uuid=1bdee7b1-90d9-34ba-9adf-8d5afad96b0e", "http://www.mendeley.com/documents/?uuid=17c0e1e3-adb7-482c-8972-1dfd064ca54b" ] } ], "mendeley" : { "formattedCitation" : "&lt;sup&gt;44,55,83,98&lt;/sup&gt;", "plainTextFormattedCitation" : "44,55,83,98", "previouslyFormattedCitation" : "&lt;sup&gt;44,55,83,98&lt;/sup&gt;"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44,55,83,98</w:t>
      </w:r>
      <w:r w:rsidRPr="0024409C">
        <w:rPr>
          <w:rFonts w:ascii="Helvetica Neue" w:hAnsi="Helvetica Neue"/>
        </w:rPr>
        <w:fldChar w:fldCharType="end"/>
      </w:r>
      <w:r w:rsidRPr="0024409C">
        <w:rPr>
          <w:rFonts w:ascii="Helvetica Neue" w:hAnsi="Helvetica Neue"/>
        </w:rPr>
        <w:t xml:space="preserve"> with a sizable group of estimates between 0.9 to 0.95.</w:t>
      </w:r>
      <w:r w:rsidRPr="0024409C">
        <w:rPr>
          <w:rFonts w:ascii="Helvetica Neue" w:hAnsi="Helvetica Neue"/>
        </w:rPr>
        <w:fldChar w:fldCharType="begin" w:fldLock="1"/>
      </w:r>
      <w:r w:rsidR="002E5A1F">
        <w:rPr>
          <w:rFonts w:ascii="Helvetica Neue" w:hAnsi="Helvetica Neue"/>
        </w:rPr>
        <w:instrText>ADDIN CSL_CITATION { "citationItems" : [ { "id" : "ITEM-1", "itemData" : { "ISSN" : "0022-1899", "PMID" : "16088832", "abstract" : "Prompt treatment of infectious diseases plays an important role in infection control. In the face of the increasing incidence of sexually transmitted infection, the ability of genitourinary medicine services to provide appropriate and timely care is reduced. To explore the relationship between capacity and demand for care, we developed and analyzed a mathematical model of gonorrhea transmission, incorporating patient flow through treatment services and heterogeneity in sexual risk behavior. Two equilibrium levels of infection incidence--\"high\" and \"low\"--exist for the same parameter values, and which of them occurs depends on starting conditions. At the high-incidence equilibrium, there is a \"vicious circle\" in which inadequate treatment capacity leads to many untreated infections, generating further high incidence and high demand and thus maintaining the inadequacy of services. A substantial increase in capacity is needed to interrupt this process and enter a \"virtuous circle,\" in which adequate service provision keeps demand low, offering cost savings as well as improvements in health.", "author" : [ { "dropping-particle" : "", "family" : "White", "given" : "Peter J", "non-dropping-particle" : "", "parse-names" : false, "suffix" : "" }, { "dropping-particle" : "", "family" : "Ward", "given" : "Helen", "non-dropping-particle" : "", "parse-names" : false, "suffix" : "" }, { "dropping-particle" : "", "family" : "Cassell", "given" : "Jackie A", "non-dropping-particle" : "", "parse-names" : false, "suffix" : "" }, { "dropping-particle" : "", "family" : "Mercer", "given" : "Catherine H", "non-dropping-particle" : "", "parse-names" : false, "suffix" : "" }, { "dropping-particle" : "", "family" : "Garnett", "given" : "Geoff P", "non-dropping-particle" : "", "parse-names" : false, "suffix" : "" } ], "container-title" : "J Inf Dis", "id" : "ITEM-1", "issue" : "5", "issued" : { "date-parts" : [ [ "2005", "9" ] ] }, "page" : "824-36", "title" : "Vicious and virtuous circles in the dynamics of infectious disease and the provision of health care: gonorrhea in Britain as an example.", "type" : "article-journal", "volume" : "192" }, "uris" : [ "http://www.mendeley.com/documents/?uuid=0b14f72c-4310-3a51-9740-8acbb798132f", "http://www.mendeley.com/documents/?uuid=2f38a072-ac48-434b-9215-817a45c054f4" ] }, { "id" : "ITEM-2",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"ITEM-2", "issue" : "1384", "issued" : { "date-parts" : [ [ "1999", "4" ] ] }, "page" : "787-97", "title" : "The transmission dynamics of gonorrhoea: modelling the reported behaviour of infected patients from Newark, New Jersey.", "type" : "article-journal", "volume" : "354" }, "uris" : [ "http://www.mendeley.com/documents/?uuid=a0924c6a-947c-4c24-a77d-49f8d1ee76f0", "http://www.mendeley.com/documents/?uuid=0e7600dd-68c6-3779-a988-e44f217aaaf2" ] }, { "id" : "ITEM-3",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"ITEM-3", "issued" : { "date-parts" : [ [ "2013" ] ] }, "page" : "188", "title" : "Population movement can sustain STI prevalence in remote Australian indigenous communities.", "type" : "article-journal", "volume" : "13" }, "uris" : [ "http://www.mendeley.com/documents/?uuid=439c8ade-8864-4f5e-9dff-966b3d367e00" ] }, { "id" : "ITEM-4",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"ITEM-4",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"http://www.mendeley.com/documents/?uuid=dcd54a91-e010-4404-92c6-d7d7aa9c95bf" ] }, { "id" : "ITEM-5",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"ITEM-5",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"mendeley" : { "formattedCitation" : "&lt;sup&gt;49,68,73,91,100&lt;/sup&gt;", "plainTextFormattedCitation" : "49,68,73,91,100", "previouslyFormattedCitation" : "&lt;sup&gt;49,68,73,91,100&lt;/sup&gt;"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49,68,73,91,100</w:t>
      </w:r>
      <w:r w:rsidRPr="0024409C">
        <w:rPr>
          <w:rFonts w:ascii="Helvetica Neue" w:hAnsi="Helvetica Neue"/>
        </w:rPr>
        <w:fldChar w:fldCharType="end"/>
      </w:r>
      <w:r w:rsidRPr="0024409C">
        <w:rPr>
          <w:rFonts w:ascii="Helvetica Neue" w:hAnsi="Helvetica Neue"/>
        </w:rPr>
        <w:t xml:space="preserve"> Beck et al.</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differentiated between the probability of symptoms of urethral and rectal NG infections in MSM, estimating a nearly 6-fold increase in the likelihood of symptoms (0.90 versus 0.16) at the urethral site. The proportion symptomatic in males tends to be increased 1.5–3 fold over the same proportion in women for NG.</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"ITEM-2", "issue" : "2", "issued" : { "date-parts" : [ [ "2012", "2" ] ] }, "page" : "161-8", "title" : "The role of sexually transmitted infections in the evolution of the South African HIV epidemic.", "type" : "article-journal", "volume" : "17" }, "uris" : [ "http://www.mendeley.com/documents/?uuid=0e1ea8f2-849f-41da-864c-66e864358726" ] }, { "id" : "ITEM-3",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"ITEM-3",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"http://www.mendeley.com/documents/?uuid=e0572282-216e-4770-9495-4f107cf36e97" ] }, { "id" : "ITEM-4", "itemData" : { "ISSN" : "0264410X", "abstract" : "Gonorrhea, one of the most common sexually transmitted infections worldwide, can lead to serious sequelae, including infertility and increased HIV transmission. Recently, untreatable, multidrug-resistant Neisseria gonorrhoeae strains have been reported. In the absence of new antibiotics, and given the speed with which resistance has emerged to all previously used antibiotics, development of a vaccine would be the ideal solution to this public health emergency. Understanding the desired characteristics, target population, and expected impact of an anti-gonococcal vaccine is essential to facilitate vaccine design, assessment and implementation. The modeling presented herein aims to fill these conceptual gaps, and inform future gonococcal vaccine development. Using an individual-based, epidemiological simulation model, gonococcal prevalence was simulated in a heterosexual population of 100,000 individuals after the introduction of vaccines with varied efficacy (10\u2013100%) and duration of protection (2.5\u201320 years). Model simulations predict that gonococcal prevalence could be reduced by at least 90% after 20 years, if all 13-year-olds were given a non-waning vaccine with 50% efficacy, or a vaccine with 100% efficacy that wanes after 7.5 years. A 40% reduction in prevalence is achievable with a non-waning vaccine of only 20% efficacy. We conclude that a vaccine of moderate efficacy and duration could have a substantive impact on gonococcal prevalence, and disease sequelae, if coverage is high and protection lasts over the highest risk period (i.e., most sexual partner change) among young people.", "author" : [ { "dropping-particle" : "", "family" : "Craig", "given" : "Andrew P.", "non-dropping-particle" : "", "parse-names" : false, "suffix" : "" }, { "dropping-particle" : "", "family" : "Gray", "given" : "Richard T.", "non-dropping-particle" : "", "parse-names" : false, "suffix" : "" }, { "dropping-particle" : "", "family" : "Edwards", "given" : "Jennifer L.", "non-dropping-particle" : "", "parse-names" : false, "suffix" : "" }, { "dropping-particle" : "", "family" : "Apicella", "given" : "Michael A.", "non-dropping-particle" : "", "parse-names" : false, "suffix" : "" }, { "dropping-particle" : "", "family" : "Jennings", "given" : "Michael P.", "non-dropping-particle" : "", "parse-names" : false, "suffix" : "" }, { "dropping-particle" : "", "family" : "Wilson", "given" : "David P.", "non-dropping-particle" : "", "parse-names" : false, "suffix" : "" }, { "dropping-particle" : "", "family" : "Seib", "given" : "Kate L.", "non-dropping-particle" : "", "parse-names" : false, "suffix" : "" } ], "container-title" : "Vaccine", "id" : "ITEM-4", "issue" : "36", "issued" : { "date-parts" : [ [ "2015" ] ] }, "page" : "4520-4525", "title" : "The potential impact of vaccination on the prevalence of gonorrhea", "type" : "article-journal", "volume" : "33" }, "uris" : [ "http://www.mendeley.com/documents/?uuid=f7ca839a-9977-4bb8-9aac-adf22570110c", "http://www.mendeley.com/documents/?uuid=68d9b0c6-5bf1-3557-8f4b-a46d0f1c8a01", "http://www.mendeley.com/documents/?uuid=c8cc1e9b-0da5-4003-a671-2a62f4934c0f" ] }, { "id" : "ITEM-5",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"ITEM-5", "issue" : "1384", "issued" : { "date-parts" : [ [ "1999", "4" ] ] }, "page" : "787-97", "title" : "The transmission dynamics of gonorrhoea: modelling the reported behaviour of infected patients from Newark, New Jersey.", "type" : "article-journal", "volume" : "354" }, "uris" : [ "http://www.mendeley.com/documents/?uuid=a0924c6a-947c-4c24-a77d-49f8d1ee76f0", "http://www.mendeley.com/documents/?uuid=0e7600dd-68c6-3779-a988-e44f217aaaf2", "http://www.mendeley.com/documents/?uuid=97994c86-934a-43ce-b175-7c6303318d1f" ] }, { "id" : "ITEM-6",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"ITEM-6", "issue" : "106", "issued" : { "date-parts" : [ [ "2015" ] ] }, "page" : "20150067", "title" : "An anthropologically based model of the impact of asymptomatic cases on the spread of Neisseria gonorrhoeae.", "type" : "article-journal", "volume" : "12" }, "uris" : [ "http://www.mendeley.com/documents/?uuid=80f6739b-9b41-4722-bd93-001e23ac65df", "http://www.mendeley.com/documents/?uuid=1bdee7b1-90d9-34ba-9adf-8d5afad96b0e", "http://www.mendeley.com/documents/?uuid=8f070df8-e8f4-4469-ad79-fd8d8906d556" ] }, { "id" : "ITEM-7",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"ITEM-7", "issued" : { "date-parts" : [ [ "2013" ] ] }, "page" : "188", "title" : "Population movement can sustain STI prevalence in remote Australian indigenous communities.", "type" : "article-journal", "volume" : "13" }, "uris" : [ "http://www.mendeley.com/documents/?uuid=439c8ade-8864-4f5e-9dff-966b3d367e00" ] }, { "id" : "ITEM-8", "itemData" : { "ISSN" : "1932-6203", "PMID" : "26181042", "abstract" : "BACKGROUND Surveillance for gonorrhoea antimicrobial resistance (AMR) is compromised by a move away from culture-based testing in favour of more convenient nucleic acid amplification test (NAAT) tests. We assessed the potential benefit of a molecular resistance test in terms of the timeliness of detection of gonorrhoea AMR. METHODS AND FINDINGS An individual-based mathematical model was developed to describe the transmission of gonorrhoea in a remote Indigenous population in Australia. We estimated the impact of the molecular test on the time delay between first importation and the first confirmation that the prevalence of gonorrhoea AMR (resistance proportion) has breached the WHO-recommended 5% threshold (when a change in antibiotic should occur). In the remote setting evaluated in this study, the model predicts that when culture is the only available means of testing for AMR, the breach will only be detected when the actual prevalence of AMR in the population has already reached 8 - 18%, with an associated delay of ~43 - 69 months between first importation and detection. With the addition of a molecular resistance test, the number of samples for which AMR can be determined increases facilitating earlier detection at a lower resistance proportion. For the best case scenario, where AMR can be determined for all diagnostic samples, the alert would be triggered at least 8 months earlier than using culture alone and the resistance proportion will have only slightly exceeded the 5% notification threshold. CONCLUSIONS Molecular tests have the potential to provide more timely warning of the emergence of gonorrhoea AMR. This in turn will facilitate earlier treatment switching and more targeted treatment, which has the potential to reduce the population impact of gonorrhoea AMR.", "author" : [ { "dropping-particle" : "", "family" : "Hui", "given" : "Ben B", "non-dropping-particle" : "", "parse-names" : false, "suffix" : "" }, { "dropping-particle" : "", "family" : "Ryder", "given" : "Nathan", "non-dropping-particle" : "", "parse-names" : false, "suffix" : "" }, { "dropping-particle" : "", "family" : "Su", "given" : "Jiunn-Yih", "non-dropping-particle" : "", "parse-names" : false, "suffix" : "" }, { "dropping-particle" : "", "family" : "Ward", "given" : "James", "non-dropping-particle" : "", "parse-names" : false, "suffix" : "" }, { "dropping-particle" : "", "family" : "Chen", "given" : "Marcus Y", "non-dropping-particle" : "", "parse-names" : false, "suffix" : "" }, { "dropping-particle" : "", "family" : "Donovan", "given" : "Basil", "non-dropping-particle" : "", "parse-names" : false, "suffix" : "" }, { "dropping-particle" : "", "family" : "Fairley", "given" : "Christopher K", "non-dropping-particle" : "", "parse-names" : false, "suffix" : "" }, { "dropping-particle" : "", "family" : "Guy", "given" : "Rebecca J", "non-dropping-particle" : "", "parse-names" : false, "suffix" : "" }, { "dropping-particle" : "", "family" : "Lahra", "given" : "Monica M", "non-dropping-particle" : "", "parse-names" : false, "suffix" : "" }, { "dropping-particle" : "", "family" : "Law", "given" : "Mathew G", "non-dropping-particle" : "", "parse-names" : false, "suffix" : "" }, { "dropping-particle" : "", "family" : "Whiley", "given" : "David M", "non-dropping-particle" : "", "parse-names" : false, "suffix" : "" }, { "dropping-particle" : "", "family" : "Regan", "given" : "David G", "non-dropping-particle" : "", "parse-names" : false, "suffix" : "" } ], "container-title" : "PLoS ONE", "id" : "ITEM-8", "issue" : "7", "issued" : { "date-parts" : [ [ "2015" ] ] }, "page" : "e0133202", "title" : "Exploring the benefits of molecular testing for gonorrhoea antibiotic resistance surveillance in remote settings", "type" : "article-journal", "volume" : "10" }, "uris" : [ "http://www.mendeley.com/documents/?uuid=853244d6-109b-48aa-ba0a-5a4ae2a51e59", "http://www.mendeley.com/documents/?uuid=85aa5e13-fa6a-3558-a9cb-11a0e8643472", "http://www.mendeley.com/documents/?uuid=9a4b598e-20ec-4d5d-a462-f2e3a81fc462" ] }, { "id" : "ITEM-9",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"ITEM-9",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"http://www.mendeley.com/documents/?uuid=701ed559-3fe1-4d32-b05d-3d12786099f1" ] }, { "id" : "ITEM-10", "itemData" : { "ISSN" : "0022-1899", "PMID" : "16088832", "abstract" : "Prompt treatment of infectious diseases plays an important role in infection control. In the face of the increasing incidence of sexually transmitted infection, the ability of genitourinary medicine services to provide appropriate and timely care is reduced. To explore the relationship between capacity and demand for care, we developed and analyzed a mathematical model of gonorrhea transmission, incorporating patient flow through treatment services and heterogeneity in sexual risk behavior. Two equilibrium levels of infection incidence--\"high\" and \"low\"--exist for the same parameter values, and which of them occurs depends on starting conditions. At the high-incidence equilibrium, there is a \"vicious circle\" in which inadequate treatment capacity leads to many untreated infections, generating further high incidence and high demand and thus maintaining the inadequacy of services. A substantial increase in capacity is needed to interrupt this process and enter a \"virtuous circle,\" in which adequate service provision keeps demand low, offering cost savings as well as improvements in health.", "author" : [ { "dropping-particle" : "", "family" : "White", "given" : "Peter J", "non-dropping-particle" : "", "parse-names" : false, "suffix" : "" }, { "dropping-particle" : "", "family" : "Ward", "given" : "Helen", "non-dropping-particle" : "", "parse-names" : false, "suffix" : "" }, { "dropping-particle" : "", "family" : "Cassell", "given" : "Jackie A", "non-dropping-particle" : "", "parse-names" : false, "suffix" : "" }, { "dropping-particle" : "", "family" : "Mercer", "given" : "Catherine H", "non-dropping-particle" : "", "parse-names" : false, "suffix" : "" }, { "dropping-particle" : "", "family" : "Garnett", "given" : "Geoff P", "non-dropping-particle" : "", "parse-names" : false, "suffix" : "" } ], "container-title" : "J Inf Dis", "id" : "ITEM-10", "issue" : "5", "issued" : { "date-parts" : [ [ "2005", "9" ] ] }, "page" : "824-36", "title" : "Vicious and virtuous circles in the dynamics of infectious disease and the provision of health care: gonorrhea in Britain as an example.", "type" : "article-journal", "volume" : "192" }, "uris" : [ "http://www.mendeley.com/documents/?uuid=2f38a072-ac48-434b-9215-817a45c054f4", "http://www.mendeley.com/documents/?uuid=0b14f72c-4310-3a51-9740-8acbb798132f", "http://www.mendeley.com/documents/?uuid=0e83d243-5089-464e-9bbe-35cb316d7341" ] }, { "id" : "ITEM-11",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"ITEM-11",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"&lt;sup&gt;40,49,54,55,68,76,83,84,88,91,100&lt;/sup&gt;", "plainTextFormattedCitation" : "40,49,54,55,68,76,83,84,88,91,100", "previouslyFormattedCitation" : "&lt;sup&gt;40,49,54,55,68,76,83,84,88,91,100&lt;/sup&gt;"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40,49,54,55,68,76,83,84,88,91,100</w:t>
      </w:r>
      <w:r w:rsidRPr="0024409C">
        <w:rPr>
          <w:rFonts w:ascii="Helvetica Neue" w:hAnsi="Helvetica Neue"/>
        </w:rPr>
        <w:fldChar w:fldCharType="end"/>
      </w:r>
      <w:r w:rsidRPr="0024409C">
        <w:rPr>
          <w:rFonts w:ascii="Helvetica Neue" w:hAnsi="Helvetica Neue"/>
        </w:rPr>
        <w:t xml:space="preserve"> </w:t>
      </w:r>
      <w:r w:rsidR="001002FC" w:rsidRPr="0024409C">
        <w:rPr>
          <w:rFonts w:ascii="Helvetica Neue" w:hAnsi="Helvetica Neue"/>
        </w:rPr>
        <w:t>In our prior STI model</w:t>
      </w:r>
      <w:r w:rsidR="001002FC" w:rsidRPr="0024409C">
        <w:rPr>
          <w:rFonts w:ascii="Helvetica Neue" w:hAnsi="Helvetica Neue"/>
        </w:rPr>
        <w:fldChar w:fldCharType="begin" w:fldLock="1"/>
      </w:r>
      <w:r w:rsidR="002E5A1F">
        <w:rPr>
          <w:rFonts w:ascii="Helvetica Neue" w:hAnsi="Helvetica Neue"/>
        </w:rPr>
        <w:instrText>ADDIN CSL_CITATION { "citationItems" : [ { "id" : "ITEM-1",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"ITEM-1",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"&lt;sup&gt;5&lt;/sup&gt;", "plainTextFormattedCitation" : "5", "previouslyFormattedCitation" : "&lt;sup&gt;5&lt;/sup&gt;" }, "properties" : { "noteIndex" : 0 }, "schema" : "https://github.com/citation-style-language/schema/raw/master/csl-citation.json" }</w:instrText>
      </w:r>
      <w:r w:rsidR="001002FC" w:rsidRPr="0024409C">
        <w:rPr>
          <w:rFonts w:ascii="Helvetica Neue" w:hAnsi="Helvetica Neue"/>
        </w:rPr>
        <w:fldChar w:fldCharType="separate"/>
      </w:r>
      <w:r w:rsidR="001002FC" w:rsidRPr="0024409C">
        <w:rPr>
          <w:rFonts w:ascii="Helvetica Neue" w:hAnsi="Helvetica Neue"/>
          <w:noProof/>
          <w:vertAlign w:val="superscript"/>
        </w:rPr>
        <w:t>5</w:t>
      </w:r>
      <w:r w:rsidR="001002FC" w:rsidRPr="0024409C">
        <w:rPr>
          <w:rFonts w:ascii="Helvetica Neue" w:hAnsi="Helvetica Neue"/>
        </w:rPr>
        <w:fldChar w:fldCharType="end"/>
      </w:r>
      <w:r w:rsidR="001002FC" w:rsidRPr="0024409C">
        <w:rPr>
          <w:rFonts w:ascii="Helvetica Neue" w:hAnsi="Helvetica Neue"/>
        </w:rPr>
        <w:t>, we used a Bayesian approach to address uncertainty, e</w:t>
      </w:r>
      <w:r w:rsidRPr="0024409C">
        <w:rPr>
          <w:rFonts w:ascii="Helvetica Neue" w:hAnsi="Helvetica Neue"/>
        </w:rPr>
        <w:t>stablish</w:t>
      </w:r>
      <w:r w:rsidR="001002FC" w:rsidRPr="0024409C">
        <w:rPr>
          <w:rFonts w:ascii="Helvetica Neue" w:hAnsi="Helvetica Neue"/>
        </w:rPr>
        <w:t>ing</w:t>
      </w:r>
      <w:r w:rsidRPr="0024409C">
        <w:rPr>
          <w:rFonts w:ascii="Helvetica Neue" w:hAnsi="Helvetica Neue"/>
        </w:rPr>
        <w:t xml:space="preserve"> a prior distribution of 0.01–0.15 for the probability that a rectal NG infection would be symptomatic, and a distribution of 0.60–0.95 for the probability that a urethral NG infection. </w:t>
      </w:r>
      <w:r w:rsidR="001002FC" w:rsidRPr="0024409C">
        <w:rPr>
          <w:rFonts w:ascii="Helvetica Neue" w:hAnsi="Helvetica Neue"/>
        </w:rPr>
        <w:t xml:space="preserve">These generated </w:t>
      </w:r>
      <w:r w:rsidRPr="0024409C">
        <w:rPr>
          <w:rFonts w:ascii="Helvetica Neue" w:hAnsi="Helvetica Neue"/>
        </w:rPr>
        <w:lastRenderedPageBreak/>
        <w:t xml:space="preserve">posterior values </w:t>
      </w:r>
      <w:r w:rsidR="001002FC" w:rsidRPr="0024409C">
        <w:rPr>
          <w:rFonts w:ascii="Helvetica Neue" w:hAnsi="Helvetica Neue"/>
        </w:rPr>
        <w:t>of</w:t>
      </w:r>
      <w:r w:rsidRPr="0024409C">
        <w:rPr>
          <w:rFonts w:ascii="Helvetica Neue" w:hAnsi="Helvetica Neue"/>
        </w:rPr>
        <w:t xml:space="preserve"> 0.0770 for the probability of symptomatic rectal NG, and 0.8244 for the probability of symptomatic urethral NG. As with CT, these reflect an increased likelihood of symptomatic urethral infection, which could be due to easier detection at a urethral site.</w:t>
      </w:r>
      <w:r w:rsidR="001002FC" w:rsidRPr="0024409C">
        <w:rPr>
          <w:rFonts w:ascii="Helvetica Neue" w:hAnsi="Helvetica Neue"/>
        </w:rPr>
        <w:t xml:space="preserve"> For this model, however, we reverted to the Beck values of 0.16 for the probability of symptomatic rectal NG infection and 0.90 for the probability of symptomatic urethral NG infection, increasing the probability of symptoms at both rectal and urethral sites.</w:t>
      </w:r>
    </w:p>
    <w:p w14:paraId="4937449C" w14:textId="6FF326B6" w:rsidR="00EA384A" w:rsidRPr="0024409C" w:rsidRDefault="00273CDD" w:rsidP="000B56F8">
      <w:pPr>
        <w:pStyle w:val="Heading1"/>
        <w:spacing w:before="300"/>
        <w:rPr>
          <w:rFonts w:ascii="Helvetica Neue" w:hAnsi="Helvetica Neue"/>
          <w:sz w:val="24"/>
          <w:szCs w:val="24"/>
        </w:rPr>
      </w:pPr>
      <w:bookmarkStart w:id="45" w:name="_Toc466401465"/>
      <w:bookmarkStart w:id="46" w:name="_Toc522270429"/>
      <w:r w:rsidRPr="0024409C">
        <w:rPr>
          <w:rFonts w:ascii="Helvetica Neue" w:hAnsi="Helvetica Neue"/>
          <w:sz w:val="24"/>
          <w:szCs w:val="24"/>
        </w:rPr>
        <w:t>10</w:t>
      </w:r>
      <w:r w:rsidR="00EA384A" w:rsidRPr="0024409C">
        <w:rPr>
          <w:rFonts w:ascii="Helvetica Neue" w:hAnsi="Helvetica Neue"/>
          <w:sz w:val="24"/>
          <w:szCs w:val="24"/>
        </w:rPr>
        <w:t xml:space="preserve"> </w:t>
      </w:r>
      <w:r w:rsidR="00EA384A" w:rsidRPr="0024409C">
        <w:rPr>
          <w:rFonts w:ascii="Helvetica Neue" w:hAnsi="Helvetica Neue"/>
          <w:sz w:val="24"/>
          <w:szCs w:val="24"/>
        </w:rPr>
        <w:tab/>
        <w:t xml:space="preserve">STI </w:t>
      </w:r>
      <w:r w:rsidR="00A10467">
        <w:rPr>
          <w:rFonts w:ascii="Helvetica Neue" w:hAnsi="Helvetica Neue"/>
          <w:sz w:val="24"/>
          <w:szCs w:val="24"/>
        </w:rPr>
        <w:t xml:space="preserve">DURATION AND </w:t>
      </w:r>
      <w:r w:rsidR="00EA384A" w:rsidRPr="0024409C">
        <w:rPr>
          <w:rFonts w:ascii="Helvetica Neue" w:hAnsi="Helvetica Neue"/>
          <w:sz w:val="24"/>
          <w:szCs w:val="24"/>
        </w:rPr>
        <w:t>RECOVERY</w:t>
      </w:r>
      <w:bookmarkEnd w:id="45"/>
      <w:bookmarkEnd w:id="46"/>
    </w:p>
    <w:p w14:paraId="684FE5F8" w14:textId="029734D2" w:rsidR="00EA384A" w:rsidRPr="0024409C" w:rsidRDefault="000B56F8" w:rsidP="000B56F8">
      <w:pPr>
        <w:spacing w:line="360" w:lineRule="auto"/>
        <w:rPr>
          <w:rFonts w:ascii="Helvetica Neue" w:hAnsi="Helvetica Neue"/>
        </w:rPr>
      </w:pPr>
      <w:r w:rsidRPr="0024409C">
        <w:rPr>
          <w:rFonts w:ascii="Helvetica Neue" w:hAnsi="Helvetica Neue"/>
        </w:rPr>
        <w:t>We modeled recovery from NG</w:t>
      </w:r>
      <w:r w:rsidR="00547C8D">
        <w:rPr>
          <w:rFonts w:ascii="Helvetica Neue" w:hAnsi="Helvetica Neue"/>
        </w:rPr>
        <w:t xml:space="preserve"> or</w:t>
      </w:r>
      <w:r w:rsidR="00547C8D" w:rsidRPr="0024409C">
        <w:rPr>
          <w:rFonts w:ascii="Helvetica Neue" w:hAnsi="Helvetica Neue"/>
        </w:rPr>
        <w:t xml:space="preserve"> </w:t>
      </w:r>
      <w:r w:rsidR="00EA384A" w:rsidRPr="0024409C">
        <w:rPr>
          <w:rFonts w:ascii="Helvetica Neue" w:hAnsi="Helvetica Neue"/>
        </w:rPr>
        <w:t xml:space="preserve">CT according to whether men were treated for their infection. Recovery from infection back to susceptibility </w:t>
      </w:r>
      <w:r w:rsidR="00676107" w:rsidRPr="0024409C">
        <w:rPr>
          <w:rFonts w:ascii="Helvetica Neue" w:hAnsi="Helvetica Neue"/>
        </w:rPr>
        <w:t>could</w:t>
      </w:r>
      <w:r w:rsidR="00EA384A" w:rsidRPr="0024409C">
        <w:rPr>
          <w:rFonts w:ascii="Helvetica Neue" w:hAnsi="Helvetica Neue"/>
        </w:rPr>
        <w:t xml:space="preserve"> occur through natural clearance of each infection or through effective antibiotic treatm</w:t>
      </w:r>
      <w:r w:rsidR="0090720B" w:rsidRPr="0024409C">
        <w:rPr>
          <w:rFonts w:ascii="Helvetica Neue" w:hAnsi="Helvetica Neue"/>
        </w:rPr>
        <w:t xml:space="preserve">ent. </w:t>
      </w:r>
      <w:r w:rsidR="00DF36B2" w:rsidRPr="0024409C">
        <w:rPr>
          <w:rFonts w:ascii="Helvetica Neue" w:hAnsi="Helvetica Neue"/>
        </w:rPr>
        <w:t>Recovery from untreated NG</w:t>
      </w:r>
      <w:r w:rsidR="005451D3">
        <w:rPr>
          <w:rFonts w:ascii="Helvetica Neue" w:hAnsi="Helvetica Neue"/>
        </w:rPr>
        <w:t xml:space="preserve"> or</w:t>
      </w:r>
      <w:r w:rsidR="005451D3" w:rsidRPr="0024409C">
        <w:rPr>
          <w:rFonts w:ascii="Helvetica Neue" w:hAnsi="Helvetica Neue"/>
        </w:rPr>
        <w:t xml:space="preserve"> </w:t>
      </w:r>
      <w:r w:rsidR="00DF36B2" w:rsidRPr="0024409C">
        <w:rPr>
          <w:rFonts w:ascii="Helvetica Neue" w:hAnsi="Helvetica Neue"/>
        </w:rPr>
        <w:t>CT infection was simulated as a stochastic process among those whose infection, whether symptomatic or asymptomatic, had been present for a duration of time greater than the natural history of asymptomatic infection</w:t>
      </w:r>
      <w:r w:rsidR="00140FAC">
        <w:rPr>
          <w:rFonts w:ascii="Helvetica Neue" w:hAnsi="Helvetica Neue"/>
        </w:rPr>
        <w:t>.</w:t>
      </w:r>
      <w:r w:rsidR="00EA384A" w:rsidRPr="0024409C">
        <w:rPr>
          <w:rFonts w:ascii="Helvetica Neue" w:hAnsi="Helvetica Neue"/>
        </w:rPr>
        <w:t xml:space="preserve"> The probability of recovery per time-step for symptomatic and asymptomatic untreated infection was the reciprocal of the duration of infection. Recovery</w:t>
      </w:r>
      <w:r w:rsidR="00C91431" w:rsidRPr="0024409C">
        <w:rPr>
          <w:rFonts w:ascii="Helvetica Neue" w:hAnsi="Helvetica Neue"/>
        </w:rPr>
        <w:t xml:space="preserve"> from treated NG</w:t>
      </w:r>
      <w:r w:rsidR="00140FAC">
        <w:rPr>
          <w:rFonts w:ascii="Helvetica Neue" w:hAnsi="Helvetica Neue"/>
        </w:rPr>
        <w:t xml:space="preserve"> or</w:t>
      </w:r>
      <w:r w:rsidR="00140FAC" w:rsidRPr="0024409C">
        <w:rPr>
          <w:rFonts w:ascii="Helvetica Neue" w:hAnsi="Helvetica Neue"/>
        </w:rPr>
        <w:t xml:space="preserve"> </w:t>
      </w:r>
      <w:r w:rsidR="00EA384A" w:rsidRPr="0024409C">
        <w:rPr>
          <w:rFonts w:ascii="Helvetica Neue" w:hAnsi="Helvetica Neue"/>
        </w:rPr>
        <w:t>CT infection was a stochastic process based on draws from a binomial distribution among those treated for their infection, occurring with a per-time-step probability equal to the reciprocal of the duration of the length of treatment. Upon recovery, individuals were immediately susceptible to reinfection.</w:t>
      </w:r>
    </w:p>
    <w:p w14:paraId="514793F1" w14:textId="28CAB3C9" w:rsidR="00E23942" w:rsidRPr="0024409C" w:rsidRDefault="00E23942" w:rsidP="009D649E">
      <w:pPr>
        <w:pStyle w:val="Heading2"/>
        <w:rPr>
          <w:rFonts w:ascii="Helvetica Neue" w:hAnsi="Helvetica Neue"/>
          <w:szCs w:val="22"/>
        </w:rPr>
      </w:pPr>
      <w:bookmarkStart w:id="47" w:name="_Toc522270430"/>
      <w:r w:rsidRPr="0024409C">
        <w:rPr>
          <w:rFonts w:ascii="Helvetica Neue" w:hAnsi="Helvetica Neue"/>
          <w:szCs w:val="22"/>
        </w:rPr>
        <w:t>10.1</w:t>
      </w:r>
      <w:r w:rsidRPr="0024409C">
        <w:rPr>
          <w:rFonts w:ascii="Helvetica Neue" w:hAnsi="Helvetica Neue"/>
          <w:szCs w:val="22"/>
        </w:rPr>
        <w:tab/>
      </w:r>
      <w:r w:rsidRPr="0024409C">
        <w:rPr>
          <w:rFonts w:ascii="Helvetica Neue" w:hAnsi="Helvetica Neue"/>
          <w:szCs w:val="22"/>
        </w:rPr>
        <w:tab/>
        <w:t>Duration of Chlamydia Infection</w:t>
      </w:r>
      <w:bookmarkEnd w:id="47"/>
    </w:p>
    <w:p w14:paraId="1314993D" w14:textId="08FFF617" w:rsidR="00A5457A" w:rsidRDefault="00EA384A" w:rsidP="00A5457A">
      <w:pPr>
        <w:spacing w:line="360" w:lineRule="auto"/>
        <w:rPr>
          <w:rFonts w:ascii="Helvetica Neue" w:hAnsi="Helvetica Neue"/>
        </w:rPr>
      </w:pPr>
      <w:r w:rsidRPr="0024409C">
        <w:rPr>
          <w:rFonts w:ascii="Helvetica Neue" w:hAnsi="Helvetica Neue"/>
        </w:rPr>
        <w:t>Estimates of the duration of CT infection have varied broadly depending on whether the infection was symptomatic. STI and HIV/STI models have generally estimated the duration of symptomatic CT infection in men primarily as 30–35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"PMID" : "16601656", "abstract" : "OBJECTIVE To estimate the incremental effects and costs of a home sampling screening approach for Chlamydia trachomatis over the current in-office screening practice in Denmark. GOALS To assess the effect of a new screening strategy. STUDY DESIGN A dynamic Monte Carlo model estimated prevalence and incidence over 10 years for a home sampling screening program and the current in-office screening. Subsequently, the incremental number of major outcomes averted (MOA) and the related direct and indirect costs were estimated. RESULTS Infection prevalence after 10 years was 1.0% with a home sampling program and 4.2% with the current in-office screening practice. The total costs per MOA reached 3186 US dollars during the first year of the home sampling strategy, but in year 4, the accumulated indirect costs offset the direct costs, and the program henceforth saved society costs. CONCLUSIONS Home sampling should be considered a relevant alternative to the current practice of in-office screening.", "author" : [ { "dropping-particle" : "", "family" : "Andersen", "given" : "Berit", "non-dropping-particle" : "", "parse-names" : false, "suffix" : "" }, { "dropping-particle" : "", "family" : "Gundgaard", "given" : "Jens", "non-dropping-particle" : "", "parse-names" : false, "suffix" : "" }, { "dropping-particle" : "", "family" : "Kretzschmar", "given" : "Mirjam", "non-dropping-particle" : "", "parse-names" : false, "suffix" : "" }, { "dropping-particle" : "", "family" : "Olsen", "given" : "Jens", "non-dropping-particle" : "", "parse-names" : false, "suffix" : "" }, { "dropping-particle" : "", "family" : "Welte", "given" : "Robert", "non-dropping-particle" : "", "parse-names" : false, "suffix" : "" }, { "dropping-particle" : "", "family" : "Oster-Gaard", "given" : "Lars", "non-dropping-particle" : "", "parse-names" : false, "suffix" : "" } ], "container-title" : "Sex Transm Dis", "id" : "ITEM-1", "issue" : "7", "issued" : { "date-parts" : [ [ "2006", "7" ] ] }, "page" : "407-15", "title" : "Prediction of costs, effectiveness, and disease control of a population-based program using home sampling for diagnosis of urogenital Chlamydia trachomatis infections", "type" : "article-journal", "volume" : "33" }, "uris" : [ "http://www.mendeley.com/documents/?uuid=ad4655e6-1796-4a64-b0b1-a55b81b1875a" ] }, { "id" : "ITEM-2", "itemData" : { "ISSN" : "1537-4521", "PMID" : "22504590", "abstract" : "OBJECTIVES Model impact of increasing screening and partner notification (PN) on chlamydia positivity. METHODS We used a stochastic simulation model describing pair formation and dissolution in an age-structured heterosexual population. The model accounts for steady, casual, and concurrent partnerships and a highly sexually active core group. The model used existing sexual behavior data from the United States and was validated using chlamydia positivity data from Region X (Alaska, Idaho, Oregon, Washington). A screening program with a coverage rate of 20% was implemented among women aged 15 to 24 years. After 10 years, we increased screening coverage to 35%, 50%, and 65% and partner treatment rates from 20% to 40% and 55%. Finally, we included male screening (aged 15-24, screening coverage: 20% and 35%, partner treatment: 25% and 40%). We analyzed the effects on chlamydia positivity in women and the frequency of reinfection 6 months after treatment. RESULTS The model described the decline in positivity observed from 1988 to 1997 in Region X, given screening coverage of 20% and a 25% partner treatment rate. Increasing screening coverage from 35% to 65% resulted in incremental decreases in positivity as did increasing the PN rate; a 23% reduction in positivity was achieved by either increasing screening by 3-fold or PN by 2-fold. Adding male screening to the program had less impact than increasing screening coverage or PN among women. Increased PN and treatment reduced reinfection rates considerably. CONCLUSIONS Increasing efforts in PN may contribute at least as much to control of chlamydia infection as increasing screening coverage rates.", "author" : [ { "dropping-particle" : "", "family" : "Kretzschmar", "given" : "Mirjam", "non-dropping-particle" : "", "parse-names" : false, "suffix" : "" }, { "dropping-particle" : "", "family" : "Satterwhite", "given" : "Catherine", "non-dropping-particle" : "", "parse-names" : false, "suffix" : "" }, { "dropping-particle" : "", "family" : "Leichliter", "given" : "Jami", "non-dropping-particle" : "", "parse-names" : false, "suffix" : "" }, { "dropping-particle" : "", "family" : "Berman", "given" : "Stuart", "non-dropping-particle" : "", "parse-names" : false, "suffix" : "" } ], "container-title" : "Sex Transm Dis", "id" : "ITEM-2", "issue" : "5", "issued" : { "date-parts" : [ [ "2012", "5" ] ] }, "page" : "325-31", "title" : "Effects of screening and partner notification on Chlamydia positivity in the United States: a modeling study.", "type" : "article-journal", "volume" : "39" }, "uris" : [ "http://www.mendeley.com/documents/?uuid=9e28b657-b832-4f92-822f-ede371cccbda" ] }, { "id" : "ITEM-3", "itemData" : { "ISSN" : "0002-9262", "PMID" : "11159151", "abstract" : "The design of a screening program for asymptomatic genital infections with Chlamydia trachomatis, requires decisions about which sex or age group should be targeted and whether partner referral should be included in the program. To investigate the effects of various screening programs on the prevalence and incidence of asymptomatic C. trachomatis infections in women, in May 1996 to April 1997 in Bilthoven, the Netherlands, the authors used a stochastic simulation model for C. trachomatis transmission in an age-structured, heterosexual population with a sexually highly active core group. Different screening scenarios were implemented over a time period of 10 years. Prevalence, incidence, and the fraction of infected persons found by partner referral were computed. Through screening of men and women between ages 15 and 24 years (baseline scenario), the prevalence of asymptomatic infections in women could be reduced from 4.2% to 1.4% in 10 years. Increasing the age range of screening up to ages 29 or 34 years led to prevalences of 0.4% and 0.06%, respectively, after 10 years. About 28% of all infected persons were found via partner referral. There are considerable indirect positive effects of screening on those population groups that are not included in the screening because of the reduced risk of becoming infected. Partner referral contributes substantially to prevalence reduction.", "author" : [ { "dropping-particle" : "", "family" : "Kretzschmar", "given" : "M", "non-dropping-particle" : "", "parse-names" : false, "suffix" : "" }, { "dropping-particle" : "", "family" : "Welte", "given" : "R", "non-dropping-particle" : "", "parse-names" : false, "suffix" : "" }, { "dropping-particle" : "", "family" : "Hoek", "given" : "A", "non-dropping-particle" : "van den", "parse-names" : false, "suffix" : "" }, { "dropping-particle" : "", "family" : "Postma", "given" : "M J", "non-dropping-particle" : "", "parse-names" : false, "suffix" : "" } ], "container-title" : "Am J Epidemiol", "id" : "ITEM-3", "issue" : "1", "issued" : { "date-parts" : [ [ "2001", "1", "1" ] ] }, "page" : "90-101", "title" : "Comparative model-based analysis of screening programs for Chlamydia trachomatis infections.", "type" : "article-journal", "volume" : "153" }, "uris" : [ "http://www.mendeley.com/documents/?uuid=37158024-4fed-4aa7-8960-1c7d1c10b124" ] }, { "id" : "ITEM-4",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"ITEM-4",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"http://www.mendeley.com/documents/?uuid=2908b183-9770-497f-882d-14396e8ea618" ] }, { "id" : "ITEM-5",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"ITEM-5",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"http://www.mendeley.com/documents/?uuid=068ae4c2-fc1a-407c-9042-659f35956723", "http://www.mendeley.com/documents/?uuid=79167eaa-7546-3c44-8cc8-210cd54f8e72", "http://www.mendeley.com/documents/?uuid=bf7ba67b-bdba-4eb3-91b4-1ef1f96dccda" ] }, { "id" : "ITEM-6", "itemData" : { "ISSN" : "0148-5717", "PMID" : "16041248", "abstract" : "OBJECTIVE The objective of this study was to assess the impact of modeling type on the economic evaluation of screening programs for asymptomatic Chlamydia trachomatis infections. STUDY We compared a stochastic network simulation model (dynamic model) with a decision analysis model (static model) for estimating the cost-effectiveness of an opportunistic screening program. The influence of the model type on the required data, the computed results, and the sensitivity of model parameters were investigated. RESULTS When compared with static modeling, dynamic modeling yielded different cost-effectiveness ratios and identified other optimal screening strategies as it considers changes in the force of infection caused by screening. However, it is more complex, data- and time-demanding, and more sensitive to some parameters affecting the force of infection than static modeling. CONCLUSIONS Dynamic models should be applied for the economic evaluation of prevention measures that have the potential to lower the force of infection such as large-scale chlamydial screening programs.", "author" : [ { "dropping-particle" : "", "family" : "Welte", "given" : "Robert", "non-dropping-particle" : "", "parse-names" : false, "suffix" : "" }, { "dropping-particle" : "", "family" : "Postma", "given" : "Maarten", "non-dropping-particle" : "", "parse-names" : false, "suffix" : "" }, { "dropping-particle" : "", "family" : "Leidl", "given" : "Reiner", "non-dropping-particle" : "", "parse-names" : false, "suffix" : "" }, { "dropping-particle" : "", "family" : "Kretzschmar", "given" : "Mirjam", "non-dropping-particle" : "", "parse-names" : false, "suffix" : "" } ], "container-title" : "Sex Transm Dis", "id" : "ITEM-6", "issue" : "8", "issued" : { "date-parts" : [ [ "2005", "8" ] ] }, "page" : "474-83", "title" : "Costs and effects of chlamydial screening: dynamic versus static modeling.", "type" : "article-journal", "volume" : "32" }, "uris" : [ "http://www.mendeley.com/documents/?uuid=e09e3f5e-a85f-4dde-85a0-b1861d31674c", "http://www.mendeley.com/documents/?uuid=450d2aca-0702-33b7-a297-9c0c2cb83c3b", "http://www.mendeley.com/documents/?uuid=a908310f-f6ff-4006-9318-c6f5f73ca2b7" ] }, { "id" : "ITEM-7", "itemData" : { "ISSN" : "1742-4682", "PMID" : "16426453", "abstract" : "BACKGROUND A national chlamydia screening programme is currently being rolled out in the UK and other countries. However, much of the epidemiology remains poorly understood. In this paper we present a stochastic, individual based, dynamic sexual network model of chlamydia transmission and its parameterisation. Mathematical models provide a theoretical framework for understanding the key epidemiological features of chlamydia: sexual behaviour, health care seeking and transmission dynamics. RESULTS The model parameters were estimated either directly or by systematic fitting to a variety of appropriate data sources. The fitted model was representative of sexual behaviour, chlamydia epidemiology and health care use in England. We were able to recapture the observed age distribution of chlamydia prevalence. CONCLUSION Estimating parameters for models of sexual behaviour and transmission of chlamydia is complex. Most of the parameter values are highly correlated, highly variable and there is little empirical evidence to inform estimates. We used a novel approach to estimate the rate of active treatment seeking, by combining data sources, which improved the credibility of the model results. The model structure is flexible and is broadly applicable to other developed world settings and provides a practical tool for public health decision makers.", "author" : [ { "dropping-particle" : "", "family" : "Turner", "given" : "Katherine M E", "non-dropping-particle" : "", "parse-names" : false, "suffix" : "" }, { "dropping-particle" : "", "family" : "Adams", "given" : "Elisabeth J", "non-dropping-particle" : "", "parse-names" : false, "suffix" : "" }, { "dropping-particle" : "", "family" : "Gay", "given" : "Nigel", "non-dropping-particle" : "", "parse-names" : false, "suffix" : "" }, { "dropping-particle" : "", "family" : "Ghani", "given" : "Azra C", "non-dropping-particle" : "", "parse-names" : false, "suffix" : "" }, { "dropping-particle" : "", "family" : "Mercer", "given" : "Catherine", "non-dropping-particle" : "", "parse-names" : false, "suffix" : "" }, { "dropping-particle" : "", "family" : "Edmunds", "given" : "W John", "non-dropping-particle" : "", "parse-names" : false, "suffix" : "" } ], "container-title" : "Theor Biol Med Model", "id" : "ITEM-7", "issued" : { "date-parts" : [ [ "2006" ] ] }, "page" : "3", "title" : "Developing a realistic sexual network model of chlamydia transmission in Britain.", "type" : "article-journal", "volume" : "3" }, "uris" : [ "http://www.mendeley.com/documents/?uuid=d5089e58-930f-47f0-8958-55ecbfb070a5" ] }, { "id" : "ITEM-8", "itemData" : { "ISSN" : "1098-3015", "PMID" : "16441519", "abstract" : "OBJECTIVE To estimate the cost-effectiveness of a systematic one-off Chlamydia trachomatis (CT) screening program including partner treatment for Dutch young adults. METHODS Data on infection prevalence, participation rates, and sexual behavior were obtained from a large pilot study conducted in The Netherlands. Opposite to almost all previous economic evaluations of CT screening, we developed a dynamic Susceptible-Infected-Susceptible (SIS) model to estimate the impact of the screening program on the incidence and prevalence of CT in the population. SIS models are widely used in epidemiology of infectious diseases, for modeling the transmission dynamics over time. Subsequently, a predictive decision model was used to calculate the complications averted by the screening program. Cost-effectiveness was expressed as the net costs per major outcome averted (MOA) and was estimated in the baseline analysis and in sensitivity analysis. RESULTS The overall prevalence decreased from 1.79% to 1.05% as a result of the screening program directed at both men and women. The program costs were mainly offset by the averted costs, although not fully. Resulting net costs per MOA were 373 euro sin the baseline analysis. Sensitivity analysis showed that partner treatment and sending a reminder are important aspects improving cost-effectiveness. Additionally, restricting the screening to women only was estimated to save costs. CONCLUSIONS Our cost-effectiveness analysis shows that the Dutch society has net to pay for the prevention of CT-complications through screening young men and women. One could argue although that 373 euros per MOA presents a reasonable cost. A screening program consisting of screening women only should always be adopted from a pharmacoeconomic point of view. Our dynamic approach appreciates better the specific characteristics of an infectious disease, such as CT.", "author" : [ { "dropping-particle" : "", "family" : "Vries", "given" : "Robin", "non-dropping-particle" : "de", "parse-names" : false, "suffix" : "" }, { "dropping-particle" : "", "family" : "Bergen", "given" : "Jan E A M", "non-dropping-particle" : "van", "parse-names" : false, "suffix" : "" }, { "dropping-particle" : "", "family" : "Jong-van den Berg", "given" : "Lolkje T W", "non-dropping-particle" : "de", "parse-names" : false, "suffix" : "" }, { "dropping-particle" : "", "family" : "Postma", "given" : "Maarten J", "non-dropping-particle" : "", "parse-names" : false, "suffix" : "" }, { "dropping-particle" : "", "family" : "PILOT-CT Study Group", "given" : "", "non-dropping-particle" : "", "parse-names" : false, "suffix" : "" } ], "container-title" : "Value Health", "id" : "ITEM-8", "issue" : "1", "issued" : { "date-parts" : [ [ "2006" ] ] }, "page" : "1-11", "title" : "Systematic screening for Chlamydia trachomatis: estimating cost-effectiveness using dynamic modeling and Dutch data.", "type" : "article-journal", "volume" : "9" }, "uris" : [ "http://www.mendeley.com/documents/?uuid=61604c03-0238-4209-a717-7a9a4a4c0970", "http://www.mendeley.com/documents/?uuid=e6b2746c-5513-35bc-a1ee-f7a7254cb93e", "http://www.mendeley.com/documents/?uuid=2d61563e-8684-4feb-ba43-30397835661b" ] }, { "id" : "ITEM-9", "itemData" : { "ISSN" : "1742-4682", "PMID" : "24476335", "abstract" : "Transmission dynamic models linked to economic analyses often form part of the decision making process when introducing new chlamydia screening interventions. Outputs from these transmission dynamic models can vary depending on the values of the parameters used to describe the infection. Therefore these values can have an important influence on policy and resource allocation. The risk of progression from infection to pelvic inflammatory disease has been extensively studied but the parameters which govern the transmission dynamics are frequently neglected. We conducted a systematic review of transmission dynamic models linked to economic analyses of chlamydia screening interventions to critically assess the source and variability of the proportion of infections that are asymptomatic, the duration of infection and the transmission probability. We identified nine relevant studies in Pubmed, Embase and the Cochrane database. We found that there is a wide variation in their natural history parameters, including an absolute difference in the proportion of asymptomatic infections of 25% in women and 75% in men, a six-fold difference in the duration of asymptomatic infection and a four-fold difference in the per act transmission probability. We consider that much of this variation can be explained by a lack of consensus in the literature. We found that a significant proportion of parameter values were referenced back to the early chlamydia literature, before the introduction of nucleic acid modes of diagnosis and the widespread testing of asymptomatic individuals. In conclusion, authors should use high quality contemporary evidence to inform their parameter values, clearly document their assumptions and make appropriate use of sensitivity analysis. This will help to make models more transparent and increase their utility to policy makers.", "author" : [ { "dropping-particle" : "", "family" : "Davies", "given" : "Bethan", "non-dropping-particle" : "", "parse-names" : false, "suffix" : "" }, { "dropping-particle" : "", "family" : "Anderson", "given" : "Sarah-Jane", "non-dropping-particle" : "", "parse-names" : false, "suffix" : "" }, { "dropping-particle" : "", "family" : "Turner", "given" : "Katy M E", "non-dropping-particle" : "", "parse-names" : false, "suffix" : "" }, { "dropping-particle" : "", "family" : "Ward", "given" : "Helen", "non-dropping-particle" : "", "parse-names" : false, "suffix" : "" } ], "container-title" : "Theor Biol Med Model", "id" : "ITEM-9", "issued" : { "date-parts" : [ [ "2014" ] ] }, "page" : "8", "title" : "How robust are the natural history parameters used in chlamydia transmission dynamic models? A systematic review.", "type" : "article-journal", "volume" : "11" }, "uris" : [ "http://www.mendeley.com/documents/?uuid=f90fe104-71cf-4538-a950-a8847e13cd93" ] }, { "id" : "ITEM-10", "itemData" : { "ISSN" : "1553-7358", "PMID" : "22570594", "abstract" : "There are four major quantities that are measured in sexual behavior surveys that are thought to be especially relevant for the performance of sexual network models in terms of disease transmission. These are (i) the cumulative distribution of lifetime number of partners, (ii) the distribution of partnership durations, (iii) the distribution of gap lengths between partnerships, and (iv) the number of recent partners. Fitting a network model to these quantities as measured in sexual behavior surveys is expected to result in a good description of Chlamydia trachomatis transmission in terms of the heterogeneity of the distribution of infection in the population. Here we present a simulation model of a sexual contact network, in which we explored the role of behavioral heterogeneity of simulated individuals on the ability of the model to reproduce population-level sexual survey data from the Netherlands and UK. We find that a high level of heterogeneity in the ability of individuals to acquire and maintain (additional) partners strongly facilitates the ability of the model to accurately simulate the powerlaw-like distribution of the lifetime number of partners, and the age at which these partnerships were accumulated, as surveyed in actual sexual contact networks. Other sexual network features, such as the gap length between partnerships and the partnership duration, could-at the current level of detail of sexual survey data against which they were compared-be accurately modeled by a constant value (for transitional concurrency) and by exponential distributions (for partnership duration). Furthermore, we observe that epidemiological measures on disease prevalence in survey data can be used as a powerful tool for building accurate sexual contact networks, as these measures provide information on the level of mixing between individuals of different levels of sexual activity in the population, a parameter that is hard to acquire through surveying individuals.", "author" : [ { "dropping-particle" : "V", "family" : "Schmid", "given" : "Boris", "non-dropping-particle" : "", "parse-names" : false, "suffix" : "" }, { "dropping-particle" : "", "family" : "Kretzschmar", "given" : "Mirjam", "non-dropping-particle" : "", "parse-names" : false, "suffix" : "" } ], "container-title" : "PLoS Comput Biol", "id" : "ITEM-10", "issue" : "4", "issued" : { "date-parts" : [ [ "2012" ] ] }, "page" : "e1002470", "title" : "Determinants of sexual network structure and their impact on cumulative network measures.", "type" : "article-journal", "volume" : "8" }, "uris" : [ "http://www.mendeley.com/documents/?uuid=a1e755bd-090b-4a64-adb0-52e0b3ce18c7", "http://www.mendeley.com/documents/?uuid=5decc760-231c-3da7-ae50-cbe56f48b440", "http://www.mendeley.com/documents/?uuid=3e29bc31-8840-48d7-8340-83e6c302c110" ] } ], "mendeley" : { "formattedCitation" : "&lt;sup&gt;46,47,50\u201353,60,66,68,69&lt;/sup&gt;", "plainTextFormattedCitation" : "46,47,50\u201353,60,66,68,69", "previouslyFormattedCitation" : "&lt;sup&gt;46,47,50\u201353,60,66,68,69&lt;/sup&gt;"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46,47,50–53,60,66,68,69</w:t>
      </w:r>
      <w:r w:rsidRPr="0024409C">
        <w:rPr>
          <w:rFonts w:ascii="Helvetica Neue" w:hAnsi="Helvetica Neue"/>
        </w:rPr>
        <w:fldChar w:fldCharType="end"/>
      </w:r>
      <w:r w:rsidRPr="0024409C">
        <w:rPr>
          <w:rFonts w:ascii="Helvetica Neue" w:hAnsi="Helvetica Neue"/>
        </w:rPr>
        <w:t xml:space="preserve"> but some models have estimates closer to 13–14 days for treated men</w:t>
      </w:r>
      <w:r w:rsidRPr="0024409C">
        <w:rPr>
          <w:rFonts w:ascii="Helvetica Neue" w:hAnsi="Helvetica Neue"/>
        </w:rPr>
        <w:fldChar w:fldCharType="begin" w:fldLock="1"/>
      </w:r>
      <w:r w:rsidR="002E5A1F">
        <w:rPr>
          <w:rFonts w:ascii="Helvetica Neue" w:hAnsi="Helvetica Neue"/>
        </w:rPr>
        <w:instrText>ADDIN CSL_CITATION { "citationItems" : [ { "id" : "ITEM-1",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"ITEM-1",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"ITEM-2",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"ITEM-2",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"ITEM-3", "itemData" : { "ISSN" : "1873-2607", "PMID" : "26952078", "abstract" : "INTRODUCTION In spite of chlamydia screening recommendations, U.S. testing coverage continues to be low. This study explored the cost-effectiveness of a patient-directed, universal, opportunistic Opt-Out Testing strategy (based on insurance coverage, healthcare utilization, and test acceptance probabilities) for all women aged 15-24 years compared with current Risk-Based Screening (30% coverage) from a societal perspective. METHODS Based on insurance coverage (80%); healthcare utilization (83%); and test acceptance (75%), the proposed Opt-Out Testing strategy would have an expected annual testing coverage of approximately 50% for sexually active women aged 15-24 years. A basic compartmental heterosexual transmission model was developed to account for population-level transmission dynamics. Two groups were assumed based on self-reported sexual activity. All model parameters were obtained from the literature. Costs and benefits were tracked over a 50-year period. The relative sensitivity of the estimated incremental cost-effectiveness ratios to the variables/parameters was determined. This study was conducted in 2014-2015. RESULTS Based on the model, the Opt-Out Testing strategy decreased the overall chlamydia prevalence by &gt;55% (2.7% to 1.2%). The Opt-Out Testing strategy was cost saving compared with the current Risk-Based Screening strategy. The estimated incremental cost-effectiveness ratio was most sensitive to the female pre-opt out prevalence, followed by the probability of female sequelae and discount rate. CONCLUSIONS The proposed Opt-Out Testing strategy was cost saving, improving health outcomes at a lower net cost than current testing. However, testing gaps would remain because many women might not have health insurance coverage, or not utilize health care.", "author" : [ { "dropping-particle" : "", "family" : "Owusu-Edusei", "given" : "Kwame", "non-dropping-particle" : "", "parse-names" : false, "suffix" : "" }, { "dropping-particle" : "", "family" : "Hoover", "given" : "Karen W", "non-dropping-particle" : "", "parse-names" : false, "suffix" : "" }, { "dropping-particle" : "", "family" : "Gift", "given" : "Thomas L", "non-dropping-particle" : "", "parse-names" : false, "suffix" : "" } ], "container-title" : "Am J Prev Med", "id" : "ITEM-3", "issue" : "2", "issued" : { "date-parts" : [ [ "2016", "8" ] ] }, "page" : "216-24", "title" : "Cost-effectiveness of opt-out chlamydia testing for high-risk young women in the US", "type" : "article-journal", "volume" : "51" }, "uris" : [ "http://www.mendeley.com/documents/?uuid=9fdf9f8a-a31a-4318-b59a-dcc965726109" ] } ], "mendeley" : { "formattedCitation" : "&lt;sup&gt;58,65,72&lt;/sup&gt;", "plainTextFormattedCitation" : "58,65,72", "previouslyFormattedCitation" : "&lt;sup&gt;58,65,72&lt;/sup&gt;"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58,65,72</w:t>
      </w:r>
      <w:r w:rsidRPr="0024409C">
        <w:rPr>
          <w:rFonts w:ascii="Helvetica Neue" w:hAnsi="Helvetica Neue"/>
        </w:rPr>
        <w:fldChar w:fldCharType="end"/>
      </w:r>
      <w:r w:rsidRPr="0024409C">
        <w:rPr>
          <w:rFonts w:ascii="Helvetica Neue" w:hAnsi="Helvetica Neue"/>
        </w:rPr>
        <w:t xml:space="preserve"> or at a higher range between 112–365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"ITEM-1", "issued" : { "date-parts" : [ [ "2013" ] ] }, "page" : "188", "title" : "Population movement can sustain STI prevalence in remote Australian indigenous communities.", "type" : "article-journal", "volume" : "13" }, "uris" : [ "http://www.mendeley.com/documents/?uuid=439c8ade-8864-4f5e-9dff-966b3d367e00" ] }, { "id" : "ITEM-2",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"ITEM-2",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"ITEM-3",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"ITEM-3",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"ITEM-4",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"ITEM-4",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"&lt;sup&gt;49,54,55,72&lt;/sup&gt;", "plainTextFormattedCitation" : "49,54,55,72", "previouslyFormattedCitation" : "&lt;sup&gt;49,54,55,72&lt;/sup&gt;"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49,54,55,72</w:t>
      </w:r>
      <w:r w:rsidRPr="0024409C">
        <w:rPr>
          <w:rFonts w:ascii="Helvetica Neue" w:hAnsi="Helvetica Neue"/>
        </w:rPr>
        <w:fldChar w:fldCharType="end"/>
      </w:r>
      <w:r w:rsidRPr="0024409C">
        <w:rPr>
          <w:rFonts w:ascii="Helvetica Neue" w:hAnsi="Helvetica Neue"/>
        </w:rPr>
        <w:t xml:space="preserve"> Models which have not specified whether the infection is symptomatic or asymptomatic have widely divergent estimates ranging from 60 days up to 370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"1472-3263", "PMID" : "19854700", "abstract" : "BACKGROUND In settings with poor sexually transmitted infection (STI) control in high-risk groups, periodic presumptive treatment (PPT) can quickly reduce the prevalence of genital ulcers, Neisseria gonorrhoeae (NG) and Chlamydia trachomatis (CT). However, few studies have assessed the impact on HIV. Mathematical modelling is used to quantify the likely HIV impact of different PPT interventions. METHODS A mathematical model was developed to project the impact of PPT on STI/HIV transmission amongst a homogeneous population of female sex workers (FSWs) and their clients. Using data from Johannesburg, the impact of PPT interventions with different coverages and PPT frequencies was estimated. A sensitivity analysis explored how the projections were affected by different model parameters or if the intervention was undertaken elsewhere. RESULTS Substantial decreases in NG/CT prevalence are achieved among FSWs receiving PPT. Although less impact is achieved among all FSWs, large decreases in NG/CT prevalence (&gt;50%) are possible with &gt;30% coverage and supplying PPT every month. Higher PPT frequencies achieve little additional impact, whereas improving coverage increases impact until NG/CT becomes negligible. The impact on HIV incidence is smaller, longer to achieve, and depends heavily on the assumed NG/CT cofactors, whether they are additive, the assumed STI/HIV transmission probabilities and STI durations. Greater HIV impact can be achieved in settings with lower sexual activity (except at high coverage), less STI treatment or high prevalences of Haemophilus ducreyi. CONCLUSIONS Despite the model's assumption of homogeneous risk behaviour probably resulting in optimistic projections, and uncertainty in STI cofactors and transmission probabilities, projections suggest PPT interventions with sufficient coverage (&gt; or = 40%) and follow-up (&gt; or = 2 years) could noticeably decrease the HIV incidence (&gt;20%) among FSW populations with inadequate STI treatment.", "author" : [ { "dropping-particle" : "", "family" : "Vickerman", "given" : "Peter", "non-dropping-particle" : "", "parse-names" : false, "suffix" : "" }, { "dropping-particle" : "", "family" : "Ndowa", "given" : "Francis", "non-dropping-particle" : "", "parse-names" : false, "suffix" : "" }, { "dropping-particle" : "", "family" : "O'Farrell", "given" : "Nigel", "non-dropping-particle" : "", "parse-names" : false, "suffix" : "" }, { "dropping-particle" : "", "family" : "Steen", "given" : "Richard", "non-dropping-particle" : "", "parse-names" : false, "suffix" : "" }, { "dropping-particle" : "", "family" : "Alary", "given" : "Michel", "non-dropping-particle" : "", "parse-names" : false, "suffix" : "" }, { "dropping-particle" : "", "family" : "Delany-Moretlwe", "given" : "Sinead", "non-dropping-particle" : "", "parse-names" : false, "suffix" : "" } ], "container-title" : "Sex Transm Infect", "id" : "ITEM-1", "issue" : "3", "issued" : { "date-parts" : [ [ "2010", "6" ] ] }, "page" : "163-8", "title" : "Using mathematical modelling to estimate the impact of periodic presumptive treatment on the transmission of sexually transmitted infections and HIV among female sex workers.", "type" : "article-journal", "volume" : "86" }, "uris" : [ "http://www.mendeley.com/documents/?uuid=a144e9a2-eb8c-34a9-8395-1ed13bd74440", "http://www.mendeley.com/documents/?uuid=a78f9cc5-0c6f-41b1-91c9-c31233f6e918" ] }, { "id" : "ITEM-2", "itemData" : { "ISSN" : "0022-1899", "PMID" : "16235186", "abstract" : "BACKGROUND After the introduction of a program to control Chlamydia trachomatis infection in British Columbia, Canada, case rates fell from 216 cases/100,000 population in 1991 to 104 cases/100,000 population in 1997. Since 1998, rates have increased, and case counts now exceed those recorded before the intervention. METHODS We used Cox proportional-hazards survival analysis and developed a compartmental mathematical model to investigate the cause of resurgence in chlamydia cases. RESULTS Cox proportional-hazards survival analysis showed that the relative risk of C. trachomatis reinfection has increased 4.6% per year since 1989, with the increased risk greatest among the young and greater among women than men. A compartmental mathematical model of C. trachomatis transmission showed that a control strategy based on shortening the average duration of infection results in an early reduction in prevalence followed by a rebound in prevalence, reproducing the observed trends. CONCLUSIONS We speculate that a C. trachomatis infection control program based on early case identification and treatment interferes with the effects of immunity on population susceptibility to infection and that, in the absence of strategies to alter sexual networks, a vaccine will be needed to halt the spread of infection at the population level.", "author" : [ { "dropping-particle" : "", "family" : "Brunham", "given" : "Robert C", "non-dropping-particle" : "", "parse-names" : false, "suffix" : "" }, { "dropping-particle" : "", "family" : "Pourbohloul", "given" : "Babak", "non-dropping-particle" : "", "parse-names" : false, "suffix" : "" }, { "dropping-particle" : "", "family" : "Mak", "given" : "Sunny", "non-dropping-particle" : "", "parse-names" : false, "suffix" : "" }, { "dropping-particle" : "", "family" : "White", "given" : "Rick", "non-dropping-particle" : "", "parse-names" : false, "suffix" : "" }, { "dropping-particle" : "", "family" : "Rekart", "given" : "Michael L", "non-dropping-particle" : "", "parse-names" : false, "suffix" : "" } ], "container-title" : "J Inf Dis", "id" : "ITEM-2", "issue" : "10", "issued" : { "date-parts" : [ [ "2005", "11" ] ] }, "page" : "1836-44", "title" : "The unexpected impact of a Chlamydia trachomatis infection control program on susceptibility to reinfection.", "type" : "article-journal", "volume" : "192" }, "uris" : [ "http://www.mendeley.com/documents/?uuid=ca251dcb-b2d8-3918-bf93-c2a4d049648a", "http://www.mendeley.com/documents/?uuid=187a20b4-7c75-4d09-b1c6-99a502546ada" ] }, { "id" : "ITEM-3", "itemData" : { "ISSN" : "1932-6203", "PMID" : "23251534", "abstract" : "Partner notification (PN or contact tracing) is an important aspect of treating bacterial sexually transmitted infections (STIs), such as Chlamydia trachomatis. It facilitates the identification of new infected cases that can be treated through individual case management. PN also acts indirectly by limiting onward transmission in the general population. However, the impact of PN, both at the level of individuals and the population, remains unclear. Since it is difficult to study the effects of PN empirically, mathematical and computational models are useful tools for investigating its potential as a public health intervention. To this end, we developed an individual-based modeling framework called Rstisim. It allows the implementation of different models of STI transmission with various levels of complexity and the reconstruction of the complete dynamic sexual partnership network over any time period. A key feature of this framework is that we can trace an individual's partnership history in detail and investigate the outcome of different PN strategies for C. trachomatis. For individual case management, the results suggest that notifying three or more partners from the preceding 18 months yields substantial numbers of new cases. In contrast, the successful treatment of current partners is most important for preventing re-infection of index cases and reducing further transmission of C. trachomatis at the population level. The findings of this study demonstrate the difference between individual and population level outcomes of public health interventions for STIs.", "author" : [ { "dropping-particle" : "", "family" : "Althaus", "given" : "Christian L", "non-dropping-particle" : "", "parse-names" : false, "suffix" : "" }, { "dropping-particle" : "", "family" : "Heijne", "given" : "Janneke C M", "non-dropping-particle" : "", "parse-names" : false, "suffix" : "" }, { "dropping-particle" : "", "family" : "Herzog", "given" : "Sereina A", "non-dropping-particle" : "", "parse-names" : false, "suffix" : "" }, { "dropping-particle" : "", "family" : "Roellin", "given" : "Adrian", "non-dropping-particle" : "", "parse-names" : false, "suffix" : "" }, { "dropping-particle" : "", "family" : "Low", "given" : "Nicola", "non-dropping-particle" : "", "parse-names" : false, "suffix" : "" } ], "container-title" : "PLoS ONE", "id" : "ITEM-3", "issue" : "12", "issued" : { "date-parts" : [ [ "2012" ] ] }, "page" : "e51438", "title" : "Individual and population level effects of partner notification for Chlamydia trachomatis.", "type" : "article-journal", "volume" : "7" }, "uris" : [ "http://www.mendeley.com/documents/?uuid=44fbd593-42c5-44d8-b09b-d3a92ac88f8b" ] }, { "id" : "ITEM-4", "itemData" : { "ISSN" : "1472-3263", "PMID" : "22683893", "abstract" : "OBJECTIVES The objective of this study was to determine the optimal time interval for a repeated Chlamydia trachomatis (chlamydia) test. METHODS The authors used claims data for US women aged 15-25 years who were enrolled in commercial health insurance plans in the MarketScan database between 2002 and 2006. The authors determined the numbers of initial positive and negative tests that were followed by a repeated test and the positivity of repeated tests. The authors used a dynamic transmission pair model that reflects the partnership formation and separation processes in 15-25 year olds to determine the time course of repeated infections in women under different levels of notifying the current partner. The authors then explored the additional impact of repeated testing uptake on reducing chlamydia prevalence. RESULTS 40% (4949/12 413) of positive tests were followed by a repeated test compared with 22% (89 119/402 659) of negative tests at any time. Positivity of repeated tests followed by an initial positive test was high: 15% (736) after a positive test versus 3% (2886) after a negative test. The transmission model showed a peak in repeated infections between 2 and 5 months after treatment. For a chlamydia testing uptake of 10% per year, the additional impact of repeated testing on reducing chlamydia population prevalence was modest. CONCLUSIONS The mathematical model predictions support the recommended interval for repeat chlamydia testing. This study provides information that can be used to design randomised controlled trials to determine more effective interventions to prevent chlamydial reinfection.", "author" : [ { "dropping-particle" : "", "family" : "Heijne", "given" : "Janneke Cornelia Maria", "non-dropping-particle" : "", "parse-names" : false, "suffix" : "" }, { "dropping-particle" : "", "family" : "Herzog", "given" : "Sereina Annik", "non-dropping-particle" : "", "parse-names" : false, "suffix" : "" }, { "dropping-particle" : "", "family" : "Althaus", "given" : "Christian Lorenz", "non-dropping-particle" : "", "parse-names" : false, "suffix" : "" }, { "dropping-particle" : "", "family" : "Tao", "given" : "Guoyu", "non-dropping-particle" : "", "parse-names" : false, "suffix" : "" }, { "dropping-particle" : "", "family" : "Kent", "given" : "Charlotte Kathleen", "non-dropping-particle" : "", "parse-names" : false, "suffix" : "" }, { "dropping-particle" : "", "family" : "Low", "given" : "Nicola", "non-dropping-particle" : "", "parse-names" : false, "suffix" : "" } ], "container-title" : "Sex Transm Infect", "id" : "ITEM-4", "issue" : "1", "issued" : { "date-parts" : [ [ "2013", "2" ] ] }, "page" : "57-62", "title" : "Insights into the timing of repeated testing after treatment for Chlamydia trachomatis: data and modelling study.", "type" : "article-journal", "volume" : "89" }, "uris" : [ "http://www.mendeley.com/documents/?uuid=9698cc20-2eec-4f3d-a54d-c48f804eb8ae" ] }, { "id" : "ITEM-5",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"ITEM-5",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"id" : "ITEM-6", "itemData" : { "ISSN" : "1522-9602", "PMID" : "23812958", "abstract" : "Using a modified one-dimensional model for the spread of an SIS disease on a network, we show that the behaviour of complex network simulations can be replicated with a simpler model. This model is then used to design optimal controls for use on the network, which would otherwise be unfeasible to obtain, resulting in information about how best to combine a population-level random intervention with one that is more targeted. This technique is used to minimise intervention costs over a short time interval with a target prevalence, and also to minimise prevalence with a specified budget. When applied to chlamydia, we find results consistent with previous work; that is maximising targeted control (contact tracing) is important to using resources effectively, while high-intensity bursts of population control (screening) are more effective than maintaining a high level of coverage.", "author" : [ { "dropping-particle" : "", "family" : "Clarke", "given" : "James", "non-dropping-particle" : "", "parse-names" : false, "suffix" : "" }, { "dropping-particle" : "", "family" : "White", "given" : "K A Jane", "non-dropping-particle" : "", "parse-names" : false, "suffix" : "" }, { "dropping-particle" : "", "family" : "Turner", "given" : "Katy", "non-dropping-particle" : "", "parse-names" : false, "suffix" : "" } ], "container-title" : "Bull Math Biol", "id" : "ITEM-6", "issue" : "10", "issued" : { "date-parts" : [ [ "2013", "10" ] ] }, "page" : "1747-77", "title" : "Approximating optimal controls for networks when there are combinations of population-level and targeted measures available: chlamydia infection as a case-study.", "type" : "article-journal", "volume" : "75" }, "uris" : [ "http://www.mendeley.com/documents/?uuid=b36455f4-14c8-46ca-a3d7-23ea1b621524", "http://www.mendeley.com/documents/?uuid=9e713392-1194-3468-8c9c-f68ada75ebb0", "http://www.mendeley.com/documents/?uuid=c2407835-d010-421e-bb74-c067f56c266b" ] }, { "id" : "ITEM-7", "itemData" : { "ISSN" : "1368-4973", "PMID" : "17151036", "abstract" : "BACKGROUND Several developed countries have initiated chlamydia screening programmes. Screening for a sexually transmitted infection has both direct individual and indirect population-wide effects. Mathematical models can incorporate these non-linear effects and estimate the likely impact of different screening programmes and identify areas where more data are needed. METHODS A stochastic, individual based dynamic network model, parameterised from UK screening studies and data on sexual behaviour and chlamydia epidemiology, was used to investigate the likely impact of opportunistic screening on chlamydia prevalence. Three main strategies were considered for &lt;25 year olds: (1) annual offer to women; (2) annual offer to women or if changed partner within last 6 months; (3) annual offer to men and women. Sensitivity analyses were performed for key screening parameters including uptake rate, targeted age range, percentage of partners notified, and screening interval. RESULTS Under strategy 1, continuous opportunistic screening of women &lt;25 years of age is expected to reduce the population prevalence by over 50% after 5 years. Prevalence is also expected to decrease in unscreened older women and in men. For all three strategies screening those aged over 25 results in small additional reductions in prevalence. Including men led to a faster and greater reduction in overall prevalence, but involved approximately twice as many tests as strategy 1 and 10% more than strategy 2. The frequency of attendance at healthcare sites limits the number of opportunities to screen and the effect of changing the screening interval. CONCLUSIONS The model suggests that continuous opportunistic screening at high uptake rates could significantly reduced chlamydia prevalence within a few years. Opportunistic programmes depend on regular attendance at healthcare providers, but there is a lack of high quality data on patterns of attendance. Inequalities in coverage may result in a less efficient and less equitable outcome.", "author" : [ { "dropping-particle" : "", "family" : "Turner", "given" : "K M E", "non-dropping-particle" : "", "parse-names" : false, "suffix" : "" }, { "dropping-particle" : "", "family" : "Adams", "given" : "E J", "non-dropping-particle" : "", "parse-names" : false, "suffix" : "" }, { "dropping-particle" : "", "family" : "Lamontagne", "given" : "D S", "non-dropping-particle" : "", "parse-names" : false, "suffix" : "" }, { "dropping-particle" : "", "family" : "Emmett", "given" : "L", "non-dropping-particle" : "", "parse-names" : false, "suffix" : "" }, { "dropping-particle" : "", "family" : "Baster", "given" : "K", "non-dropping-particle" : "", "parse-names" : false, "suffix" : "" }, { "dropping-particle" : "", "family" : "Edmunds", "given" : "W J", "non-dropping-particle" : "", "parse-names" : false, "suffix" : "" } ], "container-title" : "Sex Transm Infect", "id" : "ITEM-7", "issue" : "6", "issued" : { "date-parts" : [ [ "2006", "12" ] ] }, "page" : "496-502", "title" : "Modelling the effectiveness of chlamydia screening in England.", "type" : "article-journal", "volume" : "82" }, "uris" : [ "http://www.mendeley.com/documents/?uuid=0adc53e8-21ac-464f-a345-005c96085f03", "http://www.mendeley.com/documents/?uuid=3fae35ac-da4e-3e19-968e-7807db9e3f34", "http://www.mendeley.com/documents/?uuid=a21c980e-1ec8-4fdd-8cd6-5c52ec096ae0" ] } ], "mendeley" : { "formattedCitation" : "&lt;sup&gt;45,48,62,67,73,101,102&lt;/sup&gt;", "plainTextFormattedCitation" : "45,48,62,67,73,101,102", "previouslyFormattedCitation" : "&lt;sup&gt;45,48,62,67,73,101,102&lt;/sup&gt;"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45,48,62,67,73,101,102</w:t>
      </w:r>
      <w:r w:rsidRPr="0024409C">
        <w:rPr>
          <w:rFonts w:ascii="Helvetica Neue" w:hAnsi="Helvetica Neue"/>
        </w:rPr>
        <w:fldChar w:fldCharType="end"/>
      </w:r>
      <w:r w:rsidRPr="0024409C">
        <w:rPr>
          <w:rFonts w:ascii="Helvetica Neue" w:hAnsi="Helvetica Neue"/>
        </w:rPr>
        <w:t xml:space="preserve"> Some models specify the length of an infectious stage ranging from 3 weeks in treated infection up to 457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"ITEM-1",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 }, { "id" : "ITEM-2", "itemData" : { "ISSN" : "0300-5771", "author" : [ { "dropping-particle" : "", "family" : "Stigum", "given" : "Hein", "non-dropping-particle" : "", "parse-names" : false, "suffix" : "" }, { "dropping-particle" : "", "family" : "Magnus", "given" : "Per", "non-dropping-particle" : "", "parse-names" : false, "suffix" : "" }, { "dropping-particle" : "", "family" : "Veierod", "given" : "Marit", "non-dropping-particle" : "", "parse-names" : false, "suffix" : "" }, { "dropping-particle" : "", "family" : "Bakketeig", "given" : "Leiv S", "non-dropping-particle" : "", "parse-names" : false, "suffix" : "" } ], "container-title" : "Int J Epidem", "id" : "ITEM-2", "issue" : "4", "issued" : { "date-parts" : [ [ "1995" ] ] }, "page" : "813-820", "publisher" : "Oxford University Press", "title" : "Impact on Sexually Transmitted Disease Spread of Increased Condom Use by Young Females, 1987\u20131992", "type" : "article-journal", "volume" : "24" }, "uris" : [ "http://www.mendeley.com/documents/?uuid=fc5b02b4-bb3e-4e0f-9e83-3adac47bbe37" ] } ], "mendeley" : { "formattedCitation" : "&lt;sup&gt;43,76&lt;/sup&gt;", "plainTextFormattedCitation" : "43,76", "previouslyFormattedCitation" : "&lt;sup&gt;43,76&lt;/sup&gt;"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43,76</w:t>
      </w:r>
      <w:r w:rsidRPr="0024409C">
        <w:rPr>
          <w:rFonts w:ascii="Helvetica Neue" w:hAnsi="Helvetica Neue"/>
        </w:rPr>
        <w:fldChar w:fldCharType="end"/>
      </w:r>
      <w:r w:rsidRPr="0024409C">
        <w:rPr>
          <w:rFonts w:ascii="Helvetica Neue" w:hAnsi="Helvetica Neue"/>
        </w:rPr>
        <w:t xml:space="preserve"> while </w:t>
      </w:r>
      <w:proofErr w:type="spellStart"/>
      <w:r w:rsidRPr="0024409C">
        <w:rPr>
          <w:rFonts w:ascii="Helvetica Neue" w:hAnsi="Helvetica Neue"/>
        </w:rPr>
        <w:t>Welte</w:t>
      </w:r>
      <w:proofErr w:type="spellEnd"/>
      <w:r w:rsidRPr="0024409C">
        <w:rPr>
          <w:rFonts w:ascii="Helvetica Neue" w:hAnsi="Helvetica Neue"/>
        </w:rPr>
        <w:t xml:space="preserve"> et al. estimate the incubation time of CT as 12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"PMID" : "16041248", "abstract" : "OBJECTIVE The objective of this study was to assess the impact of modeling type on the economic evaluation of screening programs for asymptomatic Chlamydia trachomatis infections. STUDY We compared a stochastic network simulation model (dynamic model) with a decision analysis model (static model) for estimating the cost-effectiveness of an opportunistic screening program. The influence of the model type on the required data, the computed results, and the sensitivity of model parameters were investigated. RESULTS When compared with static modeling, dynamic modeling yielded different cost-effectiveness ratios and identified other optimal screening strategies as it considers changes in the force of infection caused by screening. However, it is more complex, data- and time-demanding, and more sensitive to some parameters affecting the force of infection than static modeling. CONCLUSIONS Dynamic models should be applied for the economic evaluation of prevention measures that have the potential to lower the force of infection such as large-scale chlamydial screening programs.", "author" : [ { "dropping-particle" : "", "family" : "Welte", "given" : "Robert", "non-dropping-particle" : "", "parse-names" : false, "suffix" : "" }, { "dropping-particle" : "", "family" : "Postma", "given" : "Maarten", "non-dropping-particle" : "", "parse-names" : false, "suffix" : "" }, { "dropping-particle" : "", "family" : "Leidl", "given" : "Reiner", "non-dropping-particle" : "", "parse-names" : false, "suffix" : "" }, { "dropping-particle" : "", "family" : "Kretzschmar", "given" : "Mirjam", "non-dropping-particle" : "", "parse-names" : false, "suffix" : "" } ], "container-title" : "Sex Transm Dis", "id" : "ITEM-1", "issue" : "8", "issued" : { "date-parts" : [ [ "2005", "8" ] ] }, "page" : "474-83", "title" : "Costs and effects of chlamydial screening: dynamic versus static modeling.", "type" : "article-journal", "volume" : "32" }, "uris" : [ "http://www.mendeley.com/documents/?uuid=e09e3f5e-a85f-4dde-85a0-b1861d31674c", "http://www.mendeley.com/documents/?uuid=450d2aca-0702-33b7-a297-9c0c2cb83c3b" ] } ], "mendeley" : { "formattedCitation" : "&lt;sup&gt;52&lt;/sup&gt;", "plainTextFormattedCitation" : "52", "previouslyFormattedCitation" : "&lt;sup&gt;52&lt;/sup&gt;"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52</w:t>
      </w:r>
      <w:r w:rsidRPr="0024409C">
        <w:rPr>
          <w:rFonts w:ascii="Helvetica Neue" w:hAnsi="Helvetica Neue"/>
        </w:rPr>
        <w:fldChar w:fldCharType="end"/>
      </w:r>
    </w:p>
    <w:p w14:paraId="0B62B580" w14:textId="77777777" w:rsidR="00A5457A" w:rsidRDefault="00A5457A" w:rsidP="00A5457A">
      <w:pPr>
        <w:spacing w:line="360" w:lineRule="auto"/>
        <w:rPr>
          <w:rFonts w:ascii="Helvetica Neue" w:hAnsi="Helvetica Neue"/>
        </w:rPr>
      </w:pPr>
    </w:p>
    <w:p w14:paraId="1410850C" w14:textId="2B1056F3" w:rsidR="00EA384A" w:rsidRPr="0024409C" w:rsidRDefault="00EA384A" w:rsidP="00A5457A">
      <w:pPr>
        <w:spacing w:line="360" w:lineRule="auto"/>
        <w:rPr>
          <w:rFonts w:ascii="Helvetica Neue" w:hAnsi="Helvetica Neue"/>
        </w:rPr>
      </w:pPr>
      <w:r w:rsidRPr="0024409C">
        <w:rPr>
          <w:rFonts w:ascii="Helvetica Neue" w:hAnsi="Helvetica Neue"/>
        </w:rPr>
        <w:t>For models specifying the duration of an asymptomatic CT infection, estimates tend to cluster between 200–240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"ITEM-1", "issued" : { "date-parts" : [ [ "2013" ] ] }, "page" : "188", "title" : "Population movement can sustain STI prevalence in remote Australian indigenous communities.", "type" : "article-journal", "volume" : "13" }, "uris" : [ "http://www.mendeley.com/documents/?uuid=439c8ade-8864-4f5e-9dff-966b3d367e00" ] }, { "id" : "ITEM-2",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"ITEM-2",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"ITEM-3", "itemData" : { "ISSN" : "1537-4521", "PMID" : "22504590", "abstract" : "OBJECTIVES Model impact of increasing screening and partner notification (PN) on chlamydia positivity. METHODS We used a stochastic simulation model describing pair formation and dissolution in an age-structured heterosexual population. The model accounts for steady, casual, and concurrent partnerships and a highly sexually active core group. The model used existing sexual behavior data from the United States and was validated using chlamydia positivity data from Region X (Alaska, Idaho, Oregon, Washington). A screening program with a coverage rate of 20% was implemented among women aged 15 to 24 years. After 10 years, we increased screening coverage to 35%, 50%, and 65% and partner treatment rates from 20% to 40% and 55%. Finally, we included male screening (aged 15-24, screening coverage: 20% and 35%, partner treatment: 25% and 40%). We analyzed the effects on chlamydia positivity in women and the frequency of reinfection 6 months after treatment. RESULTS The model described the decline in positivity observed from 1988 to 1997 in Region X, given screening coverage of 20% and a 25% partner treatment rate. Increasing screening coverage from 35% to 65% resulted in incremental decreases in positivity as did increasing the PN rate; a 23% reduction in positivity was achieved by either increasing screening by 3-fold or PN by 2-fold. Adding male screening to the program had less impact than increasing screening coverage or PN among women. Increased PN and treatment reduced reinfection rates considerably. CONCLUSIONS Increasing efforts in PN may contribute at least as much to control of chlamydia infection as increasing screening coverage rates.", "author" : [ { "dropping-particle" : "", "family" : "Kretzschmar", "given" : "Mirjam", "non-dropping-particle" : "", "parse-names" : false, "suffix" : "" }, { "dropping-particle" : "", "family" : "Satterwhite", "given" : "Catherine", "non-dropping-particle" : "", "parse-names" : false, "suffix" : "" }, { "dropping-particle" : "", "family" : "Leichliter", "given" : "Jami", "non-dropping-particle" : "", "parse-names" : false, "suffix" : "" }, { "dropping-particle" : "", "family" : "Berman", "given" : "Stuart", "non-dropping-particle" : "", "parse-names" : false, "suffix" : "" } ], "container-title" : "Sex Transm Dis", "id" : "ITEM-3", "issue" : "5", "issued" : { "date-parts" : [ [ "2012", "5" ] ] }, "page" : "325-31", "title" : "Effects of screening and partner notification on Chlamydia positivity in the United States: a modeling study.", "type" : "article-journal", "volume" : "39" }, "uris" : [ "http://www.mendeley.com/documents/?uuid=9e28b657-b832-4f92-822f-ede371cccbda" ] }, { "id" : "ITEM-4", "itemData" : { "ISSN" : "0148-5717", "PMID" : "16601656", "abstract" : "OBJECTIVE To estimate the incremental effects and costs of a home sampling screening approach for Chlamydia trachomatis over the current in-office screening practice in Denmark. GOALS To assess the effect of a new screening strategy. STUDY DESIGN A dynamic Monte Carlo model estimated prevalence and incidence over 10 years for a home sampling screening program and the current in-office screening. Subsequently, the incremental number of major outcomes averted (MOA) and the related direct and indirect costs were estimated. RESULTS Infection prevalence after 10 years was 1.0% with a home sampling program and 4.2% with the current in-office screening practice. The total costs per MOA reached 3186 US dollars during the first year of the home sampling strategy, but in year 4, the accumulated indirect costs offset the direct costs, and the program henceforth saved society costs. CONCLUSIONS Home sampling should be considered a relevant alternative to the current practice of in-office screening.", "author" : [ { "dropping-particle" : "", "family" : "Andersen", "given" : "Berit", "non-dropping-particle" : "", "parse-names" : false, "suffix" : "" }, { "dropping-particle" : "", "family" : "Gundgaard", "given" : "Jens", "non-dropping-particle" : "", "parse-names" : false, "suffix" : "" }, { "dropping-particle" : "", "family" : "Kretzschmar", "given" : "Mirjam", "non-dropping-particle" : "", "parse-names" : false, "suffix" : "" }, { "dropping-particle" : "", "family" : "Olsen", "given" : "Jens", "non-dropping-particle" : "", "parse-names" : false, "suffix" : "" }, { "dropping-particle" : "", "family" : "Welte", "given" : "Robert", "non-dropping-particle" : "", "parse-names" : false, "suffix" : "" }, { "dropping-particle" : "", "family" : "Oster-Gaard", "given" : "Lars", "non-dropping-particle" : "", "parse-names" : false, "suffix" : "" } ], "container-title" : "Sex Transm Dis", "id" : "ITEM-4", "issue" : "7", "issued" : { "date-parts" : [ [ "2006", "7" ] ] }, "page" : "407-15", "title" : "Prediction of costs, effectiveness, and disease control of a population-based program using home sampling for diagnosis of urogenital Chlamydia trachomatis infections", "type" : "article-journal", "volume" : "33" }, "uris" : [ "http://www.mendeley.com/documents/?uuid=ad4655e6-1796-4a64-b0b1-a55b81b1875a" ] }, { "id" : "ITEM-5", "itemData" : { "ISSN" : "1471-2334", "PMID" : "24047261", "abstract" : "BACKGROUND Recent studies have found high prevalences of asymptomatic rectal chlamydia among HIV-infected men who have sex with men (MSM). Chlamydia could increase the infectivity of HIV and the susceptibility to HIV infection. We investigate the role of chlamydia in the spread of HIV among MSM and the possible impact of routine chlamydia screening among HIV-infected MSM at HIV treatment centres on the incidence of chlamydia and HIV in the overall MSM population. METHODS A mathematical model was developed to describe the transmission of HIV and chlamydia among MSM. Parameters relating to sexual behaviour were estimated from data from the Amsterdam Cohort Study among MSM. Uncertainty analysis was carried out for model parameters without confident estimates. The effects of different screening strategies for chlamydia were investigated. RESULTS Among all new HIV infections in MSM, 15% can be attributed to chlamydia infection. Introduction of routine chlamydia screening every six months among HIV-infected MSM during regular HIV consultations can reduce the incidence of both infections among MSM: after 10 years, the relative percentage reduction in chlamydia incidence would be 15% and in HIV incidence 4%, compared to the current situation. Chlamydia screening is more effective in reducing HIV incidence with more frequent screening and with higher participation of the most risky MSM in the screening program. CONCLUSIONS Chlamydia infection could contribute to the transmission of HIV among MSM. Preventive measures reducing chlamydia prevalence, such as routine chlamydia screening of HIV-infected MSM, can result in a decline in the incidence of chlamydia and HIV.", "author" : [ { "dropping-particle" : "", "family" : "Xiridou", "given" : "Maria", "non-dropping-particle" : "", "parse-names" : false, "suffix" : "" }, { "dropping-particle" : "", "family" : "Vriend", "given" : "Henrike J", "non-dropping-particle" : "", "parse-names" : false, "suffix" : "" }, { "dropping-particle" : "", "family" : "Lugner", "given" : "Anna K", "non-dropping-particle" : "", "parse-names" : false, "suffix" : "" }, { "dropping-particle" : "", "family" : "Wallinga", "given" : "Jacco", "non-dropping-particle" : "", "parse-names" : false, "suffix" : "" }, { "dropping-particle" : "", "family" : "Fennema", "given" : "Johannes S", "non-dropping-particle" : "", "parse-names" : false, "suffix" : "" }, { "dropping-particle" : "", "family" : "Prins", "given" : "Jan M", "non-dropping-particle" : "", "parse-names" : false, "suffix" : "" }, { "dropping-particle" : "", "family" : "Geerlings", "given" : "Suzanne E", "non-dropping-particle" : "", "parse-names" : false, "suffix" : "" }, { "dropping-particle" : "", "family" : "Rijnders", "given" : "Bart J A", "non-dropping-particle" : "", "parse-names" : false, "suffix" : "" }, { "dropping-particle" : "", "family" : "Prins", "given" : "Maria", "non-dropping-particle" : "", "parse-names" : false, "suffix" : "" }, { "dropping-particle" : "", "family" : "Vries", "given" : "Henry J C", "non-dropping-particle" : "de", "parse-names" : false, "suffix" : "" }, { "dropping-particle" : "", "family" : "Postma", "given" : "Maarten J", "non-dropping-particle" : "", "parse-names" : false, "suffix" : "" }, { "dropping-particle" : "", "family" : "Veen", "given" : "Maaike G", "non-dropping-particle" : "van", "parse-names" : false, "suffix" : "" }, { "dropping-particle" : "", "family" : "Schim van der Loeff", "given" : "Maarten F", "non-dropping-particle" : "", "parse-names" : false, "suffix" : "" }, { "dropping-particle" : "", "family" : "Sande", "given" : "Marianne A B", "non-dropping-particle" : "van der", "parse-names" : false, "suffix" : "" } ], "container-title" : "BMC Infect Dis", "id" : "ITEM-5", "issued" : { "date-parts" : [ [ "2013" ] ] }, "page" : "436", "title" : "Modelling the impact of chlamydia screening on the transmission of HIV among men who have sex with men.", "type" : "article-journal", "volume" : "13" }, "uris" : [ "http://www.mendeley.com/documents/?uuid=7ec86703-a8f1-47e5-ac4b-e7b75b8fa671" ] }, { "id" : "ITEM-6", "itemData" : { "ISSN" : "0002-9262", "PMID" : "11159151", "abstract" : "The design of a screening program for asymptomatic genital infections with Chlamydia trachomatis, requires decisions about which sex or age group should be targeted and whether partner referral should be included in the program. To investigate the effects of various screening programs on the prevalence and incidence of asymptomatic C. trachomatis infections in women, in May 1996 to April 1997 in Bilthoven, the Netherlands, the authors used a stochastic simulation model for C. trachomatis transmission in an age-structured, heterosexual population with a sexually highly active core group. Different screening scenarios were implemented over a time period of 10 years. Prevalence, incidence, and the fraction of infected persons found by partner referral were computed. Through screening of men and women between ages 15 and 24 years (baseline scenario), the prevalence of asymptomatic infections in women could be reduced from 4.2% to 1.4% in 10 years. Increasing the age range of screening up to ages 29 or 34 years led to prevalences of 0.4% and 0.06%, respectively, after 10 years. About 28% of all infected persons were found via partner referral. There are considerable indirect positive effects of screening on those population groups that are not included in the screening because of the reduced risk of becoming infected. Partner referral contributes substantially to prevalence reduction.", "author" : [ { "dropping-particle" : "", "family" : "Kretzschmar", "given" : "M", "non-dropping-particle" : "", "parse-names" : false, "suffix" : "" }, { "dropping-particle" : "", "family" : "Welte", "given" : "R", "non-dropping-particle" : "", "parse-names" : false, "suffix" : "" }, { "dropping-particle" : "", "family" : "Hoek", "given" : "A", "non-dropping-particle" : "van den", "parse-names" : false, "suffix" : "" }, { "dropping-particle" : "", "family" : "Postma", "given" : "M J", "non-dropping-particle" : "", "parse-names" : false, "suffix" : "" } ], "container-title" : "Am J Epidemiol", "id" : "ITEM-6", "issue" : "1", "issued" : { "date-parts" : [ [ "2001", "1", "1" ] ] }, "page" : "90-101", "title" : "Comparative model-based analysis of screening programs for Chlamydia trachomatis infections.", "type" : "article-journal", "volume" : "153" }, "uris" : [ "http://www.mendeley.com/documents/?uuid=37158024-4fed-4aa7-8960-1c7d1c10b124" ] }, { "id" : "ITEM-7",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"ITEM-7",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"http://www.mendeley.com/documents/?uuid=93e7454a-e118-4317-ab45-7e66a2966e79" ] }, { "id" : "ITEM-8", "itemData" : { "ISSN" : "1756-1833", "PMID" : "17656504", "abstract" : "OBJECTIVE To investigate the cost effectiveness of screening for Chlamydia trachomatis compared with a policy of no organised screening in the United Kingdom. DESIGN Economic evaluation using a transmission dynamic mathematical model. SETTING Central and southwest England. PARTICIPANTS Hypothetical population of 50,000 men and women, in which all those aged 16-24 years were invited to be screened each year. MAIN OUTCOME MEASURES Cost effectiveness based on major outcomes averted, defined as pelvic inflammatory disease, ectopic pregnancy, infertility, or neonatal complications. RESULTS The incremental cost per major outcome averted for a programme of screening women only (assuming eight years of screening) was 22,300 pounds (33,000 euros; $45,000) compared with no organised screening. For a programme screening both men and women, the incremental cost effectiveness ratio was approximately 28,900 pounds. Pelvic inflammatory disease leading to hospital admission was the most frequently averted major outcome. The model was highly sensitive to the incidence of major outcomes and to uptake of screening. When both were increased the cost effectiveness ratio fell to 6200 pound per major outcome averted for screening women only. CONCLUSIONS Proactive register based screening for chlamydia is not cost effective if the uptake of screening and incidence of complications are based on contemporary empirical studies, which show lower rates than commonly assumed. These data are relevant to discussions about the cost effectiveness of the opportunistic model of chlamydia screening being introduced in England.", "author" : [ { "dropping-particle" : "", "family" : "Roberts", "given" : "Tracy E", "non-dropping-particle" : "", "parse-names" : false, "suffix" : "" }, { "dropping-particle" : "", "family" : "Robinson", "given" : "Suzanne", "non-dropping-particle" : "", "parse-names" : false, "suffix" : "" }, { "dropping-particle" : "", "family" : "Barton", "given" : "Pelham M", "non-dropping-particle" : "", "parse-names" : false, "suffix" : "" }, { "dropping-particle" : "", "family" : "Bryan", "given" : "Stirling", "non-dropping-particle" : "", "parse-names" : false, "suffix" : "" }, { "dropping-particle" : "", "family" : "McCarthy", "given" : "Anne", "non-dropping-particle" : "", "parse-names" : false, "suffix" : "" }, { "dropping-particle" : "", "family" : "Macleod", "given" : "John", "non-dropping-particle" : "", "parse-names" : false, "suffix" : "" }, { "dropping-particle" : "", "family" : "Egger", "given" : "Matthias", "non-dropping-particle" : "", "parse-names" : false, "suffix" : "" }, { "dropping-particle" : "", "family" : "Low", "given" : "Nicola", "non-dropping-particle" : "", "parse-names" : false, "suffix" : "" } ], "container-title" : "BMJ", "id" : "ITEM-8", "issue" : "7614", "issued" : { "date-parts" : [ [ "2007", "8" ] ] }, "page" : "291", "title" : "Cost effectiveness of home based population screening for Chlamydia trachomatis in the UK: economic evaluation of chlamydia screening studies (ClaSS) project.", "type" : "article-journal", "volume" : "335" }, "uris" : [ "http://www.mendeley.com/documents/?uuid=068ae4c2-fc1a-407c-9042-659f35956723", "http://www.mendeley.com/documents/?uuid=79167eaa-7546-3c44-8cc8-210cd54f8e72", "http://www.mendeley.com/documents/?uuid=45732253-fb4b-4ce3-8e72-6956596383ca" ] }, { "id" : "ITEM-9", "itemData" : { "ISSN" : "0148-5717", "PMID" : "16041248", "abstract" : "OBJECTIVE The objective of this study was to assess the impact of modeling type on the economic evaluation of screening programs for asymptomatic Chlamydia trachomatis infections. STUDY We compared a stochastic network simulation model (dynamic model) with a decision analysis model (static model) for estimating the cost-effectiveness of an opportunistic screening program. The influence of the model type on the required data, the computed results, and the sensitivity of model parameters were investigated. RESULTS When compared with static modeling, dynamic modeling yielded different cost-effectiveness ratios and identified other optimal screening strategies as it considers changes in the force of infection caused by screening. However, it is more complex, data- and time-demanding, and more sensitive to some parameters affecting the force of infection than static modeling. CONCLUSIONS Dynamic models should be applied for the economic evaluation of prevention measures that have the potential to lower the force of infection such as large-scale chlamydial screening programs.", "author" : [ { "dropping-particle" : "", "family" : "Welte", "given" : "Robert", "non-dropping-particle" : "", "parse-names" : false, "suffix" : "" }, { "dropping-particle" : "", "family" : "Postma", "given" : "Maarten", "non-dropping-particle" : "", "parse-names" : false, "suffix" : "" }, { "dropping-particle" : "", "family" : "Leidl", "given" : "Reiner", "non-dropping-particle" : "", "parse-names" : false, "suffix" : "" }, { "dropping-particle" : "", "family" : "Kretzschmar", "given" : "Mirjam", "non-dropping-particle" : "", "parse-names" : false, "suffix" : "" } ], "container-title" : "Sex Transm Dis", "id" : "ITEM-9", "issue" : "8", "issued" : { "date-parts" : [ [ "2005", "8" ] ] }, "page" : "474-83", "title" : "Costs and effects of chlamydial screening: dynamic versus static modeling.", "type" : "article-journal", "volume" : "32" }, "uris" : [ "http://www.mendeley.com/documents/?uuid=e09e3f5e-a85f-4dde-85a0-b1861d31674c", "http://www.mendeley.com/documents/?uuid=450d2aca-0702-33b7-a297-9c0c2cb83c3b", "http://www.mendeley.com/documents/?uuid=aabdde68-9f37-4f57-a5c9-8f8d2c187b37" ] } ], "mendeley" : { "formattedCitation" : "&lt;sup&gt;46,49\u201352,58,68,69,71&lt;/sup&gt;", "plainTextFormattedCitation" : "46,49\u201352,58,68,69,71", "previouslyFormattedCitation" : "&lt;sup&gt;46,49\u201352,58,68,69,71&lt;/sup&gt;"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46,49–52,58,68,69,71</w:t>
      </w:r>
      <w:r w:rsidRPr="0024409C">
        <w:rPr>
          <w:rFonts w:ascii="Helvetica Neue" w:hAnsi="Helvetica Neue"/>
        </w:rPr>
        <w:fldChar w:fldCharType="end"/>
      </w:r>
      <w:r w:rsidRPr="0024409C">
        <w:rPr>
          <w:rFonts w:ascii="Helvetica Neue" w:hAnsi="Helvetica Neue"/>
        </w:rPr>
        <w:t xml:space="preserve"> and 433–497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"1878-0067", "PMID" : "21352783", "abstract" : "To assess the impact of screening programmes in reducing the prevalence of Chlamydia trachomatis, mathematical and computational models are used as a guideline for decision support. Unfortunately, large uncertainties exist about the parameters that determine the transmission dynamics of C. trachomatis. Here, we use a SEIRS (susceptible-exposed-infected-recovered-susceptible) model to critically analyze the turnover of C. trachomatis in a population and the impact of a screening programme. We perform a sensitivity analysis on the most important steps during an infection with C. trachomatis. Varying the fraction of the infections becoming symptomatic as well as the duration of the symptomatic period within the range of previously used parameter estimates has little effect on the transmission dynamics. However, uncertainties in the duration of temporary immunity and the asymptomatic period can result in large differences in the predicted impact of a screening programme. We therefore analyze previously published data on the persistence of asymptomatic C. trachomatis infection in women and estimate the mean duration of the asymptomatic period to be longer than anticipated so far, namely 433 days (95% CI: 420-447 days). Our study shows that a longer duration of the asymptomatic period results in a more pronounced impact of a screening programme. However, due to the slower turnover of the infection, a substantial reduction in prevalence can only be achieved after screening for several years or decades.", "author" : [ { "dropping-particle" : "", "family" : "Althaus", "given" : "Christian L", "non-dropping-particle" : "", "parse-names" : false, "suffix" : "" }, { "dropping-particle" : "", "family" : "Heijne", "given" : "Janneke C M", "non-dropping-particle" : "", "parse-names" : false, "suffix" : "" }, { "dropping-particle" : "", "family" : "Roellin", "given" : "Adrian", "non-dropping-particle" : "", "parse-names" : false, "suffix" : "" }, { "dropping-particle" : "", "family" : "Low", "given" : "Nicola", "non-dropping-particle" : "", "parse-names" : false, "suffix" : "" } ], "container-title" : "Epidemics", "id" : "ITEM-1", "issue" : "3", "issued" : { "date-parts" : [ [ "2010", "9" ] ] }, "page" : "123-31", "title" : "Transmission dynamics of Chlamydia trachomatis affect the impact of screening programmes.", "type" : "article-journal", "volume" : "2" }, "uris" : [ "http://www.mendeley.com/documents/?uuid=e50fde79-d768-4fd0-98ed-5f5a7ea8b9d1" ] }, { "id" : "ITEM-2", "itemData" : { "ISSN" : "1932-6203", "PMID" : "23527005", "abstract" : "BACKGROUND A large trial to investigate the effectiveness of population based screening for chlamydia infections was conducted in the Netherlands in 2008-2012. The trial was register based and consisted of four rounds of screening of women and men in the age groups 16-29 years in three regions in the Netherlands. Data were collected on participation rates and positivity rates per round. A modeling study was conducted to project screening effects for various screening strategies into the future. METHODS AND FINDINGS We used a stochastic network simulation model incorporating partnership formation and dissolution, aging and a sexual life course perspective. Trends in baseline rates of chlamydia testing and treatment were used to describe the epidemiological situation before the start of the screening program. Data on participation rates was used to describe screening uptake in rural and urban areas. Simulations were used to project the effectiveness of screening on chlamydia prevalence for a time period of 10 years. In addition, we tested alternative screening strategies, such as including only women, targeting different age groups, and biennial screening. Screening reduced prevalence by about 1% in the first two screening rounds and leveled off after that. Extrapolating observed participation rates into the future indicated very low participation in the long run. Alternative strategies only marginally changed the effectiveness of screening. Higher participation rates as originally foreseen in the program would have succeeded in reducing chlamydia prevalence to very low levels in the long run. CONCLUSIONS Decreasing participation rates over time profoundly impact the effectiveness of population based screening for chlamydia infections. Using data from several consecutive rounds of screening in a simulation model enabled us to assess the future effectiveness of screening on prevalence. If participation rates cannot be kept at a sufficient level, the effectiveness of screening on prevalence will remain limited.", "author" : [ { "dropping-particle" : "V", "family" : "Schmid", "given" : "Boris", "non-dropping-particle" : "", "parse-names" : false, "suffix" : "" }, { "dropping-particle" : "", "family" : "Over", "given" : "Eelco A B", "non-dropping-particle" : "", "parse-names" : false, "suffix" : "" }, { "dropping-particle" : "", "family" : "Broek", "given" : "Ingrid V F", "non-dropping-particle" : "van den", "parse-names" : false, "suffix" : "" }, { "dropping-particle" : "", "family" : "Coul", "given" : "Eline L M", "non-dropping-particle" : "Op de", "parse-names" : false, "suffix" : "" }, { "dropping-particle" : "", "family" : "Bergen", "given" : "Jan E A M", "non-dropping-particle" : "van", "parse-names" : false, "suffix" : "" }, { "dropping-particle" : "", "family" : "Fennema", "given" : "Johan S A", "non-dropping-particle" : "", "parse-names" : false, "suffix" : "" }, { "dropping-particle" : "", "family" : "G\u00f6tz", "given" : "Hannelore M", "non-dropping-particle" : "", "parse-names" : false, "suffix" : "" }, { "dropping-particle" : "", "family" : "Hoebe", "given" : "Christian J P A", "non-dropping-particle" : "", "parse-names" : false, "suffix" : "" }, { "dropping-particle" : "", "family" : "Wit", "given" : "G Ardine", "non-dropping-particle" : "de", "parse-names" : false, "suffix" : "" }, { "dropping-particle" : "", "family" : "Sande", "given" : "Marianne A B", "non-dropping-particle" : "van der", "parse-names" : false, "suffix" : "" }, { "dropping-particle" : "", "family" : "Kretzschmar", "given" : "Mirjam E E", "non-dropping-particle" : "", "parse-names" : false, "suffix" : "" } ], "container-title" : "PloS One", "id" : "ITEM-2", "issue" : "3", "issued" : { "date-parts" : [ [ "2013" ] ] }, "page" : "e58674", "title" : "Effects of population based screening for Chlamydia infections in the Netherlands limited by declining participation rates.", "type" : "article-journal", "volume" : "8" }, "uris" : [ "http://www.mendeley.com/documents/?uuid=b7c5011a-ab95-4c43-aaa8-4cb74bf719e5" ] }, { "id" : "ITEM-3", "itemData" : { "ISSN" : "1553-7358", "PMID" : "22570594", "abstract" : "There are four major quantities that are measured in sexual behavior surveys that are thought to be especially relevant for the performance of sexual network models in terms of disease transmission. These are (i) the cumulative distribution of lifetime number of partners, (ii) the distribution of partnership durations, (iii) the distribution of gap lengths between partnerships, and (iv) the number of recent partners. Fitting a network model to these quantities as measured in sexual behavior surveys is expected to result in a good description of Chlamydia trachomatis transmission in terms of the heterogeneity of the distribution of infection in the population. Here we present a simulation model of a sexual contact network, in which we explored the role of behavioral heterogeneity of simulated individuals on the ability of the model to reproduce population-level sexual survey data from the Netherlands and UK. We find that a high level of heterogeneity in the ability of individuals to acquire and maintain (additional) partners strongly facilitates the ability of the model to accurately simulate the powerlaw-like distribution of the lifetime number of partners, and the age at which these partnerships were accumulated, as surveyed in actual sexual contact networks. Other sexual network features, such as the gap length between partnerships and the partnership duration, could-at the current level of detail of sexual survey data against which they were compared-be accurately modeled by a constant value (for transitional concurrency) and by exponential distributions (for partnership duration). Furthermore, we observe that epidemiological measures on disease prevalence in survey data can be used as a powerful tool for building accurate sexual contact networks, as these measures provide information on the level of mixing between individuals of different levels of sexual activity in the population, a parameter that is hard to acquire through surveying individuals.", "author" : [ { "dropping-particle" : "V", "family" : "Schmid", "given" : "Boris", "non-dropping-particle" : "", "parse-names" : false, "suffix" : "" }, { "dropping-particle" : "", "family" : "Kretzschmar", "given" : "Mirjam", "non-dropping-particle" : "", "parse-names" : false, "suffix" : "" } ], "container-title" : "PLoS Comput Biol", "id" : "ITEM-3", "issue" : "4", "issued" : { "date-parts" : [ [ "2012" ] ] }, "page" : "e1002470", "title" : "Determinants of sexual network structure and their impact on cumulative network measures.", "type" : "article-journal", "volume" : "8" }, "uris" : [ "http://www.mendeley.com/documents/?uuid=a1e755bd-090b-4a64-adb0-52e0b3ce18c7", "http://www.mendeley.com/documents/?uuid=5decc760-231c-3da7-ae50-cbe56f48b440", "http://www.mendeley.com/documents/?uuid=e640dd2d-a1f6-49d9-a8e9-22b9cad56bb2" ] }, { "id" : "ITEM-4", "itemData" : { "ISSN" : "1742-4682", "PMID" : "24476335", "abstract" : "Transmission dynamic models linked to economic analyses often form part of the decision making process when introducing new chlamydia screening interventions. Outputs from these transmission dynamic models can vary depending on the values of the parameters used to describe the infection. Therefore these values can have an important influence on policy and resource allocation. The risk of progression from infection to pelvic inflammatory disease has been extensively studied but the parameters which govern the transmission dynamics are frequently neglected. We conducted a systematic review of transmission dynamic models linked to economic analyses of chlamydia screening interventions to critically assess the source and variability of the proportion of infections that are asymptomatic, the duration of infection and the transmission probability. We identified nine relevant studies in Pubmed, Embase and the Cochrane database. We found that there is a wide variation in their natural history parameters, including an absolute difference in the proportion of asymptomatic infections of 25% in women and 75% in men, a six-fold difference in the duration of asymptomatic infection and a four-fold difference in the per act transmission probability. We consider that much of this variation can be explained by a lack of consensus in the literature. We found that a significant proportion of parameter values were referenced back to the early chlamydia literature, before the introduction of nucleic acid modes of diagnosis and the widespread testing of asymptomatic individuals. In conclusion, authors should use high quality contemporary evidence to inform their parameter values, clearly document their assumptions and make appropriate use of sensitivity analysis. This will help to make models more transparent and increase their utility to policy makers.", "author" : [ { "dropping-particle" : "", "family" : "Davies", "given" : "Bethan", "non-dropping-particle" : "", "parse-names" : false, "suffix" : "" }, { "dropping-particle" : "", "family" : "Anderson", "given" : "Sarah-Jane", "non-dropping-particle" : "", "parse-names" : false, "suffix" : "" }, { "dropping-particle" : "", "family" : "Turner", "given" : "Katy M E", "non-dropping-particle" : "", "parse-names" : false, "suffix" : "" }, { "dropping-particle" : "", "family" : "Ward", "given" : "Helen", "non-dropping-particle" : "", "parse-names" : false, "suffix" : "" } ], "container-title" : "Theor Biol Med Model", "id" : "ITEM-4", "issued" : { "date-parts" : [ [ "2014" ] ] }, "page" : "8", "title" : "How robust are the natural history parameters used in chlamydia transmission dynamic models? A systematic review.", "type" : "article-journal", "volume" : "11" }, "uris" : [ "http://www.mendeley.com/documents/?uuid=f90fe104-71cf-4538-a950-a8847e13cd93" ] } ], "mendeley" : { "formattedCitation" : "&lt;sup&gt;47,60,70,103&lt;/sup&gt;", "plainTextFormattedCitation" : "47,60,70,103", "previouslyFormattedCitation" : "&lt;sup&gt;47,60,70,103&lt;/sup&gt;"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47,60,70,103</w:t>
      </w:r>
      <w:r w:rsidRPr="0024409C">
        <w:rPr>
          <w:rFonts w:ascii="Helvetica Neue" w:hAnsi="Helvetica Neue"/>
        </w:rPr>
        <w:fldChar w:fldCharType="end"/>
      </w:r>
      <w:r w:rsidRPr="0024409C">
        <w:rPr>
          <w:rFonts w:ascii="Helvetica Neue" w:hAnsi="Helvetica Neue"/>
        </w:rPr>
        <w:t xml:space="preserve"> Some models estimated 180 </w:t>
      </w:r>
      <w:r w:rsidRPr="0024409C">
        <w:rPr>
          <w:rFonts w:ascii="Helvetica Neue" w:hAnsi="Helvetica Neue"/>
        </w:rPr>
        <w:lastRenderedPageBreak/>
        <w:t>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"1742-4682", "PMID" : "16426453", "abstract" : "BACKGROUND A national chlamydia screening programme is currently being rolled out in the UK and other countries. However, much of the epidemiology remains poorly understood. In this paper we present a stochastic, individual based, dynamic sexual network model of chlamydia transmission and its parameterisation. Mathematical models provide a theoretical framework for understanding the key epidemiological features of chlamydia: sexual behaviour, health care seeking and transmission dynamics. RESULTS The model parameters were estimated either directly or by systematic fitting to a variety of appropriate data sources. The fitted model was representative of sexual behaviour, chlamydia epidemiology and health care use in England. We were able to recapture the observed age distribution of chlamydia prevalence. CONCLUSION Estimating parameters for models of sexual behaviour and transmission of chlamydia is complex. Most of the parameter values are highly correlated, highly variable and there is little empirical evidence to inform estimates. We used a novel approach to estimate the rate of active treatment seeking, by combining data sources, which improved the credibility of the model results. The model structure is flexible and is broadly applicable to other developed world settings and provides a practical tool for public health decision makers.", "author" : [ { "dropping-particle" : "", "family" : "Turner", "given" : "Katherine M E", "non-dropping-particle" : "", "parse-names" : false, "suffix" : "" }, { "dropping-particle" : "", "family" : "Adams", "given" : "Elisabeth J", "non-dropping-particle" : "", "parse-names" : false, "suffix" : "" }, { "dropping-particle" : "", "family" : "Gay", "given" : "Nigel", "non-dropping-particle" : "", "parse-names" : false, "suffix" : "" }, { "dropping-particle" : "", "family" : "Ghani", "given" : "Azra C", "non-dropping-particle" : "", "parse-names" : false, "suffix" : "" }, { "dropping-particle" : "", "family" : "Mercer", "given" : "Catherine", "non-dropping-particle" : "", "parse-names" : false, "suffix" : "" }, { "dropping-particle" : "", "family" : "Edmunds", "given" : "W John", "non-dropping-particle" : "", "parse-names" : false, "suffix" : "" } ], "container-title" : "Theor Biol Med Model", "id" : "ITEM-1", "issued" : { "date-parts" : [ [ "2006" ] ] }, "page" : "3", "title" : "Developing a realistic sexual network model of chlamydia transmission in Britain.", "type" : "article-journal", "volume" : "3" }, "uris" : [ "http://www.mendeley.com/documents/?uuid=d5089e58-930f-47f0-8958-55ecbfb070a5" ] }, { "id" : "ITEM-2", "itemData" : { "ISSN" : "1873-2607", "PMID" : "26952078", "abstract" : "INTRODUCTION In spite of chlamydia screening recommendations, U.S. testing coverage continues to be low. This study explored the cost-effectiveness of a patient-directed, universal, opportunistic Opt-Out Testing strategy (based on insurance coverage, healthcare utilization, and test acceptance probabilities) for all women aged 15-24 years compared with current Risk-Based Screening (30% coverage) from a societal perspective. METHODS Based on insurance coverage (80%); healthcare utilization (83%); and test acceptance (75%), the proposed Opt-Out Testing strategy would have an expected annual testing coverage of approximately 50% for sexually active women aged 15-24 years. A basic compartmental heterosexual transmission model was developed to account for population-level transmission dynamics. Two groups were assumed based on self-reported sexual activity. All model parameters were obtained from the literature. Costs and benefits were tracked over a 50-year period. The relative sensitivity of the estimated incremental cost-effectiveness ratios to the variables/parameters was determined. This study was conducted in 2014-2015. RESULTS Based on the model, the Opt-Out Testing strategy decreased the overall chlamydia prevalence by &gt;55% (2.7% to 1.2%). The Opt-Out Testing strategy was cost saving compared with the current Risk-Based Screening strategy. The estimated incremental cost-effectiveness ratio was most sensitive to the female pre-opt out prevalence, followed by the probability of female sequelae and discount rate. CONCLUSIONS The proposed Opt-Out Testing strategy was cost saving, improving health outcomes at a lower net cost than current testing. However, testing gaps would remain because many women might not have health insurance coverage, or not utilize health care.", "author" : [ { "dropping-particle" : "", "family" : "Owusu-Edusei", "given" : "Kwame", "non-dropping-particle" : "", "parse-names" : false, "suffix" : "" }, { "dropping-particle" : "", "family" : "Hoover", "given" : "Karen W", "non-dropping-particle" : "", "parse-names" : false, "suffix" : "" }, { "dropping-particle" : "", "family" : "Gift", "given" : "Thomas L", "non-dropping-particle" : "", "parse-names" : false, "suffix" : "" } ], "container-title" : "Am J Prev Med", "id" : "ITEM-2", "issue" : "2", "issued" : { "date-parts" : [ [ "2016", "8" ] ] }, "page" : "216-24", "title" : "Cost-effectiveness of opt-out chlamydia testing for high-risk young women in the US", "type" : "article-journal", "volume" : "51" }, "uris" : [ "http://www.mendeley.com/documents/?uuid=9fdf9f8a-a31a-4318-b59a-dcc965726109" ] } ], "mendeley" : { "formattedCitation" : "&lt;sup&gt;53,65&lt;/sup&gt;", "plainTextFormattedCitation" : "53,65", "previouslyFormattedCitation" : "&lt;sup&gt;53,65&lt;/sup&gt;"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53,65</w:t>
      </w:r>
      <w:r w:rsidRPr="0024409C">
        <w:rPr>
          <w:rFonts w:ascii="Helvetica Neue" w:hAnsi="Helvetica Neue"/>
        </w:rPr>
        <w:fldChar w:fldCharType="end"/>
      </w:r>
      <w:r w:rsidRPr="0024409C">
        <w:rPr>
          <w:rFonts w:ascii="Helvetica Neue" w:hAnsi="Helvetica Neue"/>
        </w:rPr>
        <w:t xml:space="preserve"> 365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"1098-3015", "PMID" : "16441519", "abstract" : "OBJECTIVE To estimate the cost-effectiveness of a systematic one-off Chlamydia trachomatis (CT) screening program including partner treatment for Dutch young adults. METHODS Data on infection prevalence, participation rates, and sexual behavior were obtained from a large pilot study conducted in The Netherlands. Opposite to almost all previous economic evaluations of CT screening, we developed a dynamic Susceptible-Infected-Susceptible (SIS) model to estimate the impact of the screening program on the incidence and prevalence of CT in the population. SIS models are widely used in epidemiology of infectious diseases, for modeling the transmission dynamics over time. Subsequently, a predictive decision model was used to calculate the complications averted by the screening program. Cost-effectiveness was expressed as the net costs per major outcome averted (MOA) and was estimated in the baseline analysis and in sensitivity analysis. RESULTS The overall prevalence decreased from 1.79% to 1.05% as a result of the screening program directed at both men and women. The program costs were mainly offset by the averted costs, although not fully. Resulting net costs per MOA were 373 euro sin the baseline analysis. Sensitivity analysis showed that partner treatment and sending a reminder are important aspects improving cost-effectiveness. Additionally, restricting the screening to women only was estimated to save costs. CONCLUSIONS Our cost-effectiveness analysis shows that the Dutch society has net to pay for the prevention of CT-complications through screening young men and women. One could argue although that 373 euros per MOA presents a reasonable cost. A screening program consisting of screening women only should always be adopted from a pharmacoeconomic point of view. Our dynamic approach appreciates better the specific characteristics of an infectious disease, such as CT.", "author" : [ { "dropping-particle" : "", "family" : "Vries", "given" : "Robin", "non-dropping-particle" : "de", "parse-names" : false, "suffix" : "" }, { "dropping-particle" : "", "family" : "Bergen", "given" : "Jan E A M", "non-dropping-particle" : "van", "parse-names" : false, "suffix" : "" }, { "dropping-particle" : "", "family" : "Jong-van den Berg", "given" : "Lolkje T W", "non-dropping-particle" : "de", "parse-names" : false, "suffix" : "" }, { "dropping-particle" : "", "family" : "Postma", "given" : "Maarten J", "non-dropping-particle" : "", "parse-names" : false, "suffix" : "" }, { "dropping-particle" : "", "family" : "PILOT-CT Study Group", "given" : "", "non-dropping-particle" : "", "parse-names" : false, "suffix" : "" } ], "container-title" : "Value Health", "id" : "ITEM-1", "issue" : "1", "issued" : { "date-parts" : [ [ "2006" ] ] }, "page" : "1-11", "title" : "Systematic screening for Chlamydia trachomatis: estimating cost-effectiveness using dynamic modeling and Dutch data.", "type" : "article-journal", "volume" : "9" }, "uris" : [ "http://www.mendeley.com/documents/?uuid=61604c03-0238-4209-a717-7a9a4a4c0970", "http://www.mendeley.com/documents/?uuid=e6b2746c-5513-35bc-a1ee-f7a7254cb93e" ] } ], "mendeley" : { "formattedCitation" : "&lt;sup&gt;66&lt;/sup&gt;", "plainTextFormattedCitation" : "66", "previouslyFormattedCitation" : "&lt;sup&gt;66&lt;/sup&gt;"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66</w:t>
      </w:r>
      <w:r w:rsidRPr="0024409C">
        <w:rPr>
          <w:rFonts w:ascii="Helvetica Neue" w:hAnsi="Helvetica Neue"/>
        </w:rPr>
        <w:fldChar w:fldCharType="end"/>
      </w:r>
      <w:r w:rsidRPr="0024409C">
        <w:rPr>
          <w:rFonts w:ascii="Helvetica Neue" w:hAnsi="Helvetica Neue"/>
        </w:rPr>
        <w:t xml:space="preserve"> or 622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"ITEM-1", "issue" : "2", "issued" : { "date-parts" : [ [ "2012", "2" ] ] }, "page" : "161-8", "title" : "The role of sexually transmitted infections in the evolution of the South African HIV epidemic.", "type" : "article-journal", "volume" : "17" }, "uris" : [ "http://www.mendeley.com/documents/?uuid=0e1ea8f2-849f-41da-864c-66e864358726" ] }, { "id" : "ITEM-2",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"ITEM-2",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"&lt;sup&gt;40,54&lt;/sup&gt;", "plainTextFormattedCitation" : "40,54", "previouslyFormattedCitation" : "&lt;sup&gt;40,54&lt;/sup&gt;"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40,54</w:t>
      </w:r>
      <w:r w:rsidRPr="0024409C">
        <w:rPr>
          <w:rFonts w:ascii="Helvetica Neue" w:hAnsi="Helvetica Neue"/>
        </w:rPr>
        <w:fldChar w:fldCharType="end"/>
      </w:r>
      <w:r w:rsidRPr="0024409C">
        <w:rPr>
          <w:rFonts w:ascii="Helvetica Neue" w:hAnsi="Helvetica Neue"/>
        </w:rPr>
        <w:t xml:space="preserve"> reflecting a range of uncertainty. Beck et al.</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have estimated 240 days for urethral infection and 497 days for rectal infection. Given this uncertainty, we established a prior distribution of 39–65 weeks for the duration of asymptomatic rectal or urethral CT infection. These resulted in posterior values of 44.25 weeks</w:t>
      </w:r>
      <w:r w:rsidR="00242F2D" w:rsidRPr="0024409C">
        <w:rPr>
          <w:rFonts w:ascii="Helvetica Neue" w:hAnsi="Helvetica Neue"/>
        </w:rPr>
        <w:t>, or 310 days,</w:t>
      </w:r>
      <w:r w:rsidRPr="0024409C">
        <w:rPr>
          <w:rFonts w:ascii="Helvetica Neue" w:hAnsi="Helvetica Neue"/>
        </w:rPr>
        <w:t xml:space="preserve"> for the duration of asymptomatic CT infection</w:t>
      </w:r>
      <w:r w:rsidR="0003703E" w:rsidRPr="0024409C">
        <w:rPr>
          <w:rFonts w:ascii="Helvetica Neue" w:hAnsi="Helvetica Neue"/>
        </w:rPr>
        <w:t>, consistent with our previous STI model.</w:t>
      </w:r>
      <w:r w:rsidR="0003703E" w:rsidRPr="0024409C">
        <w:rPr>
          <w:rFonts w:ascii="Helvetica Neue" w:hAnsi="Helvetica Neue"/>
        </w:rPr>
        <w:fldChar w:fldCharType="begin" w:fldLock="1"/>
      </w:r>
      <w:r w:rsidR="002E5A1F">
        <w:rPr>
          <w:rFonts w:ascii="Helvetica Neue" w:hAnsi="Helvetica Neue"/>
        </w:rPr>
        <w:instrText>ADDIN CSL_CITATION { "citationItems" : [ { "id" : "ITEM-1",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"ITEM-1",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"&lt;sup&gt;5&lt;/sup&gt;", "plainTextFormattedCitation" : "5", "previouslyFormattedCitation" : "&lt;sup&gt;5&lt;/sup&gt;" }, "properties" : { "noteIndex" : 0 }, "schema" : "https://github.com/citation-style-language/schema/raw/master/csl-citation.json" }</w:instrText>
      </w:r>
      <w:r w:rsidR="0003703E" w:rsidRPr="0024409C">
        <w:rPr>
          <w:rFonts w:ascii="Helvetica Neue" w:hAnsi="Helvetica Neue"/>
        </w:rPr>
        <w:fldChar w:fldCharType="separate"/>
      </w:r>
      <w:r w:rsidR="0003703E" w:rsidRPr="0024409C">
        <w:rPr>
          <w:rFonts w:ascii="Helvetica Neue" w:hAnsi="Helvetica Neue"/>
          <w:noProof/>
          <w:vertAlign w:val="superscript"/>
        </w:rPr>
        <w:t>5</w:t>
      </w:r>
      <w:r w:rsidR="0003703E" w:rsidRPr="0024409C">
        <w:rPr>
          <w:rFonts w:ascii="Helvetica Neue" w:hAnsi="Helvetica Neue"/>
        </w:rPr>
        <w:fldChar w:fldCharType="end"/>
      </w:r>
    </w:p>
    <w:p w14:paraId="135D153F" w14:textId="14BF2E68" w:rsidR="00E23942" w:rsidRPr="0024409C" w:rsidRDefault="00E23942" w:rsidP="00777796">
      <w:pPr>
        <w:pStyle w:val="Heading2"/>
        <w:rPr>
          <w:rFonts w:ascii="Helvetica Neue" w:hAnsi="Helvetica Neue"/>
          <w:szCs w:val="22"/>
        </w:rPr>
      </w:pPr>
      <w:bookmarkStart w:id="48" w:name="_Toc522270431"/>
      <w:r w:rsidRPr="0024409C">
        <w:rPr>
          <w:rFonts w:ascii="Helvetica Neue" w:hAnsi="Helvetica Neue"/>
          <w:szCs w:val="22"/>
        </w:rPr>
        <w:t>10.2</w:t>
      </w:r>
      <w:r w:rsidRPr="0024409C">
        <w:rPr>
          <w:rFonts w:ascii="Helvetica Neue" w:hAnsi="Helvetica Neue"/>
          <w:szCs w:val="22"/>
        </w:rPr>
        <w:tab/>
      </w:r>
      <w:r w:rsidRPr="0024409C">
        <w:rPr>
          <w:rFonts w:ascii="Helvetica Neue" w:hAnsi="Helvetica Neue"/>
          <w:szCs w:val="22"/>
        </w:rPr>
        <w:tab/>
        <w:t>Duration of Gonorrhea Infection</w:t>
      </w:r>
      <w:bookmarkEnd w:id="48"/>
    </w:p>
    <w:p w14:paraId="13C068BB" w14:textId="28393F5D" w:rsidR="00A5457A" w:rsidRDefault="00EA384A" w:rsidP="00A5457A">
      <w:pPr>
        <w:spacing w:line="360" w:lineRule="auto"/>
        <w:rPr>
          <w:rFonts w:ascii="Helvetica Neue" w:hAnsi="Helvetica Neue"/>
        </w:rPr>
      </w:pPr>
      <w:r w:rsidRPr="0024409C">
        <w:rPr>
          <w:rFonts w:ascii="Helvetica Neue" w:hAnsi="Helvetica Neue"/>
        </w:rPr>
        <w:t>Estimates of NG duration have also varied widely depending on whether the infection was symptomatic. STI and HIV/STI models have modeled the duration of symptomatic NG infection as bimodal, with some estimates as low as 12–13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"ITEM-2", "itemData" : { "ISSN" : "0148-5717", "PMID" : "18446084", "abstract" : "OBJECTIVE Both the duration of sexual partnerships and the time between two consecutive partnerships (gap length) varies between populations. We use a mathematical model with multiple partnership durations and gap lengths to identify the types of relationship cycles that sustain gonorrhea transmission in the United Kingdom. STUDY DESIGN A mathematical model for gonorrhea transmission was constructed which tracks the duration of partnerships and their preceding gap lengths. The National Survey of Sexual Attitudes and Lifestyles was used to parameterize the model population into 5 different partnership lengths (mean of 1 day, 2 weeks, 8 weeks, 30 weeks, and 10 years) and 3 preceding gap lengths (14 days, 8 weeks, and 1.5 years). RESULTS The model was able to reproduce patterns of gonococcal infection in the United Kingdom. Assortative (like-with-like) mixing of individuals with short gaps between partnerships was required for gonorrhea infection to persist. Prevalence was highest in individuals with short (&gt;1 day-&lt;1 month) and midterm partnership durations (&gt;1 month-&lt;3 months). Interventions (such as increased condom use) targeted at those with medium-term partnerships were most effective at reducing prevalence; in contrast targeting interventions at those with short partnerships but longer gap lengths (i.e., the group with the highest number of sexual partners) had relatively less impact. CONCLUSION Our model suggests that gonorrhea is sustained by the presence of a small group of individuals with short gap lengths and medium length partnerships. Interventions targeted at this group are more effective than those targeted at individuals with high numbers of sexual partners but longer gap lengths.", "author" : [ { "dropping-particle" : "", "family" : "Chen", "given" : "Mark I", "non-dropping-particle" : "", "parse-names" : false, "suffix" : "" }, { "dropping-particle" : "", "family" : "Ghani", "given" : "Azra C", "non-dropping-particle" : "", "parse-names" : false, "suffix" : "" }, { "dropping-particle" : "", "family" : "Edmunds", "given" : "John", "non-dropping-particle" : "", "parse-names" : false, "suffix" : "" } ], "container-title" : "Sex Transm Dis", "id" : "ITEM-2", "issue" : "5", "issued" : { "date-parts" : [ [ "2008", "5" ] ] }, "page" : "435-44", "title" : "Mind the gap: the role of time between sex with two consecutive partners on the transmission dynamics of gonorrhea.", "type" : "article-journal", "volume" : "35" }, "uris" : [ "http://www.mendeley.com/documents/?uuid=bd0cdbab-ee77-44b3-893c-f837cf17d3b1" ] }, { "id" : "ITEM-3",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"ITEM-3", "issue" : "1384", "issued" : { "date-parts" : [ [ "1999", "4" ] ] }, "page" : "787-97", "title" : "The transmission dynamics of gonorrhoea: modelling the reported behaviour of infected patients from Newark, New Jersey.", "type" : "article-journal", "volume" : "354" }, "uris" : [ "http://www.mendeley.com/documents/?uuid=a0924c6a-947c-4c24-a77d-49f8d1ee76f0", "http://www.mendeley.com/documents/?uuid=0e7600dd-68c6-3779-a988-e44f217aaaf2", "http://www.mendeley.com/documents/?uuid=2587d425-5e29-4d62-85bd-783e552b846d" ] }, { "id" : "ITEM-4",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"ITEM-4",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"id" : "ITEM-5",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"ITEM-5",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"http://www.mendeley.com/documents/?uuid=9e1335c0-735e-44cf-9cb3-3c60037ad388" ] } ], "mendeley" : { "formattedCitation" : "&lt;sup&gt;58,68,72,79,91&lt;/sup&gt;", "plainTextFormattedCitation" : "58,68,72,79,91", "previouslyFormattedCitation" : "&lt;sup&gt;58,68,72,79,91&lt;/sup&gt;"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58,68,72,79,91</w:t>
      </w:r>
      <w:r w:rsidRPr="0024409C">
        <w:rPr>
          <w:rFonts w:ascii="Helvetica Neue" w:hAnsi="Helvetica Neue"/>
        </w:rPr>
        <w:fldChar w:fldCharType="end"/>
      </w:r>
      <w:r w:rsidRPr="0024409C">
        <w:rPr>
          <w:rFonts w:ascii="Helvetica Neue" w:hAnsi="Helvetica Neue"/>
        </w:rPr>
        <w:t>, generally for treated or care-seeking persons, and others between 105–185 days, including for untreated symptomatic infection.</w:t>
      </w:r>
      <w:r w:rsidRPr="0024409C">
        <w:rPr>
          <w:rFonts w:ascii="Helvetica Neue" w:hAnsi="Helvetica Neue"/>
        </w:rPr>
        <w:fldChar w:fldCharType="begin" w:fldLock="1"/>
      </w:r>
      <w:r w:rsidR="002E5A1F">
        <w:rPr>
          <w:rFonts w:ascii="Helvetica Neue" w:hAnsi="Helvetica Neue"/>
        </w:rPr>
        <w:instrText>ADDIN CSL_CITATION { "citationItems" : [ { "id" : "ITEM-1",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"ITEM-1", "issued" : { "date-parts" : [ [ "2013" ] ] }, "page" : "188", "title" : "Population movement can sustain STI prevalence in remote Australian indigenous communities.", "type" : "article-journal", "volume" : "13" }, "uris" : [ "http://www.mendeley.com/documents/?uuid=439c8ade-8864-4f5e-9dff-966b3d367e00" ] }, { "id" : "ITEM-2",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"ITEM-2",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"ITEM-3",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"ITEM-3", "issue" : "2", "issued" : { "date-parts" : [ [ "2012", "2" ] ] }, "page" : "161-8", "title" : "The role of sexually transmitted infections in the evolution of the South African HIV epidemic.", "type" : "article-journal", "volume" : "17" }, "uris" : [ "http://www.mendeley.com/documents/?uuid=0e1ea8f2-849f-41da-864c-66e864358726" ] }, { "id" : "ITEM-4",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"ITEM-4", "issue" : "3", "issued" : { "date-parts" : [ [ "2010", "6", "1" ] ] }, "page" : "169-174", "title" : "A Bayesian approach to uncertainty analysis of sexually transmitted infection models", "type" : "article-journal", "volume" : "86" }, "uris" : [ "http://www.mendeley.com/documents/?uuid=31e9dca7-f246-4670-9001-4c78d9774ec7" ] } ], "mendeley" : { "formattedCitation" : "&lt;sup&gt;40,49,54,72&lt;/sup&gt;", "plainTextFormattedCitation" : "40,49,54,72", "previouslyFormattedCitation" : "&lt;sup&gt;40,49,54,72&lt;/sup&gt;"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40,49,54,72</w:t>
      </w:r>
      <w:r w:rsidRPr="0024409C">
        <w:rPr>
          <w:rFonts w:ascii="Helvetica Neue" w:hAnsi="Helvetica Neue"/>
        </w:rPr>
        <w:fldChar w:fldCharType="end"/>
      </w:r>
      <w:r w:rsidRPr="0024409C">
        <w:rPr>
          <w:rFonts w:ascii="Helvetica Neue" w:hAnsi="Helvetica Neue"/>
        </w:rPr>
        <w:t xml:space="preserve"> Models which have not specified whether the infection is symptomatic or asymptomatic have widely divergent estimates of duration, ranging from 10–60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"PMID" : "12083451", "abstract" : "Mathematical models have highlighted the disproportionate contribution of core group transmitters to the spread of sexually transmitted diseases. Because the effectiveness of interventions varies with time, it has been suggested that epidemic phases should be considered in the design of prevention strategies. This study aimed to examine the impact of HIV epidemic phases on the effectiveness of HIV interventions based on gonorrhoea screening and condom use, targeted to core groups. The results are based on a mathematical model of gonorrhoea and HIV transmission in a relatively slow spreading HIV epidemic using Cotonou (Benin) as an example. For epidemics with a low reproductive potential modest core group interventions can significantly reduce HIV incidence and prevalence. As the epidemic matures, effective interventions should also incorporate core and non-core populations. For epidemics with a high reproductive potential, core group interventions are necessary but not sufficient to have a rapid and large scale impact. A more general population approach is also needed early in the epidemic. Epidemic phases are also important in the evaluation of prevention strategies.", "author" : [ { "dropping-particle" : "", "family" : "Boily", "given" : "M C", "non-dropping-particle" : "", "parse-names" : false, "suffix" : "" }, { "dropping-particle" : "", "family" : "Lowndes", "given" : "C", "non-dropping-particle" : "", "parse-names" : false, "suffix" : "" }, { "dropping-particle" : "", "family" : "Alary", "given" : "M", "non-dropping-particle" : "", "parse-names" : false, "suffix" : "" } ], "container-title" : "Sex Transm Infect", "id" : "ITEM-1", "issued" : { "date-parts" : [ [ "2002", "4" ] ] }, "page" : "i78-90", "title" : "The impact of HIV epidemic phases on the effectiveness of core group interventions: insights from mathematical models.", "type" : "article-journal", "volume" : "78 Suppl 1" }, "uris" : [ "http://www.mendeley.com/documents/?uuid=0c0617ec-bc11-3d81-8858-26ebfd888c5d", "http://www.mendeley.com/documents/?uuid=5eb21c40-44ca-4bc5-8d4b-98326a35becd" ] }, { "id" : "ITEM-2", "itemData" : { "ISSN" : "1368-4973", "PMID" : "15459406", "abstract" : "OBJECTIVES To investigate ethnic differences in rates of gonorrhoea using empirical sexual behaviour data in a simple mathematical model. To explore the impact of different intervention strategies in this simulated population. METHODS The findings from cross sectional studies of gonorrhoea rates and sexual behaviour in three ethnic groups in south east London were used to determine the parameters for a deterministic, mathematical model of gonorrhoea transmission dynamics, in a population stratified by sex, sexual activity (rate of partner change), and ethnic group (white, black African, and black Caribbean). We compared predicted and observed rates of infection and simulated the effects of targeted and population-wide intervention strategies. RESULTS In model simulations the reported sexual behaviours and mixing patterns generated major differences in the rates of gonorrhoea experienced by each subpopulation. The fit of the model to observed data was sensitive to assumptions about the degree of mixing by level of sexual activity, the numbers of sexual partnerships reported by men and women, and the degree to which observed data underestimate female infection rates. Interventions to reduce duration of infection were most effective when targeted at black Caribbeans. CONCLUSIONS Average measures of sexual behaviour in large populations are inadequate descriptors for the epidemiology of gonorrhoea. The consistency between the model results and empirical data shows that profound differences in gonorrhoea rates between ethnic groups can be explained by modest differences in a limited number of sexual behaviours and mixing patterns. Targeting effective services to particular ethnic groups can have a disproportionate influence on disease reduction in the whole community.", "author" : [ { "dropping-particle" : "", "family" : "Turner", "given" : "K M E", "non-dropping-particle" : "", "parse-names" : false, "suffix" : "" }, { "dropping-particle" : "", "family" : "Garnett", "given" : "G P", "non-dropping-particle" : "", "parse-names" : false, "suffix" : "" }, { "dropping-particle" : "", "family" : "Ghani", "given" : "A C", "non-dropping-particle" : "", "parse-names" : false, "suffix" : "" }, { "dropping-particle" : "", "family" : "Sterne", "given" : "J A C", "non-dropping-particle" : "", "parse-names" : false, "suffix" : "" }, { "dropping-particle" : "", "family" : "Low", "given" : "N", "non-dropping-particle" : "", "parse-names" : false, "suffix" : "" } ], "container-title" : "Sex Transm Infect", "id" : "ITEM-2", "issue" : "5", "issued" : { "date-parts" : [ [ "2004", "10" ] ] }, "page" : "379-85", "title" : "Investigating ethnic inequalities in the incidence of sexually transmitted infections: mathematical modelling study.", "type" : "article-journal", "volume" : "80" }, "uris" : [ "http://www.mendeley.com/documents/?uuid=b741299d-47c9-4745-8a29-1a358d689962" ] }, { "id" : "ITEM-3", "itemData" : { "ISBN" : "0022-1899 (Print)\\n0022-1899 (Linking)", "ISSN" : "0022-1899", "PMID" : "15627229", "abstract" : "Sex workers (SWs) and their clients are often identified as being central in transmission of sexually transmitted infections (STIs). Little is known about how patterns of contact between SWs and their clients influence the persistence of STIs. We developed an individual-based simulation model to explore how variation in number of client contacts per SW, whether clients repeatedly visited the same SW, and the relative sizes of the SW and client populations influence the endemic prevalence of gonorrhea and herpes simplex virus type 2 infection. Persistence of either infection was more likely if clients visited many different SWs, regardless of variation in the SW-client contact rate, and also resulted in a higher endemic prevalence in both populations and a greater likelihood of persistence of infection at lower levels in the general population. The size of the SW population (relative to the total population) was found to be most important in determining the overall prevalence of infection.", "author" : [ { "dropping-particle" : "", "family" : "Ghani", "given" : "A C", "non-dropping-particle" : "", "parse-names" : false, "suffix" : "" }, { "dropping-particle" : "", "family" : "Aral", "given" : "S O", "non-dropping-particle" : "", "parse-names" : false, "suffix" : "" } ], "container-title" : "J Inf Dis", "id" : "ITEM-3", "issue" : "Suppl 1", "issued" : { "date-parts" : [ [ "2005" ] ] }, "page" : "S34-S41", "title" : "Patterns of sex worker-client contacts and their implications for the persistence of sexually transmitted infections", "type" : "article-journal", "volume" : "191" }, "uris" : [ "http://www.mendeley.com/documents/?uuid=d076df03-d0a3-4faa-aa3c-2205d10fc5aa", "http://www.mendeley.com/documents/?uuid=8787d319-0865-4ea8-9cc1-53dcf8e5c9d0", "http://www.mendeley.com/documents/?uuid=25a5ed57-dc35-444a-a237-a0648acf12b8" ] }, { "id" : "ITEM-4", "itemData" : { "ISSN" : "0148-5717", "PMID" : "9018783", "abstract" : "BACKGROUND Empirical studies have the potential to collect data on patterns of sexual mixing and network structures. GOAL To explore the contribution of different network measures in sexually transmitted disease epidemiology. STUDY DESIGN Individual-based stochastic simulations of a network of sexual partnerships and sexually transmitted disease transmission are analyzed using logistic regression. RESULTS AND CONCLUSIONS Measures accumulated over times similar to the duration of infection are more informative than are static cross sections. The patterns of sexual mixing and network structure influence patterns of infection. In particular, the establishment of infection is most sensitive to the proportion of nonmonogamous pairs, the component distribution and cohesion among those with high activity. The subsequent prevalence is most sensitive to the assortativeness of mixing in the high-activity class and a measure of cohesion, both of which reflect the decrease in prevalence brought about by less widespread connections. A person's risk for infection is determined by local rather than global network structures.", "author" : [ { "dropping-particle" : "", "family" : "Ghani", "given" : "A C", "non-dropping-particle" : "", "parse-names" : false, "suffix" : "" }, { "dropping-particle" : "", "family" : "Swinton", "given" : "J", "non-dropping-particle" : "", "parse-names" : false, "suffix" : "" }, { "dropping-particle" : "", "family" : "Garnett", "given" : "G P", "non-dropping-particle" : "", "parse-names" : false, "suffix" : "" } ], "container-title" : "Sex Transm Dis", "id" : "ITEM-4", "issue" : "1", "issued" : { "date-parts" : [ [ "1997", "1" ] ] }, "page" : "45-56", "title" : "The role of sexual partnership networks in the epidemiology of gonorrhea.", "type" : "article-journal", "volume" : "24" }, "uris" : [ "http://www.mendeley.com/documents/?uuid=4e4cde88-fc90-4d81-9873-d8b813abf16f", "http://www.mendeley.com/documents/?uuid=13db5f77-c8c6-31f1-89c3-80b9317b49e8", "http://www.mendeley.com/documents/?uuid=c6d4d36a-62fa-40fb-9e40-072378fb7919" ] }, { "id" : "ITEM-5", "itemData" : { "ISSN" : "1537-4521", "PMID" : "18303352", "abstract" : "OBJECTIVES We assessed the cost-effectiveness of a screening, treatment, and condom provision intervention for inmates of a segregated unit for men who have sex with men at the Los Angeles County Men's Jail. GOAL We conducted the study to determine whether the intervention provides good value for money. STUDY DESIGN We used a mathematical model to examine the effect of 10 years of intervention on sexually transmitted infections in 3 scenarios for incarcerated men who have sex with men: (a) no sex; (b) sex as before incarceration; (c) as in #2 and condom use by 20% of screened inmates. We calculated cost-effectiveness ratios as net cost per infection averted after subtracting averted treatment costs from intervention costs. RESULTS Modeling suggests that the intervention could avert 339 chlamydia, 276 gonorrhea, and 241 syphilis infections in scenario 1 (net cost $179,121); 593 chlamydia, 586 gonorrhea, and 367 syphilis infections in scenario 2 (with cost saving); and 746 chlamydia, 791 gonorrhea, 3 HIV, and 443 syphilis infections in scenario 3 (with cost saving). CONCLUSIONS Modeling indicates that the intervention can avert many sexually transmitted infections at low cost and can save costs in a scenario in which inmates continue to engage in sexual activity as they do outside jail. Modest success in efforts to promote condom use among inmates results in additional cost saving.", "author" : [ { "dropping-particle" : "", "family" : "Tuli", "given" : "Karunesh", "non-dropping-particle" : "", "parse-names" : false, "suffix" : "" }, { "dropping-particle" : "", "family" : "Kerndt", "given" : "Peter R", "non-dropping-particle" : "", "parse-names" : false, "suffix" : "" } ], "container-title" : "Sex Transm Dis", "id" : "ITEM-5", "issue" : "2 Suppl", "issued" : { "date-parts" : [ [ "2009", "2" ] ] }, "page" : "S41-8", "title" : "Preventing sexually transmitted infections among incarcerated men who have sex with men: a cost-effectiveness analysis.", "type" : "article-journal", "volume" : "36" }, "uris" : [ "http://www.mendeley.com/documents/?uuid=99e32213-3087-4c26-aa3a-0cb6b7d6e381" ] }, { "id" : "ITEM-6", "itemData" : { "ISSN" : "1042-0533", "PMID" : "15849707", "abstract" : "Recent research on sexual mixing in populations of sub-Saharan Africa raises the question as to whether STDs can persist in these populations without the presence of a core group. A mathematical model is constructed for the spread of gonorrhea among the Ariaal population of Northern Kenya. A formula for the basic reproduction number R(0) (the expected number of secondary infections caused by a single new infective introduced into a susceptible population) is determined for this population in the absence of a core group. Survey data taken in 2003 on sexual behavior from the Ariaal population are used in the model which is formulated for their age-set system including four subpopulations: single and married, female and male. Parameters derived from the data, and other information from sub-Saharan Africa are used to estimate R(0). Results indicate that, even with the elevating effect of the age-set system, the disease should die out since R(0) &lt; 1. Thus, the persistence of gonorrhea in the population must be due to factors not included in the model, for example, a core group of commercial sex workers or concurrent partnerships.", "author" : [ { "dropping-particle" : "", "family" : "McCluskey", "given" : "C Connell", "non-dropping-particle" : "", "parse-names" : false, "suffix" : "" }, { "dropping-particle" : "", "family" : "Roth", "given" : "Eric", "non-dropping-particle" : "", "parse-names" : false, "suffix" : "" }, { "dropping-particle" : "", "family" : "Driessche", "given" : "P", "non-dropping-particle" : "van den", "parse-names" : false, "suffix" : "" } ], "container-title" : "Am J Hum Biol", "id" : "ITEM-6", "issue" : "3", "issued" : { "date-parts" : [ [ "2005" ] ] }, "page" : "293-301", "title" : "Implication of Ariaal sexual mixing on gonorrhea.", "type" : "article-journal", "volume" : "17" }, "uris" : [ "http://www.mendeley.com/documents/?uuid=0a147076-4e1b-483a-adaa-bfb19b9a51d5", "http://www.mendeley.com/documents/?uuid=120743b7-6e07-33c5-bad3-e213a34d5683", "http://www.mendeley.com/documents/?uuid=691f7f4e-51c7-4e1a-86eb-84a764a9bff6" ] }, { "id" : "ITEM-7", "itemData" : { "ISSN" : "1879-3134", "PMID" : "20043928", "abstract" : "A multigroup model is considered for a disease transmitted heterosexually in which there is a core group that has higher sexual activity than other groups. In order to develop control strategies to eradicate the disease, type reproduction numbers are determined. A graph-theoretic interpretation of type reproduction numbers for a star network with a core group at the center is established. Using these general formulas for the star network, a two-group model consisting of a core and a non-core group is considered. If disease can persist in the core group in isolation, then the amount of increase of treatment or decrease of the contact rate of infectious males (or females) in the core group that is required to eradicate the disease is expressed in terms of model parameters. If disease can persist but not in either group in isolation, then the amount of reduction of the connection between the two groups needed to eradicate the disease is determined. These two cases are illustrated with parameters applicable to gonorrhea in the US.", "author" : [ { "dropping-particle" : "", "family" : "Edwards", "given" : "R", "non-dropping-particle" : "", "parse-names" : false, "suffix" : "" }, { "dropping-particle" : "", "family" : "Kim", "given" : "Sehjeong", "non-dropping-particle" : "", "parse-names" : false, "suffix" : "" }, { "dropping-particle" : "", "family" : "Driessche", "given" : "Pauline", "non-dropping-particle" : "van den", "parse-names" : false, "suffix" : "" } ], "container-title" : "Math Biosci", "id" : "ITEM-7", "issue" : "2", "issued" : { "date-parts" : [ [ "2010", "4" ] ] }, "page" : "87-94", "title" : "A multigroup model for a heterosexually transmitted disease.", "type" : "article-journal", "volume" : "224" }, "uris" : [ "http://www.mendeley.com/documents/?uuid=0490f6ec-2920-48e3-87f7-187e1dfdd212", "http://www.mendeley.com/documents/?uuid=3df8a432-322c-380d-8aae-1c0dba5816b0", "http://www.mendeley.com/documents/?uuid=b4ff027d-a08a-41d7-a934-cf3aff59bd4a" ] } ], "mendeley" : { "formattedCitation" : "&lt;sup&gt;73,81,82,85\u201387,104&lt;/sup&gt;", "plainTextFormattedCitation" : "73,81,82,85\u201387,104", "previouslyFormattedCitation" : "&lt;sup&gt;73,81,82,85\u201387,104&lt;/sup&gt;"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73,81,82,85–87,104</w:t>
      </w:r>
      <w:r w:rsidRPr="0024409C">
        <w:rPr>
          <w:rFonts w:ascii="Helvetica Neue" w:hAnsi="Helvetica Neue"/>
        </w:rPr>
        <w:fldChar w:fldCharType="end"/>
      </w:r>
      <w:r w:rsidRPr="0024409C">
        <w:rPr>
          <w:rFonts w:ascii="Helvetica Neue" w:hAnsi="Helvetica Neue"/>
        </w:rPr>
        <w:t xml:space="preserve"> to 330–365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"1742-5662", "PMID" : "25808340", "abstract" : "Neisseria gonorrhoeae (GC) remains a serious burden in many high-sexual-activity, undertreated populations. Using empirical data from a 2009 study of GC burden among pastoralists in Kaokoveld, Namibia, we expand the standard gonorrhoea transmission model by using locally derived sexual contact data to explore transmission dynamics in a population with high rates of partner exchange and low treatment-seeking behaviour. We use the model to generate ball-park estimates for transmission probabilities and other parameter values for low-level (i.e. less than approx. 1200 copies/20 \u00b5l PCR reaction) asymptomatic infections, which account for 74% of all GC infections found in Kaokoveld in 2009, and to describe the impact of asymptomatic, low-level infections on overall prevalence patterns. Our results suggest that GC transmission probabilities are higher than previously estimated, that untreated infections take longer to clear than previously estimated and that a high prevalence of low-level infections is partially due to larger numbers of untreated, asymptomatic infections. These results provide new insights into the natural history of GC and the challenge of syndromic management programmes for the eradication of endemic gonorrhoea.", "author" : [ { "dropping-particle" : "", "family" : "Hazel", "given" : "Ashley", "non-dropping-particle" : "", "parse-names" : false, "suffix" : "" }, { "dropping-particle" : "", "family" : "Marino", "given" : "Simeone", "non-dropping-particle" : "", "parse-names" : false, "suffix" : "" }, { "dropping-particle" : "", "family" : "Simon", "given" : "Carl", "non-dropping-particle" : "", "parse-names" : false, "suffix" : "" } ], "container-title" : "J R Soc Interface", "id" : "ITEM-1", "issue" : "106", "issued" : { "date-parts" : [ [ "2015" ] ] }, "page" : "20150067", "title" : "An anthropologically based model of the impact of asymptomatic cases on the spread of Neisseria gonorrhoeae.", "type" : "article-journal", "volume" : "12" }, "uris" : [ "http://www.mendeley.com/documents/?uuid=80f6739b-9b41-4722-bd93-001e23ac65df", "http://www.mendeley.com/documents/?uuid=1bdee7b1-90d9-34ba-9adf-8d5afad96b0e" ] }, { "id" : "ITEM-2", "itemData" : { "ISSN" : "1472-3263", "PMID" : "19854700", "abstract" : "BACKGROUND In settings with poor sexually transmitted infection (STI) control in high-risk groups, periodic presumptive treatment (PPT) can quickly reduce the prevalence of genital ulcers, Neisseria gonorrhoeae (NG) and Chlamydia trachomatis (CT). However, few studies have assessed the impact on HIV. Mathematical modelling is used to quantify the likely HIV impact of different PPT interventions. METHODS A mathematical model was developed to project the impact of PPT on STI/HIV transmission amongst a homogeneous population of female sex workers (FSWs) and their clients. Using data from Johannesburg, the impact of PPT interventions with different coverages and PPT frequencies was estimated. A sensitivity analysis explored how the projections were affected by different model parameters or if the intervention was undertaken elsewhere. RESULTS Substantial decreases in NG/CT prevalence are achieved among FSWs receiving PPT. Although less impact is achieved among all FSWs, large decreases in NG/CT prevalence (&gt;50%) are possible with &gt;30% coverage and supplying PPT every month. Higher PPT frequencies achieve little additional impact, whereas improving coverage increases impact until NG/CT becomes negligible. The impact on HIV incidence is smaller, longer to achieve, and depends heavily on the assumed NG/CT cofactors, whether they are additive, the assumed STI/HIV transmission probabilities and STI durations. Greater HIV impact can be achieved in settings with lower sexual activity (except at high coverage), less STI treatment or high prevalences of Haemophilus ducreyi. CONCLUSIONS Despite the model's assumption of homogeneous risk behaviour probably resulting in optimistic projections, and uncertainty in STI cofactors and transmission probabilities, projections suggest PPT interventions with sufficient coverage (&gt; or = 40%) and follow-up (&gt; or = 2 years) could noticeably decrease the HIV incidence (&gt;20%) among FSW populations with inadequate STI treatment.", "author" : [ { "dropping-particle" : "", "family" : "Vickerman", "given" : "Peter", "non-dropping-particle" : "", "parse-names" : false, "suffix" : "" }, { "dropping-particle" : "", "family" : "Ndowa", "given" : "Francis", "non-dropping-particle" : "", "parse-names" : false, "suffix" : "" }, { "dropping-particle" : "", "family" : "O'Farrell", "given" : "Nigel", "non-dropping-particle" : "", "parse-names" : false, "suffix" : "" }, { "dropping-particle" : "", "family" : "Steen", "given" : "Richard", "non-dropping-particle" : "", "parse-names" : false, "suffix" : "" }, { "dropping-particle" : "", "family" : "Alary", "given" : "Michel", "non-dropping-particle" : "", "parse-names" : false, "suffix" : "" }, { "dropping-particle" : "", "family" : "Delany-Moretlwe", "given" : "Sinead", "non-dropping-particle" : "", "parse-names" : false, "suffix" : "" } ], "container-title" : "Sex Transm Infect", "id" : "ITEM-2", "issue" : "3", "issued" : { "date-parts" : [ [ "2010", "6" ] ] }, "page" : "163-8", "title" : "Using mathematical modelling to estimate the impact of periodic presumptive treatment on the transmission of sexually transmitted infections and HIV among female sex workers.", "type" : "article-journal", "volume" : "86" }, "uris" : [ "http://www.mendeley.com/documents/?uuid=a78f9cc5-0c6f-41b1-91c9-c31233f6e918", "http://www.mendeley.com/documents/?uuid=a144e9a2-eb8c-34a9-8395-1ed13bd74440", "http://www.mendeley.com/documents/?uuid=54d00fea-3481-4c4a-a56e-c11758645fbc" ] } ], "mendeley" : { "formattedCitation" : "&lt;sup&gt;83,101&lt;/sup&gt;", "plainTextFormattedCitation" : "83,101", "previouslyFormattedCitation" : "&lt;sup&gt;83,101&lt;/sup&gt;"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83,101</w:t>
      </w:r>
      <w:r w:rsidRPr="0024409C">
        <w:rPr>
          <w:rFonts w:ascii="Helvetica Neue" w:hAnsi="Helvetica Neue"/>
        </w:rPr>
        <w:fldChar w:fldCharType="end"/>
      </w:r>
      <w:r w:rsidRPr="0024409C">
        <w:rPr>
          <w:rFonts w:ascii="Helvetica Neue" w:hAnsi="Helvetica Neue"/>
        </w:rPr>
        <w:t xml:space="preserve"> with estimates also observed at 30-day intervals between 60 days and 200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"ITEM-1",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"id" : "ITEM-2",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"ITEM-2",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"ITEM-3", "itemData" : { "ISSN" : "1368-4973", "PMID" : "12083451", "abstract" : "Mathematical models have highlighted the disproportionate contribution of core group transmitters to the spread of sexually transmitted diseases. Because the effectiveness of interventions varies with time, it has been suggested that epidemic phases should be considered in the design of prevention strategies. This study aimed to examine the impact of HIV epidemic phases on the effectiveness of HIV interventions based on gonorrhoea screening and condom use, targeted to core groups. The results are based on a mathematical model of gonorrhoea and HIV transmission in a relatively slow spreading HIV epidemic using Cotonou (Benin) as an example. For epidemics with a low reproductive potential modest core group interventions can significantly reduce HIV incidence and prevalence. As the epidemic matures, effective interventions should also incorporate core and non-core populations. For epidemics with a high reproductive potential, core group interventions are necessary but not sufficient to have a rapid and large scale impact. A more general population approach is also needed early in the epidemic. Epidemic phases are also important in the evaluation of prevention strategies.", "author" : [ { "dropping-particle" : "", "family" : "Boily", "given" : "M C", "non-dropping-particle" : "", "parse-names" : false, "suffix" : "" }, { "dropping-particle" : "", "family" : "Lowndes", "given" : "C", "non-dropping-particle" : "", "parse-names" : false, "suffix" : "" }, { "dropping-particle" : "", "family" : "Alary", "given" : "M", "non-dropping-particle" : "", "parse-names" : false, "suffix" : "" } ], "container-title" : "Sex Transm Infect", "id" : "ITEM-3", "issued" : { "date-parts" : [ [ "2002", "4" ] ] }, "page" : "i78-90", "title" : "The impact of HIV epidemic phases on the effectiveness of core group interventions: insights from mathematical models.", "type" : "article-journal", "volume" : "78 Suppl 1" }, "uris" : [ "http://www.mendeley.com/documents/?uuid=5eb21c40-44ca-4bc5-8d4b-98326a35becd", "http://www.mendeley.com/documents/?uuid=0c0617ec-bc11-3d81-8858-26ebfd888c5d", "http://www.mendeley.com/documents/?uuid=f8ad8c98-0fcf-42bb-9500-8afbbdfdae5f" ] }, { "id" : "ITEM-4", "itemData" : { "ISSN" : "0148-5717", "PMID" : "8836026", "abstract" : "BACKGROUND Studies have reported that infection with certain sexually transmitted diseases (STD), such as chancroid, gonorrhea, and genital herpes, enhances the probability of human immunodeficiency virus (HIV) transmission by sexual contact with an infected partner. Epidemiologic studies vary in design from longitudinal to cross-sectional, with varying periods of follow-up or retrospective history of exposure to STD. The major difficulty in assessing the results of past work centers on the validity and precision of widely used measures of association, such as relative risk (RR) and odds ratio (OR), in situations in which common behavior (e.g., different facets of sexual behavior) underpins the acquisition of both the STD cofactor and HIV. GOAL To evaluate the quality of the cumulative incidence ratio (CIR), the hazard rate ratio (HRR), and the prevalence ratio (PR) as measures of association to estimate and test the increase in HIV transmission probabilities caused by the STD. STUDY DESIGN The study is based on a proportional hazard stochastic model of concomitant HIV and STD cofactor transmission. Analysis was performed using Monte-Carlo simulation. RESULTS Estimates of the HIV-STD association by the CIR, HRR, and PR, adjusted and nonadjusted for sexual activity, are shown to have poor validity and great variability. The adjusted CIR, HRR, and PR tend to underestimate the strength of the true association (specified in the model) in both longitudinal and cross-sectional designs. In the absence an HIV-STD association, the PR tends to overestimate the magnitude, whereas the CIR and HRR may either underestimate or overestimate it in longitudinal studies. These results have direct consequences on the reliability of the test of association showing both a lack of specificity (empirical type I error) and sensitivity (empirical power). Some reasons contributing to the bias in the estimates of the measures of association are the presence of confounding variables, namely the frequency of change of sex partner and the mixing pattern between sexual activity classes, as well as the adopted definition of exposure to the STD cofactor and the prevalence of both HIV and the STD cofactor. CONCLUSIONS The precision of estimates and reliability of the test of HIV-STD association could be improved through longitudinal studies using more careful definition and measurement of exposure to the STD cofactor and larger sample sizes permitting finer stratification of sexual behav\u2026", "author" : [ { "dropping-particle" : "", "family" : "Boily", "given" : "M C", "non-dropping-particle" : "", "parse-names" : false, "suffix" : "" }, { "dropping-particle" : "", "family" : "Anderson", "given" : "R M", "non-dropping-particle" : "", "parse-names" : false, "suffix" : "" } ], "container-title" : "Sex Transm Dis", "id" : "ITEM-4", "issue" : "4", "issued" : { "date-parts" : [ [ "1996" ] ] }, "page" : "312-32", "title" : "Human immunodeficiency virus transmission and the role of other sexually transmitted diseases. Measures of association and study design.", "type" : "article-journal", "volume" : "23" }, "uris" : [ "http://www.mendeley.com/documents/?uuid=973f7399-68f9-4c40-a0d7-bae81ca8a778", "http://www.mendeley.com/documents/?uuid=c3294f5e-676e-3257-b978-06db0c39a45d", "http://www.mendeley.com/documents/?uuid=7b035853-41b5-459c-9603-832334bd49fd" ] } ], "mendeley" : { "formattedCitation" : "&lt;sup&gt;55,90,94,104&lt;/sup&gt;", "plainTextFormattedCitation" : "55,90,94,104", "previouslyFormattedCitation" : "&lt;sup&gt;55,90,94,104&lt;/sup&gt;"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55,90,94,104</w:t>
      </w:r>
      <w:r w:rsidRPr="0024409C">
        <w:rPr>
          <w:rFonts w:ascii="Helvetica Neue" w:hAnsi="Helvetica Neue"/>
        </w:rPr>
        <w:fldChar w:fldCharType="end"/>
      </w:r>
      <w:r w:rsidRPr="0024409C">
        <w:rPr>
          <w:rFonts w:ascii="Helvetica Neue" w:hAnsi="Helvetica Neue"/>
        </w:rPr>
        <w:t xml:space="preserve"> Estimates of the duration of the infectious stage of NG ranged from 14 days in treated individuals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"ITEM-1",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 }, { "id" : "ITEM-2",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"ITEM-2",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"&lt;sup&gt;72,76&lt;/sup&gt;", "manualFormatting" : "6", "plainTextFormattedCitation" : "72,76", "previouslyFormattedCitation" : "&lt;sup&gt;72,76&lt;/sup&gt;" }, "properties" : { "noteIndex" : 0 }, "schema" : "https://github.com/citation-style-language/schema/raw/master/csl-citation.json" }</w:instrText>
      </w:r>
      <w:r w:rsidRPr="0024409C">
        <w:rPr>
          <w:rFonts w:ascii="Helvetica Neue" w:hAnsi="Helvetica Neue"/>
        </w:rPr>
        <w:fldChar w:fldCharType="separate"/>
      </w:r>
      <w:r w:rsidRPr="0024409C">
        <w:rPr>
          <w:rFonts w:ascii="Helvetica Neue" w:hAnsi="Helvetica Neue"/>
          <w:noProof/>
          <w:vertAlign w:val="superscript"/>
        </w:rPr>
        <w:t>6</w:t>
      </w:r>
      <w:r w:rsidRPr="0024409C">
        <w:rPr>
          <w:rFonts w:ascii="Helvetica Neue" w:hAnsi="Helvetica Neue"/>
        </w:rPr>
        <w:fldChar w:fldCharType="end"/>
      </w:r>
      <w:r w:rsidRPr="0024409C">
        <w:rPr>
          <w:rFonts w:ascii="Helvetica Neue" w:hAnsi="Helvetica Neue"/>
        </w:rPr>
        <w:t xml:space="preserve"> to 180–185 days in untreated individuals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"1932-6203", "PMID" : "26181042", "abstract" : "BACKGROUND Surveillance for gonorrhoea antimicrobial resistance (AMR) is compromised by a move away from culture-based testing in favour of more convenient nucleic acid amplification test (NAAT) tests. We assessed the potential benefit of a molecular resistance test in terms of the timeliness of detection of gonorrhoea AMR. METHODS AND FINDINGS An individual-based mathematical model was developed to describe the transmission of gonorrhoea in a remote Indigenous population in Australia. We estimated the impact of the molecular test on the time delay between first importation and the first confirmation that the prevalence of gonorrhoea AMR (resistance proportion) has breached the WHO-recommended 5% threshold (when a change in antibiotic should occur). In the remote setting evaluated in this study, the model predicts that when culture is the only available means of testing for AMR, the breach will only be detected when the actual prevalence of AMR in the population has already reached 8 - 18%, with an associated delay of ~43 - 69 months between first importation and detection. With the addition of a molecular resistance test, the number of samples for which AMR can be determined increases facilitating earlier detection at a lower resistance proportion. For the best case scenario, where AMR can be determined for all diagnostic samples, the alert would be triggered at least 8 months earlier than using culture alone and the resistance proportion will have only slightly exceeded the 5% notification threshold. CONCLUSIONS Molecular tests have the potential to provide more timely warning of the emergence of gonorrhoea AMR. This in turn will facilitate earlier treatment switching and more targeted treatment, which has the potential to reduce the population impact of gonorrhoea AMR.", "author" : [ { "dropping-particle" : "", "family" : "Hui", "given" : "Ben B", "non-dropping-particle" : "", "parse-names" : false, "suffix" : "" }, { "dropping-particle" : "", "family" : "Ryder", "given" : "Nathan", "non-dropping-particle" : "", "parse-names" : false, "suffix" : "" }, { "dropping-particle" : "", "family" : "Su", "given" : "Jiunn-Yih", "non-dropping-particle" : "", "parse-names" : false, "suffix" : "" }, { "dropping-particle" : "", "family" : "Ward", "given" : "James", "non-dropping-particle" : "", "parse-names" : false, "suffix" : "" }, { "dropping-particle" : "", "family" : "Chen", "given" : "Marcus Y", "non-dropping-particle" : "", "parse-names" : false, "suffix" : "" }, { "dropping-particle" : "", "family" : "Donovan", "given" : "Basil", "non-dropping-particle" : "", "parse-names" : false, "suffix" : "" }, { "dropping-particle" : "", "family" : "Fairley", "given" : "Christopher K", "non-dropping-particle" : "", "parse-names" : false, "suffix" : "" }, { "dropping-particle" : "", "family" : "Guy", "given" : "Rebecca J", "non-dropping-particle" : "", "parse-names" : false, "suffix" : "" }, { "dropping-particle" : "", "family" : "Lahra", "given" : "Monica M", "non-dropping-particle" : "", "parse-names" : false, "suffix" : "" }, { "dropping-particle" : "", "family" : "Law", "given" : "Mathew G", "non-dropping-particle" : "", "parse-names" : false, "suffix" : "" }, { "dropping-particle" : "", "family" : "Whiley", "given" : "David M", "non-dropping-particle" : "", "parse-names" : false, "suffix" : "" }, { "dropping-particle" : "", "family" : "Regan", "given" : "David G", "non-dropping-particle" : "", "parse-names" : false, "suffix" : "" } ], "container-title" : "PLoS ONE", "id" : "ITEM-1", "issue" : "7", "issued" : { "date-parts" : [ [ "2015" ] ] }, "page" : "e0133202", "title" : "Exploring the benefits of molecular testing for gonorrhoea antibiotic resistance surveillance in remote settings", "type" : "article-journal", "volume" : "10" }, "uris" : [ "http://www.mendeley.com/documents/?uuid=853244d6-109b-48aa-ba0a-5a4ae2a51e59", "http://www.mendeley.com/documents/?uuid=85aa5e13-fa6a-3558-a9cb-11a0e8643472" ] }, { "id" : "ITEM-2", "itemData" : { "ISSN" : "0265-0746", "PMID" : "1517674", "abstract" : "Heterogeneity in sexual behaviour has an important influence on the transmission dynamics of sexually transmitted diseases (STDs). The authors describe the development of a simple mathematical model, incorporating such heterogeneity, to investigate the demographic impact of gonorrhoea on human population growth in developing countries where the disease is endemic. Earlier predictions, based on a model with homogeneous mixing, are shown to be in good qualitative agreement with the predictions of a more complex mathematical framework in which the population is stratified both by sex and into two subgroups representing low and high sexual activity, defined on the basis of rates of sexual partner change. Analyses also demonstrate that the pattern of mixing (assortative to random) between the sexual activity classes has an important influence on the predicted prevalence of gonococcal infection in a defined community. The more complex model supports earlier conclusions that gonorrhoea, via its impact on fertility, can significantly reduce net population growth rates.", "author" : [ { "dropping-particle" : "", "family" : "Garnett", "given" : "G P", "non-dropping-particle" : "", "parse-names" : false, "suffix" : "" }, { "dropping-particle" : "", "family" : "Swinton", "given" : "J", "non-dropping-particle" : "", "parse-names" : false, "suffix" : "" }, { "dropping-particle" : "", "family" : "Brunham", "given" : "R C", "non-dropping-particle" : "", "parse-names" : false, "suffix" : "" }, { "dropping-particle" : "", "family" : "Anderson", "given" : "R M", "non-dropping-particle" : "", "parse-names" : false, "suffix" : "" } ], "container-title" : "IMA J Math Appl Med Biol", "id" : "ITEM-2", "issue" : "2", "issued" : { "date-parts" : [ [ "1992" ] ] }, "page" : "127-44", "title" : "Gonococcal infection, infertility, and population growth: II. The influence of heterogeneity in sexual behaviour.", "type" : "article-journal", "volume" : "9" }, "uris" : [ "http://www.mendeley.com/documents/?uuid=6b6c92de-982a-478d-a79f-e7f2af7be962", "http://www.mendeley.com/documents/?uuid=754168b4-8f73-3e81-8ddf-90256ce32a54", "http://www.mendeley.com/documents/?uuid=586d3186-2e8d-4d95-aec3-81baaa69cd87" ] }, { "id" : "ITEM-3",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"ITEM-3",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"&lt;sup&gt;72,80,84&lt;/sup&gt;", "plainTextFormattedCitation" : "72,80,84", "previouslyFormattedCitation" : "&lt;sup&gt;72,80,84&lt;/sup&gt;"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72,80,84</w:t>
      </w:r>
      <w:r w:rsidRPr="0024409C">
        <w:rPr>
          <w:rFonts w:ascii="Helvetica Neue" w:hAnsi="Helvetica Neue"/>
        </w:rPr>
        <w:fldChar w:fldCharType="end"/>
      </w:r>
      <w:r w:rsidRPr="0024409C">
        <w:rPr>
          <w:rFonts w:ascii="Helvetica Neue" w:hAnsi="Helvetica Neue"/>
        </w:rPr>
        <w:t xml:space="preserve"> but varied widely between those extremes.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"0277-9536", "PMID" : "11144911", "abstract" : "We assessed the cost-effectiveness of the female condom (FC) in preventing HIV infection and other STDs among commercial sex workers (CSWs) and their clients in the Mpumulanga Province of South Africa. The health and economic outcomes of current levels of male condom (MC) use in 1000 CSWs who average 25 partners per year and have an HIV prevalence of 50.3% was compared with the expected outcomes resulting from the additional provision of FCs to these CSWs. A simulation model calculated health and public sector cost outcomes assuming 5 years of HIV infectivity, 1 month of syphilis and gonorrhea infectivity, and FC use in 12% of episodes of vaginal intercourse. Delayed infections and interactions between STDs and HIV were modeled. The simulation was extended to non-CSWs with as few as one casual partner per year. We conducted multiple sensitivity analyses. The program would distribute 6000 FCs annually at a cost of $4002 and would avert 5.9 HIV, 38 syphilis, and 33 gonorrhea cases. This would save the public sector health payer $12,090 in averted HIV/AIDS treatment costs, and $1,074 in averted syphilis and gonorrhea treatment costs for a net saving of $9163. Sensitivity analyses indicate that the economic findings are robust across a wide range of values for key inputs. The program generates net savings of $5421 if HIV prevalence in CSWs is 25% rather than 50.3% and savings of S3591 if each CSW has an average of 10 clients per year rather than 25. A program focusing on non-CSWs with only one casual partner would save $199. We conclude that a well-designed FC program oriented to CSWs and other women with casual partners is likely to be highly cost-effective and can save public sector health funds in rural South Africa.", "author" : [ { "dropping-particle" : "", "family" : "Marseille", "given" : "E", "non-dropping-particle" : "", "parse-names" : false, "suffix" : "" }, { "dropping-particle" : "", "family" : "Kahn", "given" : "J G", "non-dropping-particle" : "", "parse-names" : false, "suffix" : "" }, { "dropping-particle" : "", "family" : "Billinghurst", "given" : "K", "non-dropping-particle" : "", "parse-names" : false, "suffix" : "" }, { "dropping-particle" : "", "family" : "Saba", "given" : "J", "non-dropping-particle" : "", "parse-names" : false, "suffix" : "" } ], "container-title" : "Soc Sci Med", "id" : "ITEM-1", "issue" : "1", "issued" : { "date-parts" : [ [ "2001", "1" ] ] }, "page" : "135-48", "title" : "Cost-effectiveness of the female condom in preventing HIV and STDs in commercial sex workers in rural South Africa.", "type" : "article-journal", "volume" : "52" }, "uris" : [ "http://www.mendeley.com/documents/?uuid=4375174b-6f5e-498f-9a66-4bc3fbb570fd", "http://www.mendeley.com/documents/?uuid=bd626c35-2926-3dfb-8e87-42c0328aed1e" ] }, { "id" : "ITEM-2", "itemData" : { "ISSN" : "0300-5771", "author" : [ { "dropping-particle" : "", "family" : "Stigum", "given" : "Hein", "non-dropping-particle" : "", "parse-names" : false, "suffix" : "" }, { "dropping-particle" : "", "family" : "Magnus", "given" : "Per", "non-dropping-particle" : "", "parse-names" : false, "suffix" : "" }, { "dropping-particle" : "", "family" : "Veierod", "given" : "Marit", "non-dropping-particle" : "", "parse-names" : false, "suffix" : "" }, { "dropping-particle" : "", "family" : "Bakketeig", "given" : "Leiv S", "non-dropping-particle" : "", "parse-names" : false, "suffix" : "" } ], "container-title" : "Int J Epidem", "id" : "ITEM-2", "issue" : "4", "issued" : { "date-parts" : [ [ "1995" ] ] }, "page" : "813-820", "publisher" : "Oxford University Press", "title" : "Impact on Sexually Transmitted Disease Spread of Increased Condom Use by Young Females, 1987\u20131992", "type" : "article-journal", "volume" : "24" }, "uris" : [ "http://www.mendeley.com/documents/?uuid=fc5b02b4-bb3e-4e0f-9e83-3adac47bbe37" ] }, { "id" : "ITEM-3", "itemData" : { "ISSN" : "0022-1899", "PMID" : "16088832", "abstract" : "Prompt treatment of infectious diseases plays an important role in infection control. In the face of the increasing incidence of sexually transmitted infection, the ability of genitourinary medicine services to provide appropriate and timely care is reduced. To explore the relationship between capacity and demand for care, we developed and analyzed a mathematical model of gonorrhea transmission, incorporating patient flow through treatment services and heterogeneity in sexual risk behavior. Two equilibrium levels of infection incidence--\"high\" and \"low\"--exist for the same parameter values, and which of them occurs depends on starting conditions. At the high-incidence equilibrium, there is a \"vicious circle\" in which inadequate treatment capacity leads to many untreated infections, generating further high incidence and high demand and thus maintaining the inadequacy of services. A substantial increase in capacity is needed to interrupt this process and enter a \"virtuous circle,\" in which adequate service provision keeps demand low, offering cost savings as well as improvements in health.", "author" : [ { "dropping-particle" : "", "family" : "White", "given" : "Peter J", "non-dropping-particle" : "", "parse-names" : false, "suffix" : "" }, { "dropping-particle" : "", "family" : "Ward", "given" : "Helen", "non-dropping-particle" : "", "parse-names" : false, "suffix" : "" }, { "dropping-particle" : "", "family" : "Cassell", "given" : "Jackie A", "non-dropping-particle" : "", "parse-names" : false, "suffix" : "" }, { "dropping-particle" : "", "family" : "Mercer", "given" : "Catherine H", "non-dropping-particle" : "", "parse-names" : false, "suffix" : "" }, { "dropping-particle" : "", "family" : "Garnett", "given" : "Geoff P", "non-dropping-particle" : "", "parse-names" : false, "suffix" : "" } ], "container-title" : "J Inf Dis", "id" : "ITEM-3", "issue" : "5", "issued" : { "date-parts" : [ [ "2005", "9" ] ] }, "page" : "824-36", "title" : "Vicious and virtuous circles in the dynamics of infectious disease and the provision of health care: gonorrhea in Britain as an example.", "type" : "article-journal", "volume" : "192" }, "uris" : [ "http://www.mendeley.com/documents/?uuid=2f38a072-ac48-434b-9215-817a45c054f4", "http://www.mendeley.com/documents/?uuid=0b14f72c-4310-3a51-9740-8acbb798132f", "http://www.mendeley.com/documents/?uuid=5b4cfbe8-a7e3-44c8-89fd-a787eec361de" ] }, { "id" : "ITEM-4", "itemData" : { "ISSN" : "0269-9370", "PMID" : "10780720", "abstract" : "OBJECTIVES To compare the impact of single-round mass treatment of sexually transmitted diseases (STD), sustained syndromic treatment and their combination on the incidence of HIV in rural Africa. METHODS We studied the effects of STD interventions by stochastic simulation using the model STDSIM. Parameters were fitted using data from a trial of improved STD treatment services in Mwanza, Tanzania. Effectiveness was assessed by comparing the prevalences of gonorrhoea, chlamydia, syphilis and chancroid, and the incidence of HIV, in the general adult population in simulations with and without intervention. RESULTS Single-round mass treatment was projected to achieve an immediate, substantial reduction in STD prevalences, which would return to baseline levels over 5-10 years. The effect on syphilis was somewhat larger if participants cured of latent syphilis were not immediately susceptible to re-infection. At 80% coverage, the model projected a reduction in cumulative HIV incidence over 2 years of 36%. A similar impact was achieved if treatment of syphilis was excluded from the intervention or confined to those in the infectious stages. In comparison with sustained syndromic treatment, single-round mass treatment had a greater short-term impact on HIV (36 versus 30% over 2 years), but a smaller long-term impact (24 versus 62% over 10 years). Mass treatment combined with improved treatment services led to a rapid and sustained fall in HIV incidence (57% over 2 years; 70% over 10 years). CONCLUSIONS In populations in which STD control can reduce HIV incidence, mass treatment may, in the short run, have an impact comparable to sustained syndromic treatment. Mass treatment combined with sustained syndromic treatment may be particularly effective.", "author" : [ { "dropping-particle" : "", "family" : "Korenromp", "given" : "E L", "non-dropping-particle" : "", "parse-names" : false, "suffix" : "" }, { "dropping-particle" : "", "family" : "Vliet", "given" : "C", "non-dropping-particle" : "Van", "parse-names" : false, "suffix" : "" }, { "dropping-particle" : "", "family" : "Grosskurth", "given" : "H", "non-dropping-particle" : "", "parse-names" : false, "suffix" : "" }, { "dropping-particle" : "", "family" : "Gavyole", "given" : "A", "non-dropping-particle" : "", "parse-names" : false, "suffix" : "" }, { "dropping-particle" : "", "family" : "Ploeg", "given" : "C P", "non-dropping-particle" : "Van der", "parse-names" : false, "suffix" : "" }, { "dropping-particle" : "", "family" : "Fransen", "given" : "L", "non-dropping-particle" : "", "parse-names" : false, "suffix" : "" }, { "dropping-particle" : "", "family" : "Hayes", "given" : "R J", "non-dropping-particle" : "", "parse-names" : false, "suffix" : "" }, { "dropping-particle" : "", "family" : "Habbema", "given" : "J D", "non-dropping-particle" : "", "parse-names" : false, "suffix" : "" } ], "container-title" : "AIDS", "id" : "ITEM-4", "issue" : "5", "issued" : { "date-parts" : [ [ "2000", "3" ] ] }, "page" : "573-93", "title" : "Model-based evaluation of single-round mass treatment of sexually transmitted diseases for HIV control in a rural African population.", "type" : "article-journal", "volume" : "14" }, "uris" : [ "http://www.mendeley.com/documents/?uuid=370330dc-ca49-4e21-821c-f379f4836ea8", "http://www.mendeley.com/documents/?uuid=814ef6e7-4efc-3227-a520-7d2796ec4d3f", "http://www.mendeley.com/documents/?uuid=cc1fc8ee-961e-4dd1-b97e-4ea0690f9d6f" ] } ], "mendeley" : { "formattedCitation" : "&lt;sup&gt;43,76,77,100&lt;/sup&gt;", "plainTextFormattedCitation" : "43,76,77,100", "previouslyFormattedCitation" : "&lt;sup&gt;43,76,77,100&lt;/sup&gt;"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43,76,77,100</w:t>
      </w:r>
      <w:r w:rsidRPr="0024409C">
        <w:rPr>
          <w:rFonts w:ascii="Helvetica Neue" w:hAnsi="Helvetica Neue"/>
        </w:rPr>
        <w:fldChar w:fldCharType="end"/>
      </w:r>
    </w:p>
    <w:p w14:paraId="48A1C3C2" w14:textId="77777777" w:rsidR="00A5457A" w:rsidRDefault="00A5457A" w:rsidP="00A5457A">
      <w:pPr>
        <w:spacing w:line="360" w:lineRule="auto"/>
        <w:rPr>
          <w:rFonts w:ascii="Helvetica Neue" w:hAnsi="Helvetica Neue"/>
        </w:rPr>
      </w:pPr>
    </w:p>
    <w:p w14:paraId="4C3D316E" w14:textId="58A0656F" w:rsidR="00EA384A" w:rsidRPr="0024409C" w:rsidRDefault="00EA384A" w:rsidP="00A5457A">
      <w:pPr>
        <w:spacing w:line="360" w:lineRule="auto"/>
        <w:rPr>
          <w:rFonts w:ascii="Helvetica Neue" w:hAnsi="Helvetica Neue"/>
        </w:rPr>
      </w:pPr>
      <w:r w:rsidRPr="0024409C">
        <w:rPr>
          <w:rFonts w:ascii="Helvetica Neue" w:hAnsi="Helvetica Neue"/>
        </w:rPr>
        <w:t>For models specifying the duration of an asymptomatic NG infection, estimates were also bimodal, with clusters at 105–135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"1368-4973", "author" : [ { "dropping-particle" : "", "family" : "Johnson", "given" : "L. F.", "non-dropping-particle" : "", "parse-names" : false, "suffix" : "" }, { "dropping-particle" : "", "family" : "Alkema", "given" : "L.", "non-dropping-particle" : "", "parse-names" : false, "suffix" : "" }, { "dropping-particle" : "", "family" : "Dorrington", "given" : "R. E.", "non-dropping-particle" : "", "parse-names" : false, "suffix" : "" } ], "container-title" : "Sex Transm Infect", "id" : "ITEM-1", "issue" : "3", "issued" : { "date-parts" : [ [ "2010", "6", "1" ] ] }, "page" : "169-174", "title" : "A Bayesian approach to uncertainty analysis of sexually transmitted infection models", "type" : "article-journal", "volume" : "86" }, "uris" : [ "http://www.mendeley.com/documents/?uuid=31e9dca7-f246-4670-9001-4c78d9774ec7" ] }, { "id" : "ITEM-2", "itemData" : { "ISSN" : "0002-9262", "PMID" : "8686700", "abstract" : "A simulation model was used to study the spread of two sexually transmitted diseases (STDs), namely gonorrhea and genital infection with Chlamydia trachomatis. The model is based on a stochastic pair formation and separation process, which describes the underlying structure of the sexual contact pattern. It is implemented as a Monte Carlo simulation model. Spread of the STDs was modeled in an age-structured heterosexual population with a highly sexually active core group. Contact tracing strategies, screening of various subgroups, and the effect of condom use were compared. The authors conclude that contact tracing is very effective as a prevention strategy, that screening should be targeted to the highly active core group, that age is not sufficient as a determinant for high sexual activity to make screening of certain age groups useful, and, finally, that consistent condom use by a fraction of the population can contribute substantially to the prevention of STDs. All strategies proved more effective for gonorrhea than for Chlamydia prevention, which may explain the relatively high prevalence of Chlamydia found in many heterosexual populations.", "author" : [ { "dropping-particle" : "", "family" : "Kretzschmar", "given" : "M", "non-dropping-particle" : "", "parse-names" : false, "suffix" : "" }, { "dropping-particle" : "", "family" : "Duynhoven", "given" : "Y T", "non-dropping-particle" : "van", "parse-names" : false, "suffix" : "" }, { "dropping-particle" : "", "family" : "Severijnen", "given" : "A J", "non-dropping-particle" : "", "parse-names" : false, "suffix" : "" } ], "container-title" : "Am J Epidemiol", "id" : "ITEM-2", "issue" : "3", "issued" : { "date-parts" : [ [ "1996", "8" ] ] }, "page" : "306-17", "title" : "Modeling prevention strategies for gonorrhea and Chlamydia using stochastic network simulations.", "type" : "article-journal", "volume" : "144" }, "uris" : [ "http://www.mendeley.com/documents/?uuid=d8b3bfe1-8a1d-4217-9bab-df93a86643b5", "http://www.mendeley.com/documents/?uuid=5b3af868-c441-32a9-bba7-3e96628e7836", "http://www.mendeley.com/documents/?uuid=f3e3cfaa-debf-49f8-ac32-698732f5e778" ] }, { "id" : "ITEM-3",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"ITEM-3", "issue" : "2", "issued" : { "date-parts" : [ [ "2012", "2" ] ] }, "page" : "161-8", "title" : "The role of sexually transmitted infections in the evolution of the South African HIV epidemic.", "type" : "article-journal", "volume" : "17" }, "uris" : [ "http://www.mendeley.com/documents/?uuid=0e1ea8f2-849f-41da-864c-66e864358726" ] }, { "id" : "ITEM-4",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"ITEM-4", "issued" : { "date-parts" : [ [ "2013" ] ] }, "page" : "188", "title" : "Population movement can sustain STI prevalence in remote Australian indigenous communities.", "type" : "article-journal", "volume" : "13" }, "uris" : [ "http://www.mendeley.com/documents/?uuid=439c8ade-8864-4f5e-9dff-966b3d367e00" ] } ], "mendeley" : { "formattedCitation" : "&lt;sup&gt;40,49,54,68&lt;/sup&gt;", "plainTextFormattedCitation" : "40,49,54,68", "previouslyFormattedCitation" : "&lt;sup&gt;40,49,54,68&lt;/sup&gt;"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40,49,54,68</w:t>
      </w:r>
      <w:r w:rsidRPr="0024409C">
        <w:rPr>
          <w:rFonts w:ascii="Helvetica Neue" w:hAnsi="Helvetica Neue"/>
        </w:rPr>
        <w:fldChar w:fldCharType="end"/>
      </w:r>
      <w:r w:rsidRPr="0024409C">
        <w:rPr>
          <w:rFonts w:ascii="Helvetica Neue" w:hAnsi="Helvetica Neue"/>
        </w:rPr>
        <w:t xml:space="preserve"> and 180–185 days.</w:t>
      </w:r>
      <w:r w:rsidRPr="0024409C">
        <w:rPr>
          <w:rFonts w:ascii="Helvetica Neue" w:hAnsi="Helvetica Neue"/>
        </w:rPr>
        <w:fldChar w:fldCharType="begin" w:fldLock="1"/>
      </w:r>
      <w:r w:rsidR="002E5A1F">
        <w:rPr>
          <w:rFonts w:ascii="Helvetica Neue" w:hAnsi="Helvetica Neue"/>
        </w:rPr>
        <w:instrText>ADDIN CSL_CITATION { "citationItems" : [ { "id" : "ITEM-1", "itemData" : { "ISSN" : "0962-8436", "PMID" : "10365404", "abstract" : "A survey of the sexual behaviour of gonorrhoea patients in Newark was undertaken to evaluate parameters within a model of gonorrhoea transmission. Modelling work aimed to explain observed epidemiological patterns and to explore the potential impact of interventions. Reported behaviours, along with values derived from the literature, were used within a standard deterministic model of gonorrhoea transmission, where the population was stratified according to sex and rates of sex-partner change. The behaviours reported, particularly among women, are insufficient by themselves to explain the continued existence of gonorrhoea within the population. The majority of symptomatic patients seek treatment within a few days, and report that they do not have unprotected sex while symptomatic. The proportion of patients with low numbers of sex partners suggests that sexual mixing between people categorized according to sexual behaviour is near random. To explain the persistence of gonorrhoea, there must be some patients who, when infected, do not seek care in public clinics. In addition, gonorrhoea incidence in the model is sensitive to change, such that very small reductions in risk behaviour could lead to its elimination. This does not accord with the observed failure of many interventions to eliminate infection, suggesting that the modelled infection is too sensitive to change. The model, which has been influential in gonorrhoea epidemiology, is not consistent with the observed epidemiology of gonorrhoea in populations. Alternative models need to explore the observed stability of gonorrhoea before robust modelling conclusions can be drawn on how best to control infection. However, the current results do highlight the potential importance of asymptomatic infections and infections in those who are diseased and do not attend public health services. Screening and contact-tracing to identify asymptomatic infections in both men and women will be more effective in reaching those who maintain the infection within the community rather than simply treating symptomatic cases.", "author" : [ { "dropping-particle" : "", "family" : "Garnett", "given" : "G P", "non-dropping-particle" : "", "parse-names" : false, "suffix" : "" }, { "dropping-particle" : "", "family" : "Mertz", "given" : "K J", "non-dropping-particle" : "", "parse-names" : false, "suffix" : "" }, { "dropping-particle" : "", "family" : "Finelli", "given" : "L", "non-dropping-particle" : "", "parse-names" : false, "suffix" : "" }, { "dropping-particle" : "", "family" : "Levine", "given" : "W C", "non-dropping-particle" : "", "parse-names" : false, "suffix" : "" }, { "dropping-particle" : "", "family" : "St Louis", "given" : "M E", "non-dropping-particle" : "", "parse-names" : false, "suffix" : "" } ], "container-title" : "Philos Trans R Soc Lond B Biol Sci", "id" : "ITEM-1", "issue" : "1384", "issued" : { "date-parts" : [ [ "1999", "4" ] ] }, "page" : "787-97", "title" : "The transmission dynamics of gonorrhoea: modelling the reported behaviour of infected patients from Newark, New Jersey.", "type" : "article-journal", "volume" : "354" }, "uris" : [ "http://www.mendeley.com/documents/?uuid=a0924c6a-947c-4c24-a77d-49f8d1ee76f0", "http://www.mendeley.com/documents/?uuid=0e7600dd-68c6-3779-a988-e44f217aaaf2" ] }, { "id" : "ITEM-2",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"ITEM-2",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"mendeley" : { "formattedCitation" : "&lt;sup&gt;58,91&lt;/sup&gt;", "plainTextFormattedCitation" : "58,91", "previouslyFormattedCitation" : "&lt;sup&gt;58,91&lt;/sup&gt;"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58,91</w:t>
      </w:r>
      <w:r w:rsidRPr="0024409C">
        <w:rPr>
          <w:rFonts w:ascii="Helvetica Neue" w:hAnsi="Helvetica Neue"/>
        </w:rPr>
        <w:fldChar w:fldCharType="end"/>
      </w:r>
      <w:r w:rsidRPr="0024409C">
        <w:rPr>
          <w:rFonts w:ascii="Helvetica Neue" w:hAnsi="Helvetica Neue"/>
        </w:rPr>
        <w:t xml:space="preserve"> Beck et al.</w:t>
      </w:r>
      <w:r w:rsidRPr="0024409C">
        <w:rPr>
          <w:rFonts w:ascii="Helvetica Neue" w:hAnsi="Helvetica Neue"/>
        </w:rPr>
        <w:fldChar w:fldCharType="begin" w:fldLock="1"/>
      </w:r>
      <w:r w:rsidR="002E5A1F">
        <w:rPr>
          <w:rFonts w:ascii="Helvetica Neue" w:hAnsi="Helvetica Neue"/>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sidRPr="0024409C">
        <w:rPr>
          <w:rFonts w:ascii="Helvetica Neue" w:hAnsi="Helvetica Neue"/>
        </w:rPr>
        <w:fldChar w:fldCharType="separate"/>
      </w:r>
      <w:r w:rsidR="00721A10" w:rsidRPr="00721A10">
        <w:rPr>
          <w:rFonts w:ascii="Helvetica Neue" w:hAnsi="Helvetica Neue"/>
          <w:noProof/>
          <w:vertAlign w:val="superscript"/>
        </w:rPr>
        <w:t>72</w:t>
      </w:r>
      <w:r w:rsidRPr="0024409C">
        <w:rPr>
          <w:rFonts w:ascii="Helvetica Neue" w:hAnsi="Helvetica Neue"/>
        </w:rPr>
        <w:fldChar w:fldCharType="end"/>
      </w:r>
      <w:r w:rsidRPr="0024409C">
        <w:rPr>
          <w:rFonts w:ascii="Helvetica Neue" w:hAnsi="Helvetica Neue"/>
        </w:rPr>
        <w:t xml:space="preserve"> have estimated 240 days for urethral infection and 300 days for rectal infection. Given this uncertainty, we established a prior distribution of 26–52 weeks for the duration of both asymptomatic rectal and asymptomatic urethral NG infection. The estimated posterior means were 35.12 weeks</w:t>
      </w:r>
      <w:r w:rsidR="003565AD" w:rsidRPr="0024409C">
        <w:rPr>
          <w:rFonts w:ascii="Helvetica Neue" w:hAnsi="Helvetica Neue"/>
        </w:rPr>
        <w:t>, or 24</w:t>
      </w:r>
      <w:r w:rsidR="006A64D0" w:rsidRPr="0024409C">
        <w:rPr>
          <w:rFonts w:ascii="Helvetica Neue" w:hAnsi="Helvetica Neue"/>
        </w:rPr>
        <w:t>6</w:t>
      </w:r>
      <w:r w:rsidR="003565AD" w:rsidRPr="0024409C">
        <w:rPr>
          <w:rFonts w:ascii="Helvetica Neue" w:hAnsi="Helvetica Neue"/>
        </w:rPr>
        <w:t xml:space="preserve"> days,</w:t>
      </w:r>
      <w:r w:rsidRPr="0024409C">
        <w:rPr>
          <w:rFonts w:ascii="Helvetica Neue" w:hAnsi="Helvetica Neue"/>
        </w:rPr>
        <w:t xml:space="preserve"> for the duration of asymptomatic rectal and urethral NG infection</w:t>
      </w:r>
      <w:r w:rsidR="000548B9" w:rsidRPr="0024409C">
        <w:rPr>
          <w:rFonts w:ascii="Helvetica Neue" w:hAnsi="Helvetica Neue"/>
        </w:rPr>
        <w:t>, consistent with our previous STI model</w:t>
      </w:r>
      <w:r w:rsidRPr="0024409C">
        <w:rPr>
          <w:rFonts w:ascii="Helvetica Neue" w:hAnsi="Helvetica Neue"/>
        </w:rPr>
        <w:t>.</w:t>
      </w:r>
      <w:r w:rsidR="0003703E" w:rsidRPr="0024409C">
        <w:rPr>
          <w:rFonts w:ascii="Helvetica Neue" w:hAnsi="Helvetica Neue"/>
        </w:rPr>
        <w:fldChar w:fldCharType="begin" w:fldLock="1"/>
      </w:r>
      <w:r w:rsidR="002E5A1F">
        <w:rPr>
          <w:rFonts w:ascii="Helvetica Neue" w:hAnsi="Helvetica Neue"/>
        </w:rPr>
        <w:instrText>ADDIN CSL_CITATION { "citationItems" : [ { "id" : "ITEM-1",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"ITEM-1",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"&lt;sup&gt;5&lt;/sup&gt;", "plainTextFormattedCitation" : "5", "previouslyFormattedCitation" : "&lt;sup&gt;5&lt;/sup&gt;" }, "properties" : { "noteIndex" : 0 }, "schema" : "https://github.com/citation-style-language/schema/raw/master/csl-citation.json" }</w:instrText>
      </w:r>
      <w:r w:rsidR="0003703E" w:rsidRPr="0024409C">
        <w:rPr>
          <w:rFonts w:ascii="Helvetica Neue" w:hAnsi="Helvetica Neue"/>
        </w:rPr>
        <w:fldChar w:fldCharType="separate"/>
      </w:r>
      <w:r w:rsidR="0003703E" w:rsidRPr="0024409C">
        <w:rPr>
          <w:rFonts w:ascii="Helvetica Neue" w:hAnsi="Helvetica Neue"/>
          <w:noProof/>
          <w:vertAlign w:val="superscript"/>
        </w:rPr>
        <w:t>5</w:t>
      </w:r>
      <w:r w:rsidR="0003703E" w:rsidRPr="0024409C">
        <w:rPr>
          <w:rFonts w:ascii="Helvetica Neue" w:hAnsi="Helvetica Neue"/>
        </w:rPr>
        <w:fldChar w:fldCharType="end"/>
      </w:r>
    </w:p>
    <w:p w14:paraId="7A6CD449" w14:textId="77777777" w:rsidR="00EC0D68" w:rsidRPr="00026461" w:rsidRDefault="00EC0D68" w:rsidP="00A76FC1">
      <w:pPr>
        <w:rPr>
          <w:rFonts w:ascii="Helvetica Neue" w:hAnsi="Helvetica Neue"/>
          <w:b/>
        </w:rPr>
      </w:pPr>
    </w:p>
    <w:p w14:paraId="4ABC1F33" w14:textId="77777777" w:rsidR="00CB4FDC" w:rsidRPr="0024409C" w:rsidRDefault="00CB4FDC" w:rsidP="00CB4FDC">
      <w:pPr>
        <w:pStyle w:val="Heading1"/>
        <w:spacing w:before="300"/>
        <w:rPr>
          <w:rFonts w:ascii="Helvetica Neue" w:hAnsi="Helvetica Neue"/>
          <w:sz w:val="24"/>
        </w:rPr>
      </w:pPr>
      <w:bookmarkStart w:id="49" w:name="_Toc522270432"/>
      <w:r w:rsidRPr="003A1F7B">
        <w:rPr>
          <w:rFonts w:ascii="Helvetica Neue" w:hAnsi="Helvetica Neue"/>
          <w:sz w:val="24"/>
        </w:rPr>
        <w:t xml:space="preserve">11 </w:t>
      </w:r>
      <w:r w:rsidRPr="003A1F7B">
        <w:rPr>
          <w:rFonts w:ascii="Helvetica Neue" w:hAnsi="Helvetica Neue"/>
          <w:sz w:val="24"/>
        </w:rPr>
        <w:tab/>
        <w:t>STI SCREENING</w:t>
      </w:r>
      <w:bookmarkEnd w:id="49"/>
    </w:p>
    <w:p w14:paraId="30219233" w14:textId="24E2D2B5" w:rsidR="00D826D0" w:rsidRPr="0024409C" w:rsidRDefault="00CB4FDC" w:rsidP="00CB4FDC">
      <w:pPr>
        <w:spacing w:line="360" w:lineRule="auto"/>
        <w:rPr>
          <w:rFonts w:ascii="Helvetica Neue" w:hAnsi="Helvetica Neue"/>
        </w:rPr>
      </w:pPr>
      <w:r w:rsidRPr="0024409C">
        <w:rPr>
          <w:rFonts w:ascii="Helvetica Neue" w:hAnsi="Helvetica Neue"/>
        </w:rPr>
        <w:t xml:space="preserve">A background screening process for the identification </w:t>
      </w:r>
      <w:r>
        <w:rPr>
          <w:rFonts w:ascii="Helvetica Neue" w:hAnsi="Helvetica Neue"/>
        </w:rPr>
        <w:t xml:space="preserve">of </w:t>
      </w:r>
      <w:r w:rsidRPr="0024409C">
        <w:rPr>
          <w:rFonts w:ascii="Helvetica Neue" w:hAnsi="Helvetica Neue"/>
        </w:rPr>
        <w:t>asymptomatic infection</w:t>
      </w:r>
      <w:r>
        <w:rPr>
          <w:rFonts w:ascii="Helvetica Neue" w:hAnsi="Helvetica Neue"/>
        </w:rPr>
        <w:t>s</w:t>
      </w:r>
      <w:r w:rsidRPr="0024409C">
        <w:rPr>
          <w:rFonts w:ascii="Helvetica Neue" w:hAnsi="Helvetica Neue"/>
        </w:rPr>
        <w:t xml:space="preserve"> was newly implemented</w:t>
      </w:r>
      <w:r>
        <w:rPr>
          <w:rFonts w:ascii="Helvetica Neue" w:hAnsi="Helvetica Neue"/>
        </w:rPr>
        <w:t xml:space="preserve">. </w:t>
      </w:r>
      <w:r w:rsidRPr="0024409C">
        <w:rPr>
          <w:rFonts w:ascii="Helvetica Neue" w:hAnsi="Helvetica Neue"/>
        </w:rPr>
        <w:t xml:space="preserve">Any individual who had been sexually active, e.g. in an </w:t>
      </w:r>
      <w:proofErr w:type="spellStart"/>
      <w:r w:rsidRPr="0024409C">
        <w:rPr>
          <w:rFonts w:ascii="Helvetica Neue" w:hAnsi="Helvetica Neue"/>
        </w:rPr>
        <w:t>edgelist</w:t>
      </w:r>
      <w:proofErr w:type="spellEnd"/>
      <w:r w:rsidRPr="0024409C">
        <w:rPr>
          <w:rFonts w:ascii="Helvetica Neue" w:hAnsi="Helvetica Neue"/>
        </w:rPr>
        <w:t xml:space="preserve"> in a non-dissolved partnership, in the previous year was eligible for screening. </w:t>
      </w:r>
      <w:r w:rsidR="00D826D0" w:rsidRPr="0024409C">
        <w:rPr>
          <w:rFonts w:ascii="Helvetica Neue" w:hAnsi="Helvetica Neue"/>
        </w:rPr>
        <w:t xml:space="preserve">Screening was implemented as a deterministic process for each STI, stratified by HIV serostatus, with a </w:t>
      </w:r>
      <w:r w:rsidR="00D826D0" w:rsidRPr="0024409C">
        <w:rPr>
          <w:rFonts w:ascii="Helvetica Neue" w:hAnsi="Helvetica Neue"/>
        </w:rPr>
        <w:lastRenderedPageBreak/>
        <w:t xml:space="preserve">certain proportion of individuals who met eligibility criteria for a particular screening testing every 365 days for </w:t>
      </w:r>
      <w:r w:rsidR="00D826D0">
        <w:rPr>
          <w:rFonts w:ascii="Helvetica Neue" w:hAnsi="Helvetica Neue"/>
        </w:rPr>
        <w:t>both NG and CT</w:t>
      </w:r>
      <w:r w:rsidR="00D826D0" w:rsidRPr="0024409C">
        <w:rPr>
          <w:rFonts w:ascii="Helvetica Neue" w:hAnsi="Helvetica Neue"/>
        </w:rPr>
        <w:t xml:space="preserve">. </w:t>
      </w:r>
    </w:p>
    <w:p w14:paraId="2F92B0E8" w14:textId="77777777" w:rsidR="00CB4FDC" w:rsidRPr="00026461" w:rsidRDefault="00CB4FDC" w:rsidP="00CB4FDC">
      <w:pPr>
        <w:rPr>
          <w:rFonts w:ascii="Helvetica Neue" w:hAnsi="Helvetica Neue"/>
          <w:b/>
        </w:rPr>
      </w:pPr>
    </w:p>
    <w:p w14:paraId="426F2BD8" w14:textId="77777777" w:rsidR="008D7CB2" w:rsidRPr="0024409C" w:rsidRDefault="008D7CB2" w:rsidP="008D7CB2">
      <w:pPr>
        <w:pStyle w:val="Heading2"/>
        <w:rPr>
          <w:rFonts w:ascii="Helvetica Neue" w:hAnsi="Helvetica Neue"/>
          <w:szCs w:val="22"/>
        </w:rPr>
      </w:pPr>
      <w:bookmarkStart w:id="50" w:name="_Toc522270433"/>
      <w:r w:rsidRPr="0024409C">
        <w:rPr>
          <w:rFonts w:ascii="Helvetica Neue" w:hAnsi="Helvetica Neue"/>
          <w:szCs w:val="22"/>
        </w:rPr>
        <w:t>11.1</w:t>
      </w:r>
      <w:r w:rsidRPr="0024409C">
        <w:rPr>
          <w:rFonts w:ascii="Helvetica Neue" w:hAnsi="Helvetica Neue"/>
          <w:szCs w:val="22"/>
        </w:rPr>
        <w:tab/>
      </w:r>
      <w:r w:rsidRPr="0024409C">
        <w:rPr>
          <w:rFonts w:ascii="Helvetica Neue" w:hAnsi="Helvetica Neue"/>
          <w:szCs w:val="22"/>
        </w:rPr>
        <w:tab/>
        <w:t>STI Screening Indications</w:t>
      </w:r>
      <w:r>
        <w:rPr>
          <w:rFonts w:ascii="Helvetica Neue" w:hAnsi="Helvetica Neue"/>
          <w:szCs w:val="22"/>
        </w:rPr>
        <w:t xml:space="preserve"> and Screening Eligibility</w:t>
      </w:r>
      <w:bookmarkEnd w:id="50"/>
    </w:p>
    <w:p w14:paraId="3DF1D091" w14:textId="20337138" w:rsidR="008D7CB2" w:rsidRPr="00237ECC" w:rsidRDefault="008D7CB2" w:rsidP="008D7CB2">
      <w:pPr>
        <w:spacing w:line="360" w:lineRule="auto"/>
        <w:rPr>
          <w:rFonts w:ascii="Helvetica Neue" w:hAnsi="Helvetica Neue"/>
        </w:rPr>
      </w:pPr>
      <w:r w:rsidRPr="00237ECC">
        <w:rPr>
          <w:rFonts w:ascii="Helvetica Neue" w:hAnsi="Helvetica Neue"/>
        </w:rPr>
        <w:t>STI screening was simulated following CDC’s guidelines</w:t>
      </w:r>
      <w:r w:rsidRPr="00237ECC">
        <w:rPr>
          <w:rFonts w:ascii="Helvetica Neue" w:hAnsi="Helvetica Neue"/>
        </w:rPr>
        <w:fldChar w:fldCharType="begin" w:fldLock="1"/>
      </w:r>
      <w:r w:rsidR="002E5A1F">
        <w:rPr>
          <w:rFonts w:ascii="Helvetica Neue" w:hAnsi="Helvetica Neue"/>
        </w:rPr>
        <w:instrText>ADDIN CSL_CITATION { "citationItems" : [ { "id" : "ITEM-1", "itemData" : { "author" : [ { "dropping-particle" : "", "family" : "Centers for Disease Control and Prevention", "given" : "", "non-dropping-particle" : "", "parse-names" : false, "suffix" : "" } ], "container-title" : "MMWR Recommended Reports", "id" : "ITEM-1", "issue" : "3", "issued" : { "date-parts" : [ [ "2015" ] ] }, "title" : "2015 STD Treatment Guidelines", "type" : "article-journal", "volume" : "64" }, "uris" : [ "http://www.mendeley.com/documents/?uuid=48bde350-eac4-33a5-bd61-f979ec788a3c" ] } ], "mendeley" : { "formattedCitation" : "&lt;sup&gt;105&lt;/sup&gt;", "plainTextFormattedCitation" : "105", "previouslyFormattedCitation" : "&lt;sup&gt;105&lt;/sup&gt;" }, "properties" : { "noteIndex" : 0 }, "schema" : "https://github.com/citation-style-language/schema/raw/master/csl-citation.json" }</w:instrText>
      </w:r>
      <w:r w:rsidRPr="00237ECC">
        <w:rPr>
          <w:rFonts w:ascii="Helvetica Neue" w:hAnsi="Helvetica Neue"/>
        </w:rPr>
        <w:fldChar w:fldCharType="separate"/>
      </w:r>
      <w:r w:rsidR="00721A10" w:rsidRPr="00721A10">
        <w:rPr>
          <w:rFonts w:ascii="Helvetica Neue" w:hAnsi="Helvetica Neue"/>
          <w:noProof/>
          <w:vertAlign w:val="superscript"/>
        </w:rPr>
        <w:t>105</w:t>
      </w:r>
      <w:r w:rsidRPr="00237ECC">
        <w:rPr>
          <w:rFonts w:ascii="Helvetica Neue" w:hAnsi="Helvetica Neue"/>
        </w:rPr>
        <w:fldChar w:fldCharType="end"/>
      </w:r>
      <w:r w:rsidRPr="00237ECC">
        <w:rPr>
          <w:rFonts w:ascii="Helvetica Neue" w:hAnsi="Helvetica Neue"/>
        </w:rPr>
        <w:t>, which indicate sexually active MSM for site-specific testing at sites of sexual contact at least annually, irrespective of condom use, and more frequent screening (every 3-6 months) “if at increased risk.”</w:t>
      </w:r>
      <w:r>
        <w:rPr>
          <w:rFonts w:ascii="Helvetica Neue" w:hAnsi="Helvetica Neue"/>
        </w:rPr>
        <w:t xml:space="preserve"> </w:t>
      </w:r>
      <w:r w:rsidR="00DC0BEE">
        <w:rPr>
          <w:rFonts w:ascii="Helvetica Neue" w:hAnsi="Helvetica Neue"/>
        </w:rPr>
        <w:t>We did not implement more frequent screening for men at increased risk in the current model. Thus, men were eligible for screening if they had exhibited any sexual activity in the previous 12 months.</w:t>
      </w:r>
    </w:p>
    <w:p w14:paraId="00DB0F04" w14:textId="77777777" w:rsidR="008D7CB2" w:rsidRPr="0024409C" w:rsidRDefault="008D7CB2" w:rsidP="008D7CB2">
      <w:pPr>
        <w:pStyle w:val="Heading2"/>
        <w:rPr>
          <w:rFonts w:ascii="Helvetica Neue" w:hAnsi="Helvetica Neue"/>
          <w:szCs w:val="22"/>
        </w:rPr>
      </w:pPr>
      <w:bookmarkStart w:id="51" w:name="_Toc522270434"/>
      <w:r w:rsidRPr="0024409C">
        <w:rPr>
          <w:rFonts w:ascii="Helvetica Neue" w:hAnsi="Helvetica Neue"/>
          <w:szCs w:val="22"/>
        </w:rPr>
        <w:t>11.2</w:t>
      </w:r>
      <w:r w:rsidRPr="0024409C">
        <w:rPr>
          <w:rFonts w:ascii="Helvetica Neue" w:hAnsi="Helvetica Neue"/>
          <w:szCs w:val="22"/>
        </w:rPr>
        <w:tab/>
      </w:r>
      <w:r w:rsidRPr="0024409C">
        <w:rPr>
          <w:rFonts w:ascii="Helvetica Neue" w:hAnsi="Helvetica Neue"/>
          <w:szCs w:val="22"/>
        </w:rPr>
        <w:tab/>
        <w:t>STI Screening Process</w:t>
      </w:r>
      <w:bookmarkEnd w:id="51"/>
    </w:p>
    <w:p w14:paraId="2AF4762C" w14:textId="136C8B4F" w:rsidR="0079047D" w:rsidRDefault="007F550D" w:rsidP="0079047D">
      <w:pPr>
        <w:tabs>
          <w:tab w:val="left" w:pos="540"/>
        </w:tabs>
        <w:spacing w:line="360" w:lineRule="auto"/>
        <w:rPr>
          <w:rFonts w:ascii="Helvetica Neue" w:hAnsi="Helvetica Neue"/>
        </w:rPr>
      </w:pPr>
      <w:r>
        <w:rPr>
          <w:rFonts w:ascii="Helvetica Neue" w:hAnsi="Helvetica Neue"/>
        </w:rPr>
        <w:t xml:space="preserve">Eligibility for STI screening based on sexual activity was assessed using a rolling lookback window. At each time step, men who were in a sexual partnership in the previous 52 weeks were eligible for STI screening based on the recommendations described above. </w:t>
      </w:r>
      <w:r w:rsidR="005B1AD6" w:rsidRPr="0024409C">
        <w:rPr>
          <w:rFonts w:ascii="Helvetica Neue" w:hAnsi="Helvetica Neue"/>
        </w:rPr>
        <w:t xml:space="preserve">Screening was implemented as a deterministic process for each STI, stratified by HIV serostatus, with a certain proportion of individuals who met eligibility criteria for a particular screening testing every 365 days for </w:t>
      </w:r>
      <w:r w:rsidR="005B1AD6">
        <w:rPr>
          <w:rFonts w:ascii="Helvetica Neue" w:hAnsi="Helvetica Neue"/>
        </w:rPr>
        <w:t>both NG and CT</w:t>
      </w:r>
      <w:r w:rsidR="005B1AD6" w:rsidRPr="0024409C">
        <w:rPr>
          <w:rFonts w:ascii="Helvetica Neue" w:hAnsi="Helvetica Neue"/>
        </w:rPr>
        <w:t xml:space="preserve">. </w:t>
      </w:r>
    </w:p>
    <w:p w14:paraId="58305556" w14:textId="77777777" w:rsidR="00F0238C" w:rsidRDefault="00F0238C" w:rsidP="0079047D">
      <w:pPr>
        <w:tabs>
          <w:tab w:val="left" w:pos="540"/>
        </w:tabs>
        <w:spacing w:line="360" w:lineRule="auto"/>
        <w:rPr>
          <w:rFonts w:ascii="Helvetica Neue" w:hAnsi="Helvetica Neue"/>
        </w:rPr>
      </w:pPr>
    </w:p>
    <w:p w14:paraId="1AF03C1D" w14:textId="62228769" w:rsidR="00CB4FDC" w:rsidRPr="005A132D" w:rsidRDefault="00CB4FDC" w:rsidP="0079047D">
      <w:pPr>
        <w:tabs>
          <w:tab w:val="left" w:pos="540"/>
        </w:tabs>
        <w:spacing w:line="360" w:lineRule="auto"/>
        <w:rPr>
          <w:rFonts w:ascii="Helvetica Neue" w:hAnsi="Helvetica Neue"/>
        </w:rPr>
      </w:pPr>
      <w:r w:rsidRPr="0024409C">
        <w:rPr>
          <w:rFonts w:ascii="Helvetica Neue" w:hAnsi="Helvetica Neue"/>
        </w:rPr>
        <w:t>We selected 44%</w:t>
      </w:r>
      <w:r w:rsidR="00A20503">
        <w:rPr>
          <w:rFonts w:ascii="Helvetica Neue" w:hAnsi="Helvetica Neue"/>
        </w:rPr>
        <w:t xml:space="preserve"> </w:t>
      </w:r>
      <w:r w:rsidRPr="0024409C">
        <w:rPr>
          <w:rFonts w:ascii="Helvetica Neue" w:hAnsi="Helvetica Neue"/>
        </w:rPr>
        <w:t>of sexually active HIV-negative MSM in the model to test regularly on an annual basis for gonorrhea</w:t>
      </w:r>
      <w:r w:rsidR="00A20503">
        <w:rPr>
          <w:rFonts w:ascii="Helvetica Neue" w:hAnsi="Helvetica Neue"/>
        </w:rPr>
        <w:t xml:space="preserve"> and</w:t>
      </w:r>
      <w:r w:rsidR="00A20503" w:rsidRPr="0024409C">
        <w:rPr>
          <w:rFonts w:ascii="Helvetica Neue" w:hAnsi="Helvetica Neue"/>
        </w:rPr>
        <w:t xml:space="preserve"> </w:t>
      </w:r>
      <w:r w:rsidRPr="0024409C">
        <w:rPr>
          <w:rFonts w:ascii="Helvetica Neue" w:hAnsi="Helvetica Neue"/>
        </w:rPr>
        <w:t>chlamydia, respectively, and 61</w:t>
      </w:r>
      <w:r w:rsidR="00915CE9" w:rsidRPr="0024409C">
        <w:rPr>
          <w:rFonts w:ascii="Helvetica Neue" w:hAnsi="Helvetica Neue"/>
        </w:rPr>
        <w:t>%</w:t>
      </w:r>
      <w:r w:rsidR="007411AE">
        <w:rPr>
          <w:rFonts w:ascii="Helvetica Neue" w:hAnsi="Helvetica Neue"/>
        </w:rPr>
        <w:t xml:space="preserve"> </w:t>
      </w:r>
      <w:r w:rsidRPr="0024409C">
        <w:rPr>
          <w:rFonts w:ascii="Helvetica Neue" w:hAnsi="Helvetica Neue"/>
        </w:rPr>
        <w:t>of sexually active HIV-positive MSM in the model were chosen to test regularly on an annual basis for gonorrhea</w:t>
      </w:r>
      <w:r w:rsidR="00915CE9">
        <w:rPr>
          <w:rFonts w:ascii="Helvetica Neue" w:hAnsi="Helvetica Neue"/>
        </w:rPr>
        <w:t xml:space="preserve"> and</w:t>
      </w:r>
      <w:r w:rsidR="00915CE9" w:rsidRPr="0024409C">
        <w:rPr>
          <w:rFonts w:ascii="Helvetica Neue" w:hAnsi="Helvetica Neue"/>
        </w:rPr>
        <w:t xml:space="preserve"> </w:t>
      </w:r>
      <w:r w:rsidRPr="0024409C">
        <w:rPr>
          <w:rFonts w:ascii="Helvetica Neue" w:hAnsi="Helvetica Neue"/>
        </w:rPr>
        <w:t>chlamydia</w:t>
      </w:r>
      <w:r w:rsidR="00915CE9">
        <w:rPr>
          <w:rFonts w:ascii="Helvetica Neue" w:hAnsi="Helvetica Neue"/>
        </w:rPr>
        <w:t xml:space="preserve"> </w:t>
      </w:r>
      <w:r w:rsidRPr="0024409C">
        <w:rPr>
          <w:rFonts w:ascii="Helvetica Neue" w:hAnsi="Helvetica Neue"/>
        </w:rPr>
        <w:t xml:space="preserve"> respectively.</w:t>
      </w:r>
      <w:r w:rsidR="00DB1A5C">
        <w:rPr>
          <w:rFonts w:ascii="Helvetica Neue" w:hAnsi="Helvetica Neue"/>
        </w:rPr>
        <w:fldChar w:fldCharType="begin" w:fldLock="1"/>
      </w:r>
      <w:r w:rsidR="002E5A1F">
        <w:rPr>
          <w:rFonts w:ascii="Helvetica Neue" w:hAnsi="Helvetica Neue"/>
        </w:rPr>
        <w:instrText>ADDIN CSL_CITATION { "citationItems" : [ { "id" : "ITEM-1", "itemData" : { "ISSN" : "1537-4521", "PMID" : "29465659", "abstract" : "BACKGROUND Annual screening for chlamydia and gonorrhea is recommended for sexually active men who have sex with men (MSM) at anatomical sites of contact, regardless of condom use. METHODS We assessed differences in self-reported chlamydia and gonorrhea testing and diagnosis in the past 12 months among MSM using National HIV Behavioral Surveillance data from 2011 and 2014. MSM who had \u2265 1 partner in the past 12 months were included in analyses. Analyses of chlamydia and gonorrhea diagnosis data were limited to participants who reported past 12 months chlamydia and gonorrhea testing, respectively. Differences in testing and diagnosis over time were assessed using Poisson regression models with robust standard errors separately for chlamydia and gonorrhea. RESULTS Analyses included data from 18,896 MSM (2011: n=9,256; 2014: n=9,640). Testing for chlamydia was 37% in 2011 and 47% in 2014 (PR: 1.25, 95% CI: 1.20-1.30) and 38% and 47% for gonorrhea (PR: 1.24, 95% CI: 1.19-1.29). Testing was higher in 2014 among most demographic subgroups. Prevalence of chlamydia diagnoses was 8% in 2011 and 11% in 2014 (PR: 1.37, 95% CI: 1.18-1.59) and of gonorrhea diagnoses was 10% in 2011 and 14% in 2014 (adjusted PR: 1.40, 95% CI: 1.23-1.60). Larger changes in diagnoses were observed among MSM in the white and 'other' racial categories and those who disclosed same-sex behavior to their healthcare provider. CONCLUSIONS Self-reported testing and diagnoses among MSM increased from 2011 to 2014. Increased efforts are needed to meet annual STD screening recommendations among MSM at high HIV risk.", "author" : [ { "dropping-particle" : "", "family" : "Hoots", "given" : "Brooke E", "non-dropping-particle" : "", "parse-names" : false, "suffix" : "" }, { "dropping-particle" : "", "family" : "Torrone", "given" : "Elizabeth A", "non-dropping-particle" : "", "parse-names" : false, "suffix" : "" }, { "dropping-particle" : "", "family" : "Bernstein", "given" : "Kyle T", "non-dropping-particle" : "", "parse-names" : false, "suffix" : "" }, { "dropping-particle" : "", "family" : "Paz-Bailey", "given" : "Gabriela", "non-dropping-particle" : "", "parse-names" : false, "suffix" : "" }, { "dropping-particle" : "", "family" : "NHBS Study Group", "given" : "", "non-dropping-particle" : "", "parse-names" : false, "suffix" : "" } ], "container-title" : "Sexually transmitted diseases", "id" : "ITEM-1", "issued" : { "date-parts" : [ [ "2018", "1", "10" ] ] }, "page" : "1", "title" : "Self-reported chlamydia and gonorrhea testing and diagnosis among men who have sex with men 20 U.S. cities, 2011 and 2014.", "type" : "article-journal" }, "uris" : [ "http://www.mendeley.com/documents/?uuid=40c47ca6-6196-3070-b2ff-d5da49693c47" ] } ], "mendeley" : { "formattedCitation" : "&lt;sup&gt;106&lt;/sup&gt;", "plainTextFormattedCitation" : "106", "previouslyFormattedCitation" : "&lt;sup&gt;106&lt;/sup&gt;" }, "properties" : { "noteIndex" : 0 }, "schema" : "https://github.com/citation-style-language/schema/raw/master/csl-citation.json" }</w:instrText>
      </w:r>
      <w:r w:rsidR="00DB1A5C">
        <w:rPr>
          <w:rFonts w:ascii="Helvetica Neue" w:hAnsi="Helvetica Neue"/>
        </w:rPr>
        <w:fldChar w:fldCharType="separate"/>
      </w:r>
      <w:r w:rsidR="00721A10" w:rsidRPr="00721A10">
        <w:rPr>
          <w:rFonts w:ascii="Helvetica Neue" w:hAnsi="Helvetica Neue"/>
          <w:noProof/>
          <w:vertAlign w:val="superscript"/>
        </w:rPr>
        <w:t>106</w:t>
      </w:r>
      <w:r w:rsidR="00DB1A5C">
        <w:rPr>
          <w:rFonts w:ascii="Helvetica Neue" w:hAnsi="Helvetica Neue"/>
        </w:rPr>
        <w:fldChar w:fldCharType="end"/>
      </w:r>
      <w:r w:rsidRPr="0024409C">
        <w:rPr>
          <w:rFonts w:ascii="Helvetica Neue" w:hAnsi="Helvetica Neue"/>
        </w:rPr>
        <w:t xml:space="preserve"> These values were selected to be slightly lower than empirical data </w:t>
      </w:r>
      <w:r w:rsidR="00C23D2D">
        <w:rPr>
          <w:rFonts w:ascii="Helvetica Neue" w:hAnsi="Helvetica Neue"/>
        </w:rPr>
        <w:t xml:space="preserve">(Table </w:t>
      </w:r>
      <w:r w:rsidR="00872443">
        <w:rPr>
          <w:rFonts w:ascii="Helvetica Neue" w:hAnsi="Helvetica Neue"/>
        </w:rPr>
        <w:t>S1</w:t>
      </w:r>
      <w:r w:rsidR="00C23D2D">
        <w:rPr>
          <w:rFonts w:ascii="Helvetica Neue" w:hAnsi="Helvetica Neue"/>
        </w:rPr>
        <w:t xml:space="preserve">) </w:t>
      </w:r>
      <w:r w:rsidRPr="0024409C">
        <w:rPr>
          <w:rFonts w:ascii="Helvetica Neue" w:hAnsi="Helvetica Neue"/>
        </w:rPr>
        <w:t>from NHBS on NG</w:t>
      </w:r>
      <w:r w:rsidR="00022D75">
        <w:rPr>
          <w:rFonts w:ascii="Helvetica Neue" w:hAnsi="Helvetica Neue"/>
        </w:rPr>
        <w:t xml:space="preserve"> and</w:t>
      </w:r>
      <w:r w:rsidR="00022D75" w:rsidRPr="0024409C">
        <w:rPr>
          <w:rFonts w:ascii="Helvetica Neue" w:hAnsi="Helvetica Neue"/>
        </w:rPr>
        <w:t xml:space="preserve"> </w:t>
      </w:r>
      <w:r w:rsidRPr="0024409C">
        <w:rPr>
          <w:rFonts w:ascii="Helvetica Neue" w:hAnsi="Helvetica Neue"/>
        </w:rPr>
        <w:t>CT testing in the prior 12 months to allow for symptoms-based testing to boost the overall proportion of those who had tested for a particular STI in the past 12 month to empirical levels.</w:t>
      </w:r>
      <w:r>
        <w:rPr>
          <w:rFonts w:ascii="Helvetica Neue" w:hAnsi="Helvetica Neue"/>
        </w:rPr>
        <w:fldChar w:fldCharType="begin" w:fldLock="1"/>
      </w:r>
      <w:r w:rsidR="002E5A1F">
        <w:rPr>
          <w:rFonts w:ascii="Helvetica Neue" w:hAnsi="Helvetica Neue"/>
        </w:rPr>
        <w:instrText>ADDIN CSL_CITATION { "citationItems" : [ { "id" : "ITEM-1", "itemData" : { "author" : [ { "dropping-particle" : "", "family" : "Hoots", "given" : "Brooke E.", "non-dropping-particle" : "", "parse-names" : false, "suffix" : "" }, { "dropping-particle" : "", "family" : "Torrone", "given" : "Elizabeth", "non-dropping-particle" : "", "parse-names" : false, "suffix" : "" }, { "dropping-particle" : "", "family" : "Bernstein", "given" : "Kyle T.", "non-dropping-particle" : "", "parse-names" : false, "suffix" : "" }, { "dropping-particle" : "", "family" : "Paz-Bailey", "given" : "Gabriela", "non-dropping-particle" : "", "parse-names" : false, "suffix" : "" } ], "container-title" : "Unpublished", "id" : "ITEM-1", "issued" : { "date-parts" : [ [ "2017" ] ] }, "title" : "Chlamydia and gonorrhea testing and diagnosis among men who have sex with men \u2014 20 U.S. cities, 2011 and 2014", "type" : "article-journal" }, "uris" : [ "http://www.mendeley.com/documents/?uuid=2b92046a-bb50-4840-945e-4e21ef9274b5" ] } ], "mendeley" : { "formattedCitation" : "&lt;sup&gt;107&lt;/sup&gt;", "plainTextFormattedCitation" : "107", "previouslyFormattedCitation" : "&lt;sup&gt;107&lt;/sup&gt;" }, "properties" : { "noteIndex" : 0 }, "schema" : "https://github.com/citation-style-language/schema/raw/master/csl-citation.json" }</w:instrText>
      </w:r>
      <w:r>
        <w:rPr>
          <w:rFonts w:ascii="Helvetica Neue" w:hAnsi="Helvetica Neue"/>
        </w:rPr>
        <w:fldChar w:fldCharType="separate"/>
      </w:r>
      <w:r w:rsidR="002E5A1F" w:rsidRPr="002E5A1F">
        <w:rPr>
          <w:rFonts w:ascii="Helvetica Neue" w:hAnsi="Helvetica Neue"/>
          <w:noProof/>
          <w:vertAlign w:val="superscript"/>
        </w:rPr>
        <w:t>107</w:t>
      </w:r>
      <w:r>
        <w:rPr>
          <w:rFonts w:ascii="Helvetica Neue" w:hAnsi="Helvetica Neue"/>
        </w:rPr>
        <w:fldChar w:fldCharType="end"/>
      </w:r>
    </w:p>
    <w:tbl>
      <w:tblPr>
        <w:tblStyle w:val="TableGrid"/>
        <w:tblW w:w="0" w:type="auto"/>
        <w:tblLook w:val="04A0" w:firstRow="1" w:lastRow="0" w:firstColumn="1" w:lastColumn="0" w:noHBand="0" w:noVBand="1"/>
      </w:tblPr>
      <w:tblGrid>
        <w:gridCol w:w="1287"/>
        <w:gridCol w:w="1369"/>
        <w:gridCol w:w="1433"/>
        <w:gridCol w:w="1314"/>
        <w:gridCol w:w="1328"/>
      </w:tblGrid>
      <w:tr w:rsidR="007411AE" w14:paraId="03592B63" w14:textId="77777777" w:rsidTr="007411AE">
        <w:tc>
          <w:tcPr>
            <w:tcW w:w="6731" w:type="dxa"/>
            <w:gridSpan w:val="5"/>
            <w:shd w:val="clear" w:color="auto" w:fill="F2F2F2" w:themeFill="background1" w:themeFillShade="F2"/>
          </w:tcPr>
          <w:p w14:paraId="554CEE27" w14:textId="42684A65" w:rsidR="007411AE" w:rsidRDefault="007411AE" w:rsidP="007411AE">
            <w:pPr>
              <w:tabs>
                <w:tab w:val="left" w:pos="540"/>
              </w:tabs>
              <w:spacing w:line="360" w:lineRule="auto"/>
              <w:rPr>
                <w:rFonts w:ascii="Helvetica Neue" w:hAnsi="Helvetica Neue"/>
              </w:rPr>
            </w:pPr>
            <w:r>
              <w:rPr>
                <w:rFonts w:ascii="Helvetica Neue" w:hAnsi="Helvetica Neue"/>
              </w:rPr>
              <w:t>Table S1: Testing targets for calibration</w:t>
            </w:r>
          </w:p>
        </w:tc>
      </w:tr>
      <w:tr w:rsidR="007411AE" w14:paraId="13FCCF78" w14:textId="77777777" w:rsidTr="00BB71E3">
        <w:tc>
          <w:tcPr>
            <w:tcW w:w="1287" w:type="dxa"/>
          </w:tcPr>
          <w:p w14:paraId="68F26A63" w14:textId="77777777" w:rsidR="007411AE" w:rsidRDefault="007411AE" w:rsidP="007411AE">
            <w:pPr>
              <w:tabs>
                <w:tab w:val="left" w:pos="540"/>
              </w:tabs>
              <w:spacing w:line="360" w:lineRule="auto"/>
              <w:rPr>
                <w:rFonts w:ascii="Helvetica Neue" w:hAnsi="Helvetica Neue"/>
              </w:rPr>
            </w:pPr>
          </w:p>
        </w:tc>
        <w:tc>
          <w:tcPr>
            <w:tcW w:w="2802" w:type="dxa"/>
            <w:gridSpan w:val="2"/>
          </w:tcPr>
          <w:p w14:paraId="09ADE541" w14:textId="14E37B86" w:rsidR="007411AE" w:rsidRDefault="007411AE" w:rsidP="007411AE">
            <w:pPr>
              <w:tabs>
                <w:tab w:val="left" w:pos="540"/>
              </w:tabs>
              <w:spacing w:line="360" w:lineRule="auto"/>
              <w:rPr>
                <w:rFonts w:ascii="Helvetica Neue" w:hAnsi="Helvetica Neue"/>
              </w:rPr>
            </w:pPr>
            <w:r>
              <w:rPr>
                <w:rFonts w:ascii="Helvetica Neue" w:hAnsi="Helvetica Neue"/>
              </w:rPr>
              <w:t>HIV-negative MSM</w:t>
            </w:r>
          </w:p>
        </w:tc>
        <w:tc>
          <w:tcPr>
            <w:tcW w:w="2642" w:type="dxa"/>
            <w:gridSpan w:val="2"/>
          </w:tcPr>
          <w:p w14:paraId="1F156CD4" w14:textId="77777777" w:rsidR="007411AE" w:rsidRDefault="007411AE" w:rsidP="007411AE">
            <w:pPr>
              <w:tabs>
                <w:tab w:val="left" w:pos="540"/>
              </w:tabs>
              <w:spacing w:line="360" w:lineRule="auto"/>
              <w:rPr>
                <w:rFonts w:ascii="Helvetica Neue" w:hAnsi="Helvetica Neue"/>
              </w:rPr>
            </w:pPr>
          </w:p>
        </w:tc>
      </w:tr>
      <w:tr w:rsidR="007411AE" w14:paraId="30E6B164" w14:textId="77777777" w:rsidTr="007411AE">
        <w:tc>
          <w:tcPr>
            <w:tcW w:w="1287" w:type="dxa"/>
          </w:tcPr>
          <w:p w14:paraId="629DE07B" w14:textId="77777777" w:rsidR="007411AE" w:rsidRPr="00E34A42" w:rsidRDefault="007411AE" w:rsidP="007411AE">
            <w:pPr>
              <w:tabs>
                <w:tab w:val="left" w:pos="540"/>
              </w:tabs>
              <w:spacing w:line="360" w:lineRule="auto"/>
              <w:rPr>
                <w:rFonts w:ascii="Helvetica Neue" w:hAnsi="Helvetica Neue"/>
              </w:rPr>
            </w:pPr>
            <w:r>
              <w:rPr>
                <w:rFonts w:ascii="Helvetica Neue" w:hAnsi="Helvetica Neue"/>
              </w:rPr>
              <w:t>Statistic</w:t>
            </w:r>
          </w:p>
        </w:tc>
        <w:tc>
          <w:tcPr>
            <w:tcW w:w="1369" w:type="dxa"/>
          </w:tcPr>
          <w:p w14:paraId="5DB9BCFA" w14:textId="28BC0004" w:rsidR="007411AE" w:rsidRPr="00E34A42" w:rsidRDefault="007411AE" w:rsidP="007411AE">
            <w:pPr>
              <w:tabs>
                <w:tab w:val="left" w:pos="540"/>
              </w:tabs>
              <w:spacing w:line="360" w:lineRule="auto"/>
              <w:rPr>
                <w:rFonts w:ascii="Helvetica Neue" w:hAnsi="Helvetica Neue"/>
              </w:rPr>
            </w:pPr>
            <w:r>
              <w:rPr>
                <w:rFonts w:ascii="Helvetica Neue" w:hAnsi="Helvetica Neue"/>
              </w:rPr>
              <w:t>Tested for gonorrhea in the past 12 months</w:t>
            </w:r>
          </w:p>
        </w:tc>
        <w:tc>
          <w:tcPr>
            <w:tcW w:w="1433" w:type="dxa"/>
          </w:tcPr>
          <w:p w14:paraId="3993AB0C" w14:textId="4F595AA4" w:rsidR="007411AE" w:rsidRPr="00E34A42" w:rsidRDefault="007411AE" w:rsidP="007411AE">
            <w:pPr>
              <w:tabs>
                <w:tab w:val="left" w:pos="540"/>
              </w:tabs>
              <w:spacing w:line="360" w:lineRule="auto"/>
              <w:rPr>
                <w:rFonts w:ascii="Helvetica Neue" w:hAnsi="Helvetica Neue"/>
              </w:rPr>
            </w:pPr>
            <w:r>
              <w:rPr>
                <w:rFonts w:ascii="Helvetica Neue" w:hAnsi="Helvetica Neue"/>
              </w:rPr>
              <w:t>Tested for chlamydia in the past 12 months</w:t>
            </w:r>
          </w:p>
        </w:tc>
        <w:tc>
          <w:tcPr>
            <w:tcW w:w="1314" w:type="dxa"/>
          </w:tcPr>
          <w:p w14:paraId="6949BD92" w14:textId="07317F0F" w:rsidR="007411AE" w:rsidRPr="00E34A42" w:rsidRDefault="007411AE" w:rsidP="007411AE">
            <w:pPr>
              <w:tabs>
                <w:tab w:val="left" w:pos="540"/>
              </w:tabs>
              <w:spacing w:line="360" w:lineRule="auto"/>
              <w:rPr>
                <w:rFonts w:ascii="Helvetica Neue" w:hAnsi="Helvetica Neue"/>
              </w:rPr>
            </w:pPr>
            <w:r>
              <w:rPr>
                <w:rFonts w:ascii="Helvetica Neue" w:hAnsi="Helvetica Neue"/>
              </w:rPr>
              <w:t>Tested for gonorrhea in the past 12 months</w:t>
            </w:r>
          </w:p>
        </w:tc>
        <w:tc>
          <w:tcPr>
            <w:tcW w:w="1328" w:type="dxa"/>
          </w:tcPr>
          <w:p w14:paraId="4CFA79E8" w14:textId="10E41E9F" w:rsidR="007411AE" w:rsidRPr="00E34A42" w:rsidRDefault="007411AE" w:rsidP="007411AE">
            <w:pPr>
              <w:tabs>
                <w:tab w:val="left" w:pos="540"/>
              </w:tabs>
              <w:spacing w:line="360" w:lineRule="auto"/>
              <w:rPr>
                <w:rFonts w:ascii="Helvetica Neue" w:hAnsi="Helvetica Neue"/>
              </w:rPr>
            </w:pPr>
            <w:r>
              <w:rPr>
                <w:rFonts w:ascii="Helvetica Neue" w:hAnsi="Helvetica Neue"/>
              </w:rPr>
              <w:t>Tested for chlamydia in the past 12 months</w:t>
            </w:r>
          </w:p>
        </w:tc>
      </w:tr>
      <w:tr w:rsidR="007411AE" w14:paraId="45B50CED" w14:textId="77777777" w:rsidTr="007411AE">
        <w:tc>
          <w:tcPr>
            <w:tcW w:w="1287" w:type="dxa"/>
          </w:tcPr>
          <w:p w14:paraId="1D30129C" w14:textId="77777777" w:rsidR="007411AE" w:rsidRPr="00E34A42" w:rsidRDefault="007411AE" w:rsidP="007411AE">
            <w:pPr>
              <w:tabs>
                <w:tab w:val="left" w:pos="540"/>
              </w:tabs>
              <w:spacing w:line="360" w:lineRule="auto"/>
              <w:rPr>
                <w:rFonts w:ascii="Helvetica Neue" w:hAnsi="Helvetica Neue"/>
              </w:rPr>
            </w:pPr>
            <w:r w:rsidRPr="00E34A42">
              <w:rPr>
                <w:rFonts w:ascii="Helvetica Neue" w:hAnsi="Helvetica Neue"/>
              </w:rPr>
              <w:t>Target</w:t>
            </w:r>
          </w:p>
        </w:tc>
        <w:tc>
          <w:tcPr>
            <w:tcW w:w="1369" w:type="dxa"/>
          </w:tcPr>
          <w:p w14:paraId="5846B6DF" w14:textId="31F72078" w:rsidR="007411AE" w:rsidRPr="00E34A42" w:rsidRDefault="007411AE" w:rsidP="007411AE">
            <w:pPr>
              <w:tabs>
                <w:tab w:val="left" w:pos="540"/>
              </w:tabs>
              <w:spacing w:line="360" w:lineRule="auto"/>
              <w:rPr>
                <w:rFonts w:ascii="Helvetica Neue" w:hAnsi="Helvetica Neue"/>
              </w:rPr>
            </w:pPr>
            <w:r>
              <w:rPr>
                <w:rFonts w:ascii="Helvetica Neue" w:hAnsi="Helvetica Neue"/>
              </w:rPr>
              <w:t>45.8%</w:t>
            </w:r>
          </w:p>
        </w:tc>
        <w:tc>
          <w:tcPr>
            <w:tcW w:w="1433" w:type="dxa"/>
          </w:tcPr>
          <w:p w14:paraId="2BE27ECD" w14:textId="70A55BBB" w:rsidR="007411AE" w:rsidRPr="00E34A42" w:rsidRDefault="007411AE" w:rsidP="007411AE">
            <w:pPr>
              <w:tabs>
                <w:tab w:val="left" w:pos="540"/>
              </w:tabs>
              <w:spacing w:line="360" w:lineRule="auto"/>
              <w:rPr>
                <w:rFonts w:ascii="Helvetica Neue" w:hAnsi="Helvetica Neue"/>
              </w:rPr>
            </w:pPr>
            <w:r>
              <w:rPr>
                <w:rFonts w:ascii="Helvetica Neue" w:hAnsi="Helvetica Neue"/>
              </w:rPr>
              <w:t>45.8%</w:t>
            </w:r>
          </w:p>
        </w:tc>
        <w:tc>
          <w:tcPr>
            <w:tcW w:w="1314" w:type="dxa"/>
          </w:tcPr>
          <w:p w14:paraId="1CCD6542" w14:textId="1A7767C5" w:rsidR="007411AE" w:rsidRPr="00E34A42" w:rsidRDefault="007411AE" w:rsidP="007411AE">
            <w:pPr>
              <w:tabs>
                <w:tab w:val="left" w:pos="540"/>
              </w:tabs>
              <w:spacing w:line="360" w:lineRule="auto"/>
              <w:rPr>
                <w:rFonts w:ascii="Helvetica Neue" w:hAnsi="Helvetica Neue"/>
              </w:rPr>
            </w:pPr>
            <w:r>
              <w:rPr>
                <w:rFonts w:ascii="Helvetica Neue" w:hAnsi="Helvetica Neue"/>
              </w:rPr>
              <w:t>64.1%</w:t>
            </w:r>
          </w:p>
        </w:tc>
        <w:tc>
          <w:tcPr>
            <w:tcW w:w="1328" w:type="dxa"/>
          </w:tcPr>
          <w:p w14:paraId="0EB2557E" w14:textId="71D4B845" w:rsidR="007411AE" w:rsidRDefault="007411AE" w:rsidP="007411AE">
            <w:pPr>
              <w:tabs>
                <w:tab w:val="left" w:pos="540"/>
              </w:tabs>
              <w:spacing w:line="360" w:lineRule="auto"/>
              <w:rPr>
                <w:rFonts w:ascii="Helvetica Neue" w:hAnsi="Helvetica Neue"/>
              </w:rPr>
            </w:pPr>
            <w:r>
              <w:rPr>
                <w:rFonts w:ascii="Helvetica Neue" w:hAnsi="Helvetica Neue"/>
              </w:rPr>
              <w:t>62.8%</w:t>
            </w:r>
          </w:p>
        </w:tc>
      </w:tr>
      <w:tr w:rsidR="007411AE" w14:paraId="344F9D7C" w14:textId="77777777" w:rsidTr="007411AE">
        <w:tc>
          <w:tcPr>
            <w:tcW w:w="1287" w:type="dxa"/>
          </w:tcPr>
          <w:p w14:paraId="4DBDC926" w14:textId="77777777" w:rsidR="007411AE" w:rsidRPr="00E34A42" w:rsidRDefault="007411AE" w:rsidP="007411AE">
            <w:pPr>
              <w:tabs>
                <w:tab w:val="left" w:pos="540"/>
              </w:tabs>
              <w:spacing w:line="360" w:lineRule="auto"/>
              <w:rPr>
                <w:rFonts w:ascii="Helvetica Neue" w:hAnsi="Helvetica Neue"/>
              </w:rPr>
            </w:pPr>
            <w:r w:rsidRPr="00E34A42">
              <w:rPr>
                <w:rFonts w:ascii="Helvetica Neue" w:hAnsi="Helvetica Neue"/>
              </w:rPr>
              <w:t>Source</w:t>
            </w:r>
          </w:p>
        </w:tc>
        <w:tc>
          <w:tcPr>
            <w:tcW w:w="1369" w:type="dxa"/>
          </w:tcPr>
          <w:p w14:paraId="04DA839C" w14:textId="08FFA7A6" w:rsidR="007411AE" w:rsidRPr="00E34A42" w:rsidRDefault="007411AE" w:rsidP="002E5A1F">
            <w:pPr>
              <w:tabs>
                <w:tab w:val="left" w:pos="540"/>
              </w:tabs>
              <w:spacing w:line="360" w:lineRule="auto"/>
              <w:rPr>
                <w:rFonts w:ascii="Helvetica Neue" w:hAnsi="Helvetica Neue"/>
              </w:rPr>
            </w:pPr>
            <w:r>
              <w:rPr>
                <w:rFonts w:ascii="Helvetica Neue" w:hAnsi="Helvetica Neue"/>
                <w:noProof/>
                <w:vertAlign w:val="superscript"/>
              </w:rPr>
              <w:fldChar w:fldCharType="begin" w:fldLock="1"/>
            </w:r>
            <w:r w:rsidR="002E5A1F">
              <w:rPr>
                <w:rFonts w:ascii="Helvetica Neue" w:hAnsi="Helvetica Neue"/>
                <w:noProof/>
                <w:vertAlign w:val="superscript"/>
              </w:rPr>
              <w:instrText>ADDIN CSL_CITATION { "citationItems" : [ { "id" : "ITEM-1", "itemData" : { "author" : [ { "dropping-particle" : "", "family" : "Hoots", "given" : "Brooke E.", "non-dropping-particle" : "", "parse-names" : false, "suffix" : "" }, { "dropping-particle" : "", "family" : "Torrone", "given" : "Elizabeth", "non-dropping-particle" : "", "parse-names" : false, "suffix" : "" }, { "dropping-particle" : "", "family" : "Bernstein", "given" : "Kyle T.", "non-dropping-particle" : "", "parse-names" : false, "suffix" : "" }, { "dropping-particle" : "", "family" : "Paz-Bailey", "given" : "Gabriela", "non-dropping-particle" : "", "parse-names" : false, "suffix" : "" } ], "container-title" : "Unpublished", "id" : "ITEM-1", "issued" : { "date-parts" : [ [ "2017" ] ] }, "title" : "Chlamydia and gonorrhea testing and diagnosis among men who have sex with men \u2014 20 U.S. cities, 2011 and 2014", "type" : "article-journal" }, "uris" : [ "http://www.mendeley.com/documents/?uuid=2b92046a-bb50-4840-945e-4e21ef9274b5" ] } ], "mendeley" : { "formattedCitation" : "&lt;sup&gt;107&lt;/sup&gt;", "plainTextFormattedCitation" : "107", "previouslyFormattedCitation" : "&lt;sup&gt;107&lt;/sup&gt;" }, "properties" : { "noteIndex" : 36 }, "schema" : "https://github.com/citation-style-language/schema/raw/master/csl-citation.json" }</w:instrText>
            </w:r>
            <w:r>
              <w:rPr>
                <w:rFonts w:ascii="Helvetica Neue" w:hAnsi="Helvetica Neue"/>
                <w:noProof/>
                <w:vertAlign w:val="superscript"/>
              </w:rPr>
              <w:fldChar w:fldCharType="separate"/>
            </w:r>
            <w:r w:rsidR="002E5A1F" w:rsidRPr="002E5A1F">
              <w:rPr>
                <w:rFonts w:ascii="Helvetica Neue" w:hAnsi="Helvetica Neue"/>
                <w:noProof/>
                <w:vertAlign w:val="superscript"/>
              </w:rPr>
              <w:t>107</w:t>
            </w:r>
            <w:r>
              <w:rPr>
                <w:rFonts w:ascii="Helvetica Neue" w:hAnsi="Helvetica Neue"/>
                <w:noProof/>
                <w:vertAlign w:val="superscript"/>
              </w:rPr>
              <w:fldChar w:fldCharType="end"/>
            </w:r>
          </w:p>
        </w:tc>
        <w:tc>
          <w:tcPr>
            <w:tcW w:w="1433" w:type="dxa"/>
          </w:tcPr>
          <w:p w14:paraId="4DF7B21E" w14:textId="4C2F6E3B" w:rsidR="007411AE" w:rsidRPr="00F71DA8" w:rsidRDefault="007411AE" w:rsidP="002E5A1F">
            <w:pPr>
              <w:tabs>
                <w:tab w:val="left" w:pos="540"/>
              </w:tabs>
              <w:spacing w:line="360" w:lineRule="auto"/>
              <w:rPr>
                <w:rFonts w:ascii="Helvetica Neue" w:hAnsi="Helvetica Neue"/>
              </w:rPr>
            </w:pPr>
            <w:r>
              <w:rPr>
                <w:rFonts w:ascii="Helvetica Neue" w:hAnsi="Helvetica Neue"/>
                <w:noProof/>
                <w:vertAlign w:val="superscript"/>
              </w:rPr>
              <w:fldChar w:fldCharType="begin" w:fldLock="1"/>
            </w:r>
            <w:r w:rsidR="002E5A1F">
              <w:rPr>
                <w:rFonts w:ascii="Helvetica Neue" w:hAnsi="Helvetica Neue"/>
                <w:noProof/>
                <w:vertAlign w:val="superscript"/>
              </w:rPr>
              <w:instrText>ADDIN CSL_CITATION { "citationItems" : [ { "id" : "ITEM-1", "itemData" : { "author" : [ { "dropping-particle" : "", "family" : "Hoots", "given" : "Brooke E.", "non-dropping-particle" : "", "parse-names" : false, "suffix" : "" }, { "dropping-particle" : "", "family" : "Torrone", "given" : "Elizabeth", "non-dropping-particle" : "", "parse-names" : false, "suffix" : "" }, { "dropping-particle" : "", "family" : "Bernstein", "given" : "Kyle T.", "non-dropping-particle" : "", "parse-names" : false, "suffix" : "" }, { "dropping-particle" : "", "family" : "Paz-Bailey", "given" : "Gabriela", "non-dropping-particle" : "", "parse-names" : false, "suffix" : "" } ], "container-title" : "Unpublished", "id" : "ITEM-1", "issued" : { "date-parts" : [ [ "2017" ] ] }, "title" : "Chlamydia and gonorrhea testing and diagnosis among men who have sex with men \u2014 20 U.S. cities, 2011 and 2014", "type" : "article-journal" }, "uris" : [ "http://www.mendeley.com/documents/?uuid=2b92046a-bb50-4840-945e-4e21ef9274b5" ] } ], "mendeley" : { "formattedCitation" : "&lt;sup&gt;107&lt;/sup&gt;", "plainTextFormattedCitation" : "107", "previouslyFormattedCitation" : "&lt;sup&gt;107&lt;/sup&gt;" }, "properties" : { "noteIndex" : 36 }, "schema" : "https://github.com/citation-style-language/schema/raw/master/csl-citation.json" }</w:instrText>
            </w:r>
            <w:r>
              <w:rPr>
                <w:rFonts w:ascii="Helvetica Neue" w:hAnsi="Helvetica Neue"/>
                <w:noProof/>
                <w:vertAlign w:val="superscript"/>
              </w:rPr>
              <w:fldChar w:fldCharType="separate"/>
            </w:r>
            <w:r w:rsidR="002E5A1F" w:rsidRPr="002E5A1F">
              <w:rPr>
                <w:rFonts w:ascii="Helvetica Neue" w:hAnsi="Helvetica Neue"/>
                <w:noProof/>
                <w:vertAlign w:val="superscript"/>
              </w:rPr>
              <w:t>107</w:t>
            </w:r>
            <w:r>
              <w:rPr>
                <w:rFonts w:ascii="Helvetica Neue" w:hAnsi="Helvetica Neue"/>
                <w:noProof/>
                <w:vertAlign w:val="superscript"/>
              </w:rPr>
              <w:fldChar w:fldCharType="end"/>
            </w:r>
          </w:p>
        </w:tc>
        <w:tc>
          <w:tcPr>
            <w:tcW w:w="1314" w:type="dxa"/>
          </w:tcPr>
          <w:p w14:paraId="6593738A" w14:textId="40AC51D3" w:rsidR="007411AE" w:rsidRPr="00F71DA8" w:rsidRDefault="007411AE" w:rsidP="002E5A1F">
            <w:pPr>
              <w:tabs>
                <w:tab w:val="left" w:pos="540"/>
              </w:tabs>
              <w:spacing w:line="360" w:lineRule="auto"/>
              <w:rPr>
                <w:rFonts w:ascii="Helvetica Neue" w:hAnsi="Helvetica Neue"/>
              </w:rPr>
            </w:pPr>
            <w:r>
              <w:rPr>
                <w:rFonts w:ascii="Helvetica Neue" w:hAnsi="Helvetica Neue"/>
                <w:noProof/>
                <w:vertAlign w:val="superscript"/>
              </w:rPr>
              <w:fldChar w:fldCharType="begin" w:fldLock="1"/>
            </w:r>
            <w:r w:rsidR="002E5A1F">
              <w:rPr>
                <w:rFonts w:ascii="Helvetica Neue" w:hAnsi="Helvetica Neue"/>
                <w:noProof/>
                <w:vertAlign w:val="superscript"/>
              </w:rPr>
              <w:instrText>ADDIN CSL_CITATION { "citationItems" : [ { "id" : "ITEM-1", "itemData" : { "author" : [ { "dropping-particle" : "", "family" : "Hoots", "given" : "Brooke E.", "non-dropping-particle" : "", "parse-names" : false, "suffix" : "" }, { "dropping-particle" : "", "family" : "Torrone", "given" : "Elizabeth", "non-dropping-particle" : "", "parse-names" : false, "suffix" : "" }, { "dropping-particle" : "", "family" : "Bernstein", "given" : "Kyle T.", "non-dropping-particle" : "", "parse-names" : false, "suffix" : "" }, { "dropping-particle" : "", "family" : "Paz-Bailey", "given" : "Gabriela", "non-dropping-particle" : "", "parse-names" : false, "suffix" : "" } ], "container-title" : "Unpublished", "id" : "ITEM-1", "issued" : { "date-parts" : [ [ "2017" ] ] }, "title" : "Chlamydia and gonorrhea testing and diagnosis among men who have sex with men \u2014 20 U.S. cities, 2011 and 2014", "type" : "article-journal" }, "uris" : [ "http://www.mendeley.com/documents/?uuid=2b92046a-bb50-4840-945e-4e21ef9274b5" ] } ], "mendeley" : { "formattedCitation" : "&lt;sup&gt;107&lt;/sup&gt;", "plainTextFormattedCitation" : "107", "previouslyFormattedCitation" : "&lt;sup&gt;107&lt;/sup&gt;" }, "properties" : { "noteIndex" : 36 }, "schema" : "https://github.com/citation-style-language/schema/raw/master/csl-citation.json" }</w:instrText>
            </w:r>
            <w:r>
              <w:rPr>
                <w:rFonts w:ascii="Helvetica Neue" w:hAnsi="Helvetica Neue"/>
                <w:noProof/>
                <w:vertAlign w:val="superscript"/>
              </w:rPr>
              <w:fldChar w:fldCharType="separate"/>
            </w:r>
            <w:r w:rsidR="002E5A1F" w:rsidRPr="002E5A1F">
              <w:rPr>
                <w:rFonts w:ascii="Helvetica Neue" w:hAnsi="Helvetica Neue"/>
                <w:noProof/>
                <w:vertAlign w:val="superscript"/>
              </w:rPr>
              <w:t>107</w:t>
            </w:r>
            <w:r>
              <w:rPr>
                <w:rFonts w:ascii="Helvetica Neue" w:hAnsi="Helvetica Neue"/>
                <w:noProof/>
                <w:vertAlign w:val="superscript"/>
              </w:rPr>
              <w:fldChar w:fldCharType="end"/>
            </w:r>
          </w:p>
        </w:tc>
        <w:tc>
          <w:tcPr>
            <w:tcW w:w="1328" w:type="dxa"/>
          </w:tcPr>
          <w:p w14:paraId="64C46633" w14:textId="7B676051" w:rsidR="007411AE" w:rsidRPr="00F71DA8" w:rsidRDefault="007411AE" w:rsidP="002E5A1F">
            <w:pPr>
              <w:tabs>
                <w:tab w:val="left" w:pos="540"/>
              </w:tabs>
              <w:spacing w:line="360" w:lineRule="auto"/>
              <w:rPr>
                <w:rFonts w:ascii="Helvetica Neue" w:hAnsi="Helvetica Neue"/>
              </w:rPr>
            </w:pPr>
            <w:r>
              <w:rPr>
                <w:rFonts w:ascii="Helvetica Neue" w:hAnsi="Helvetica Neue"/>
                <w:noProof/>
                <w:vertAlign w:val="superscript"/>
              </w:rPr>
              <w:fldChar w:fldCharType="begin" w:fldLock="1"/>
            </w:r>
            <w:r w:rsidR="002E5A1F">
              <w:rPr>
                <w:rFonts w:ascii="Helvetica Neue" w:hAnsi="Helvetica Neue"/>
                <w:noProof/>
                <w:vertAlign w:val="superscript"/>
              </w:rPr>
              <w:instrText>ADDIN CSL_CITATION { "citationItems" : [ { "id" : "ITEM-1", "itemData" : { "author" : [ { "dropping-particle" : "", "family" : "Hoots", "given" : "Brooke E.", "non-dropping-particle" : "", "parse-names" : false, "suffix" : "" }, { "dropping-particle" : "", "family" : "Torrone", "given" : "Elizabeth", "non-dropping-particle" : "", "parse-names" : false, "suffix" : "" }, { "dropping-particle" : "", "family" : "Bernstein", "given" : "Kyle T.", "non-dropping-particle" : "", "parse-names" : false, "suffix" : "" }, { "dropping-particle" : "", "family" : "Paz-Bailey", "given" : "Gabriela", "non-dropping-particle" : "", "parse-names" : false, "suffix" : "" } ], "container-title" : "Unpublished", "id" : "ITEM-1", "issued" : { "date-parts" : [ [ "2017" ] ] }, "title" : "Chlamydia and gonorrhea testing and diagnosis among men who have sex with men \u2014 20 U.S. cities, 2011 and 2014", "type" : "article-journal" }, "uris" : [ "http://www.mendeley.com/documents/?uuid=2b92046a-bb50-4840-945e-4e21ef9274b5" ] } ], "mendeley" : { "formattedCitation" : "&lt;sup&gt;107&lt;/sup&gt;", "plainTextFormattedCitation" : "107", "previouslyFormattedCitation" : "&lt;sup&gt;107&lt;/sup&gt;" }, "properties" : { "noteIndex" : 36 }, "schema" : "https://github.com/citation-style-language/schema/raw/master/csl-citation.json" }</w:instrText>
            </w:r>
            <w:r>
              <w:rPr>
                <w:rFonts w:ascii="Helvetica Neue" w:hAnsi="Helvetica Neue"/>
                <w:noProof/>
                <w:vertAlign w:val="superscript"/>
              </w:rPr>
              <w:fldChar w:fldCharType="separate"/>
            </w:r>
            <w:r w:rsidR="002E5A1F" w:rsidRPr="002E5A1F">
              <w:rPr>
                <w:rFonts w:ascii="Helvetica Neue" w:hAnsi="Helvetica Neue"/>
                <w:noProof/>
                <w:vertAlign w:val="superscript"/>
              </w:rPr>
              <w:t>107</w:t>
            </w:r>
            <w:r>
              <w:rPr>
                <w:rFonts w:ascii="Helvetica Neue" w:hAnsi="Helvetica Neue"/>
                <w:noProof/>
                <w:vertAlign w:val="superscript"/>
              </w:rPr>
              <w:fldChar w:fldCharType="end"/>
            </w:r>
          </w:p>
        </w:tc>
      </w:tr>
    </w:tbl>
    <w:p w14:paraId="3D907C39" w14:textId="4948A98D" w:rsidR="00CB4FDC" w:rsidRDefault="00CB4FDC" w:rsidP="008D7CB2">
      <w:pPr>
        <w:tabs>
          <w:tab w:val="left" w:pos="540"/>
        </w:tabs>
        <w:spacing w:line="360" w:lineRule="auto"/>
        <w:rPr>
          <w:rFonts w:ascii="Helvetica Neue" w:hAnsi="Helvetica Neue"/>
        </w:rPr>
      </w:pPr>
    </w:p>
    <w:p w14:paraId="29F58336" w14:textId="77777777" w:rsidR="008D7CB2" w:rsidRPr="0024409C" w:rsidRDefault="008D7CB2" w:rsidP="008D7CB2">
      <w:pPr>
        <w:pStyle w:val="Heading2"/>
        <w:rPr>
          <w:rFonts w:ascii="Helvetica Neue" w:hAnsi="Helvetica Neue"/>
          <w:szCs w:val="22"/>
        </w:rPr>
      </w:pPr>
      <w:bookmarkStart w:id="52" w:name="_Toc522270435"/>
      <w:r w:rsidRPr="0024409C">
        <w:rPr>
          <w:rFonts w:ascii="Helvetica Neue" w:hAnsi="Helvetica Neue"/>
          <w:szCs w:val="22"/>
        </w:rPr>
        <w:t>11.3</w:t>
      </w:r>
      <w:r w:rsidRPr="0024409C">
        <w:rPr>
          <w:rFonts w:ascii="Helvetica Neue" w:hAnsi="Helvetica Neue"/>
          <w:szCs w:val="22"/>
        </w:rPr>
        <w:tab/>
      </w:r>
      <w:r w:rsidRPr="0024409C">
        <w:rPr>
          <w:rFonts w:ascii="Helvetica Neue" w:hAnsi="Helvetica Neue"/>
          <w:szCs w:val="22"/>
        </w:rPr>
        <w:tab/>
        <w:t>Testing Adherence and Progression to STI Treatment</w:t>
      </w:r>
      <w:bookmarkEnd w:id="52"/>
      <w:r w:rsidRPr="0024409C">
        <w:rPr>
          <w:rFonts w:ascii="Helvetica Neue" w:hAnsi="Helvetica Neue"/>
          <w:szCs w:val="22"/>
        </w:rPr>
        <w:t xml:space="preserve"> </w:t>
      </w:r>
    </w:p>
    <w:p w14:paraId="4AB77C3E" w14:textId="1C6E8927" w:rsidR="008D7CB2" w:rsidRPr="00237ECC" w:rsidRDefault="008D7CB2" w:rsidP="008D7CB2">
      <w:pPr>
        <w:tabs>
          <w:tab w:val="left" w:pos="540"/>
        </w:tabs>
        <w:spacing w:line="360" w:lineRule="auto"/>
        <w:rPr>
          <w:rFonts w:ascii="Helvetica Neue" w:hAnsi="Helvetica Neue"/>
        </w:rPr>
      </w:pPr>
      <w:r w:rsidRPr="00237ECC">
        <w:rPr>
          <w:rFonts w:ascii="Helvetica Neue" w:hAnsi="Helvetica Neue"/>
        </w:rPr>
        <w:t>Positive diagnoses resulted from the presence of an active STI at the time at which screening occurred, and all diagnosed men progressed to treatment</w:t>
      </w:r>
      <w:r w:rsidR="00FE66E8">
        <w:rPr>
          <w:rFonts w:ascii="Helvetica Neue" w:hAnsi="Helvetica Neue"/>
        </w:rPr>
        <w:t>.</w:t>
      </w:r>
      <w:r>
        <w:rPr>
          <w:rFonts w:ascii="Helvetica Neue" w:hAnsi="Helvetica Neue"/>
        </w:rPr>
        <w:t xml:space="preserve"> </w:t>
      </w:r>
    </w:p>
    <w:p w14:paraId="154C116A" w14:textId="261206EC" w:rsidR="009B3BB0" w:rsidRPr="0024409C" w:rsidRDefault="00FA4124" w:rsidP="002232EA">
      <w:pPr>
        <w:pStyle w:val="Heading1"/>
        <w:spacing w:before="300"/>
        <w:rPr>
          <w:rFonts w:ascii="Helvetica Neue" w:hAnsi="Helvetica Neue"/>
        </w:rPr>
      </w:pPr>
      <w:bookmarkStart w:id="53" w:name="_Toc522270436"/>
      <w:r w:rsidRPr="0024409C">
        <w:rPr>
          <w:rFonts w:ascii="Helvetica Neue" w:hAnsi="Helvetica Neue"/>
          <w:sz w:val="24"/>
        </w:rPr>
        <w:t>1</w:t>
      </w:r>
      <w:r w:rsidR="00C160F7">
        <w:rPr>
          <w:rFonts w:ascii="Helvetica Neue" w:hAnsi="Helvetica Neue"/>
          <w:sz w:val="24"/>
        </w:rPr>
        <w:t>2</w:t>
      </w:r>
      <w:r w:rsidR="009B3BB0" w:rsidRPr="0024409C">
        <w:rPr>
          <w:rFonts w:ascii="Helvetica Neue" w:hAnsi="Helvetica Neue"/>
          <w:sz w:val="24"/>
        </w:rPr>
        <w:tab/>
      </w:r>
      <w:r w:rsidR="005A0206" w:rsidRPr="0024409C">
        <w:rPr>
          <w:rFonts w:ascii="Helvetica Neue" w:hAnsi="Helvetica Neue"/>
          <w:sz w:val="24"/>
        </w:rPr>
        <w:t>MODEL CALIBRATION AND PARAMETER ESTIMATION</w:t>
      </w:r>
      <w:bookmarkEnd w:id="53"/>
    </w:p>
    <w:p w14:paraId="2244C3A9" w14:textId="77777777" w:rsidR="007751E4" w:rsidRPr="0024409C" w:rsidRDefault="007751E4" w:rsidP="007751E4">
      <w:pPr>
        <w:spacing w:line="360" w:lineRule="auto"/>
        <w:rPr>
          <w:rFonts w:ascii="Helvetica Neue" w:hAnsi="Helvetica Neue"/>
        </w:rPr>
      </w:pPr>
      <w:bookmarkStart w:id="54" w:name="_Toc466401472"/>
      <w:r w:rsidRPr="0024409C">
        <w:rPr>
          <w:rFonts w:ascii="Helvetica Neue" w:hAnsi="Helvetica Neue"/>
        </w:rPr>
        <w:t>This section describes the methods for executing the simulations and conducting the data analysis on the outcomes in further detail.</w:t>
      </w:r>
    </w:p>
    <w:p w14:paraId="4312EE0E" w14:textId="5BC94C8E" w:rsidR="007751E4" w:rsidRPr="0024409C" w:rsidRDefault="00273CDD" w:rsidP="007751E4">
      <w:pPr>
        <w:pStyle w:val="Heading2"/>
        <w:rPr>
          <w:rFonts w:ascii="Helvetica Neue" w:hAnsi="Helvetica Neue"/>
          <w:szCs w:val="22"/>
        </w:rPr>
      </w:pPr>
      <w:bookmarkStart w:id="55" w:name="_Toc466401469"/>
      <w:bookmarkStart w:id="56" w:name="_Toc522270437"/>
      <w:r w:rsidRPr="0024409C">
        <w:rPr>
          <w:rFonts w:ascii="Helvetica Neue" w:hAnsi="Helvetica Neue"/>
          <w:szCs w:val="22"/>
        </w:rPr>
        <w:t>1</w:t>
      </w:r>
      <w:r w:rsidR="00C160F7">
        <w:rPr>
          <w:rFonts w:ascii="Helvetica Neue" w:hAnsi="Helvetica Neue"/>
          <w:szCs w:val="22"/>
        </w:rPr>
        <w:t>2</w:t>
      </w:r>
      <w:r w:rsidR="00FE03C1" w:rsidRPr="0024409C">
        <w:rPr>
          <w:rFonts w:ascii="Helvetica Neue" w:hAnsi="Helvetica Neue"/>
          <w:szCs w:val="22"/>
        </w:rPr>
        <w:t>.1</w:t>
      </w:r>
      <w:r w:rsidR="00FE03C1" w:rsidRPr="0024409C">
        <w:rPr>
          <w:rFonts w:ascii="Helvetica Neue" w:hAnsi="Helvetica Neue"/>
          <w:szCs w:val="22"/>
        </w:rPr>
        <w:tab/>
      </w:r>
      <w:r w:rsidR="00FE03C1" w:rsidRPr="0024409C">
        <w:rPr>
          <w:rFonts w:ascii="Helvetica Neue" w:hAnsi="Helvetica Neue"/>
          <w:szCs w:val="22"/>
        </w:rPr>
        <w:tab/>
      </w:r>
      <w:r w:rsidR="007751E4" w:rsidRPr="0024409C">
        <w:rPr>
          <w:rFonts w:ascii="Helvetica Neue" w:hAnsi="Helvetica Neue"/>
          <w:szCs w:val="22"/>
        </w:rPr>
        <w:t>Model Calibration</w:t>
      </w:r>
      <w:bookmarkEnd w:id="55"/>
      <w:bookmarkEnd w:id="56"/>
    </w:p>
    <w:p w14:paraId="484369C0" w14:textId="742CF604" w:rsidR="007751E4" w:rsidRPr="0024409C" w:rsidRDefault="007751E4" w:rsidP="007751E4">
      <w:pPr>
        <w:tabs>
          <w:tab w:val="left" w:pos="540"/>
        </w:tabs>
        <w:spacing w:line="360" w:lineRule="auto"/>
        <w:rPr>
          <w:rFonts w:ascii="Helvetica Neue" w:hAnsi="Helvetica Neue"/>
        </w:rPr>
      </w:pPr>
      <w:r w:rsidRPr="0024409C">
        <w:rPr>
          <w:rFonts w:ascii="Helvetica Neue" w:hAnsi="Helvetica Neue"/>
        </w:rPr>
        <w:t xml:space="preserve">Starting with a population of 10,000 MSM, HIV infection was initially seeded in </w:t>
      </w:r>
      <w:r w:rsidR="002D077C" w:rsidRPr="0024409C">
        <w:rPr>
          <w:rFonts w:ascii="Helvetica Neue" w:hAnsi="Helvetica Neue"/>
        </w:rPr>
        <w:t>10</w:t>
      </w:r>
      <w:r w:rsidRPr="0024409C">
        <w:rPr>
          <w:rFonts w:ascii="Helvetica Neue" w:hAnsi="Helvetica Neue"/>
        </w:rPr>
        <w:t xml:space="preserve">% of the population, urethral </w:t>
      </w:r>
      <w:r w:rsidR="004220D6" w:rsidRPr="0024409C">
        <w:rPr>
          <w:rFonts w:ascii="Helvetica Neue" w:hAnsi="Helvetica Neue"/>
        </w:rPr>
        <w:t xml:space="preserve">NG </w:t>
      </w:r>
      <w:r w:rsidR="00E22B16" w:rsidRPr="0024409C">
        <w:rPr>
          <w:rFonts w:ascii="Helvetica Neue" w:hAnsi="Helvetica Neue"/>
        </w:rPr>
        <w:t xml:space="preserve">and CT in </w:t>
      </w:r>
      <w:r w:rsidR="00111A41">
        <w:rPr>
          <w:rFonts w:ascii="Helvetica Neue" w:hAnsi="Helvetica Neue"/>
        </w:rPr>
        <w:t>0.</w:t>
      </w:r>
      <w:r w:rsidR="00E22B16" w:rsidRPr="0024409C">
        <w:rPr>
          <w:rFonts w:ascii="Helvetica Neue" w:hAnsi="Helvetica Neue"/>
        </w:rPr>
        <w:t>1</w:t>
      </w:r>
      <w:r w:rsidR="00111A41">
        <w:rPr>
          <w:rFonts w:ascii="Helvetica Neue" w:hAnsi="Helvetica Neue"/>
        </w:rPr>
        <w:t>5</w:t>
      </w:r>
      <w:r w:rsidRPr="0024409C">
        <w:rPr>
          <w:rFonts w:ascii="Helvetica Neue" w:hAnsi="Helvetica Neue"/>
        </w:rPr>
        <w:t xml:space="preserve">% of the population, rectal </w:t>
      </w:r>
      <w:r w:rsidR="004220D6" w:rsidRPr="0024409C">
        <w:rPr>
          <w:rFonts w:ascii="Helvetica Neue" w:hAnsi="Helvetica Neue"/>
        </w:rPr>
        <w:t xml:space="preserve">NG </w:t>
      </w:r>
      <w:r w:rsidRPr="0024409C">
        <w:rPr>
          <w:rFonts w:ascii="Helvetica Neue" w:hAnsi="Helvetica Neue"/>
        </w:rPr>
        <w:t xml:space="preserve">and CT in </w:t>
      </w:r>
      <w:r w:rsidR="00111A41">
        <w:rPr>
          <w:rFonts w:ascii="Helvetica Neue" w:hAnsi="Helvetica Neue"/>
        </w:rPr>
        <w:t>0.15</w:t>
      </w:r>
      <w:r w:rsidRPr="0024409C">
        <w:rPr>
          <w:rFonts w:ascii="Helvetica Neue" w:hAnsi="Helvetica Neue"/>
        </w:rPr>
        <w:t>%</w:t>
      </w:r>
      <w:r w:rsidR="001249D5" w:rsidRPr="0024409C">
        <w:rPr>
          <w:rFonts w:ascii="Helvetica Neue" w:hAnsi="Helvetica Neue"/>
        </w:rPr>
        <w:t xml:space="preserve"> of the population</w:t>
      </w:r>
      <w:r w:rsidRPr="0024409C">
        <w:rPr>
          <w:rFonts w:ascii="Helvetica Neue" w:hAnsi="Helvetica Neue"/>
        </w:rPr>
        <w:t xml:space="preserve">. A set of burn-in simulations was then used to allow the natural dynamics of HIV and STI transmission, demography, and other population features to evolve over time. The goal of the burn-in simulation was to arrive at a network of MSM that was independent of the initial conditions resulting from the seeding. This also established a population composition with behavioral and biological features calibrated to match external targets for HIV prevalence of </w:t>
      </w:r>
      <w:r w:rsidR="00F4664C" w:rsidRPr="0024409C">
        <w:rPr>
          <w:rFonts w:ascii="Helvetica Neue" w:hAnsi="Helvetica Neue"/>
        </w:rPr>
        <w:t>15</w:t>
      </w:r>
      <w:r w:rsidRPr="0024409C">
        <w:rPr>
          <w:rFonts w:ascii="Helvetica Neue" w:hAnsi="Helvetica Neue"/>
        </w:rPr>
        <w:t xml:space="preserve">% from </w:t>
      </w:r>
      <w:r w:rsidR="00F4664C" w:rsidRPr="0024409C">
        <w:rPr>
          <w:rFonts w:ascii="Helvetica Neue" w:hAnsi="Helvetica Neue"/>
        </w:rPr>
        <w:t>the national estimate of HIV prevalence among MSM</w:t>
      </w:r>
      <w:r w:rsidR="0027106B" w:rsidRPr="0024409C">
        <w:rPr>
          <w:rFonts w:ascii="Helvetica Neue" w:hAnsi="Helvetica Neue"/>
        </w:rPr>
        <w:t>, which harmonized MSM population size estimates with publicly available HIV surveillance data</w:t>
      </w:r>
      <w:r w:rsidR="0003106F" w:rsidRPr="0024409C">
        <w:rPr>
          <w:rFonts w:ascii="Helvetica Neue" w:hAnsi="Helvetica Neue"/>
        </w:rPr>
        <w:t>.</w:t>
      </w:r>
      <w:r w:rsidR="00962A93" w:rsidRPr="0024409C">
        <w:rPr>
          <w:rFonts w:ascii="Helvetica Neue" w:hAnsi="Helvetica Neue"/>
        </w:rPr>
        <w:fldChar w:fldCharType="begin" w:fldLock="1"/>
      </w:r>
      <w:r w:rsidR="002E5A1F">
        <w:rPr>
          <w:rFonts w:ascii="Helvetica Neue" w:hAnsi="Helvetica Neue"/>
        </w:rPr>
        <w:instrText>ADDIN CSL_CITATION { "citationItems" : [ { "id" : "ITEM-1", "itemData" : { "DOI" : "10.2196/publichealth.5684", "ISSN" : "2369-2960", "PMID" : "27244769", "abstract" : "BACKGROUND In the United States, men who have sex with men (MSM) increasingly represent the majority of people living with and acquiring human immunodeficiency virus (HIV) infection. Local and federal surveillance programs estimate the number of persons living with an HIV diagnosis, persons living with HIV infection, and new diagnoses. Given the absence of population-based estimates of the number of MSM for US states, metropolitan statistical areas (MSAs), or counties, it is not possible to accurately estimate rates using these indicators at these levels, inhibiting the ability to understand HIV burden and to direct prevention efforts. OBJECTIVE To synthesize recently published estimates of MSM population size with publicly available HIV surveillance data, in order to estimate the prevalence of HIV diagnosis and infection and the rate of new diagnoses, at the national, state, MSA, and county levels. METHODS The number of MSM living with HIV infection in 2012 (prevalence), living with an HIV diagnosis in 2012 (diagnosed prevalence), and newly diagnosed with HIV infection in 2013 (new diagnosis), at state, MSA, and county levels, were obtained from publicly available data from AIDSVu.org and the US Centers for Disease Control and Prevention. The estimated number of MSM living in every US county was calculated using recently published methodology that utilized data from the National Health and Nutrition Examination Survey and American Community Survey. Estimated county-level MSM counts were aggregated to form MSA- and state-level totals. From this, we estimated HIV prevalence, diagnosed prevalence, and new diagnosis rates. RESULTS The estimated HIV prevalence among MSM in the United States in 2012 was 15.0% (666,900/4,452,772), the diagnosed HIV prevalence in 2012 was 11.1% (493,453/4,452,772), and the new diagnosis rate for 2013 was 0.7 per 100 MSM. For diagnosed prevalence at the state level, 6 states had both &lt;15,000 cases and diagnosed prevalence rates of \u226515%, all in the South. Five highly populated states had \u226515,000 cases and rates between 10% and 15%. Georgia was the only state with \u226515,000 cases and \u226515% diagnosed prevalence rate. Of the 25 MSAs with the highest diagnosed prevalence rates in the United States, 21 were in the South and 6 had diagnosed prevalence of \u226525%. County-level data showed high diagnosed prevalence rates in both urban and rural counties of the South. CONCLUSIONS HIV infection is hyperendemic among MSM in many areas of the Uni\u2026", "author" : [ { "dropping-particle" : "", "family" : "Rosenberg", "given" : "Eli Samuel", "non-dropping-particle" : "", "parse-names" : false, "suffix" : "" }, { "dropping-particle" : "", "family" : "Grey", "given" : "Jeremy Alexander", "non-dropping-particle" : "", "parse-names" : false, "suffix" : "" }, { "dropping-particle" : "", "family" : "Sanchez", "given" : "Travis Howard", "non-dropping-particle" : "", "parse-names" : false, "suffix" : "" }, { "dropping-particle" : "", "family" : "Sullivan", "given" : "Patrick Sean", "non-dropping-particle" : "", "parse-names" : false, "suffix" : "" } ], "container-title" : "JMIR public health and surveillance", "id" : "ITEM-1", "issue" : "1", "issued" : { "date-parts" : [ [ "2016", "5", "17" ] ] }, "page" : "e22", "publisher" : "JMIR Publications Inc.", "title" : "Rates of Prevalent HIV Infection, Prevalent Diagnoses, and New Diagnoses Among Men Who Have Sex With Men in US States, Metropolitan Statistical Areas, and Counties, 2012-2013.", "type" : "article-journal", "volume" : "2" }, "uris" : [ "http://www.mendeley.com/documents/?uuid=a7682f51-17cb-399a-952c-2a3b32233767" ] } ], "mendeley" : { "formattedCitation" : "&lt;sup&gt;108&lt;/sup&gt;", "plainTextFormattedCitation" : "108", "previouslyFormattedCitation" : "&lt;sup&gt;108&lt;/sup&gt;" }, "properties" : { "noteIndex" : 0 }, "schema" : "https://github.com/citation-style-language/schema/raw/master/csl-citation.json" }</w:instrText>
      </w:r>
      <w:r w:rsidR="00962A93" w:rsidRPr="0024409C">
        <w:rPr>
          <w:rFonts w:ascii="Helvetica Neue" w:hAnsi="Helvetica Neue"/>
        </w:rPr>
        <w:fldChar w:fldCharType="separate"/>
      </w:r>
      <w:r w:rsidR="002E5A1F" w:rsidRPr="002E5A1F">
        <w:rPr>
          <w:rFonts w:ascii="Helvetica Neue" w:hAnsi="Helvetica Neue"/>
          <w:noProof/>
          <w:vertAlign w:val="superscript"/>
        </w:rPr>
        <w:t>108</w:t>
      </w:r>
      <w:r w:rsidR="00962A93" w:rsidRPr="0024409C">
        <w:rPr>
          <w:rFonts w:ascii="Helvetica Neue" w:hAnsi="Helvetica Neue"/>
        </w:rPr>
        <w:fldChar w:fldCharType="end"/>
      </w:r>
      <w:r w:rsidR="00962A93" w:rsidRPr="0024409C">
        <w:rPr>
          <w:rFonts w:ascii="Helvetica Neue" w:hAnsi="Helvetica Neue"/>
        </w:rPr>
        <w:t xml:space="preserve"> </w:t>
      </w:r>
      <w:r w:rsidR="0003106F" w:rsidRPr="0024409C">
        <w:rPr>
          <w:rFonts w:ascii="Helvetica Neue" w:hAnsi="Helvetica Neue"/>
        </w:rPr>
        <w:t xml:space="preserve">This </w:t>
      </w:r>
      <w:r w:rsidR="0032440F" w:rsidRPr="0024409C">
        <w:rPr>
          <w:rFonts w:ascii="Helvetica Neue" w:hAnsi="Helvetica Neue"/>
        </w:rPr>
        <w:t xml:space="preserve">differs from our previous models, which were calibrated to HIV incidence and prevalence </w:t>
      </w:r>
      <w:r w:rsidR="0003106F" w:rsidRPr="0024409C">
        <w:rPr>
          <w:rFonts w:ascii="Helvetica Neue" w:hAnsi="Helvetica Neue"/>
        </w:rPr>
        <w:t xml:space="preserve">obtained from </w:t>
      </w:r>
      <w:r w:rsidR="00FF6A73" w:rsidRPr="0024409C">
        <w:rPr>
          <w:rFonts w:ascii="Helvetica Neue" w:hAnsi="Helvetica Neue"/>
        </w:rPr>
        <w:t>previous network and i</w:t>
      </w:r>
      <w:r w:rsidR="0027106B" w:rsidRPr="0024409C">
        <w:rPr>
          <w:rFonts w:ascii="Helvetica Neue" w:hAnsi="Helvetica Neue"/>
        </w:rPr>
        <w:t>ncidence studies of Atlanta MSM.</w:t>
      </w:r>
      <w:r w:rsidR="00FF6A73" w:rsidRPr="0024409C">
        <w:rPr>
          <w:rFonts w:ascii="Helvetica Neue" w:hAnsi="Helvetica Neue"/>
        </w:rPr>
        <w:fldChar w:fldCharType="begin" w:fldLock="1"/>
      </w:r>
      <w:r w:rsidR="002E5A1F">
        <w:rPr>
          <w:rFonts w:ascii="Helvetica Neue" w:hAnsi="Helvetica Neue"/>
        </w:rPr>
        <w:instrText>ADDIN CSL_CITATION { "citationItems" : [ { "id" : "ITEM-1", "itemData" : { "PMID" : "25719950", "abstract" : "Data reporting sexually transmitted infection (STI) incidence rates among HIV-negative U.S. men who have sex with men (MSM) are lacking. In addition, it is difficult to analyze the effect of STI on HIV acquisition given that sexual risk behaviors confound the relationship between bacterial STIs and incident HIV. The InvolveMENt study was a longitudinal cohort of black and white HIV-negative, sexually active MSM in Atlanta who underwent routine screening for STI and HIV and completed behavioral questionnaires. Age-adjusted incidence rates were calculated for urethral and rectal Chlamydia (CT), gonorrhea (GC), and syphilis, stratified by race. Propensity-score-weighted Cox proportional hazards models were used to estimate the effect of STI on HIV incidence and calculate the population attributable fraction (PAF) for STI. We included 562 HIV-negative MSM with 843 person-years of follow-up in this analysis. High incidence rates were documented for all STIs, particularly among black MSM. Having a rectal STI was significantly associated with subsequent HIV incidence in adjusted analyses (aHR 2.7; 95% CI 1.2, 6.4) that controlled for behavioral risk factors associated with STI and HIV using propensity score weights. The PAF for rectal STI was 14.6 (95% CI 6.8, 31.4). The high incidence of STIs among Atlanta MSM and the association of rectal STI with HIV acquisition after controlling for behavioral risk underscore the importance of routine screening and treatment for STIs among sexually active MSM. Our data support targeting intensive HIV prevention interventions, such as preexposure chemoprophylaxis (PrEP), for Atlanta MSM diagnosed with rectal STIs.", "author" : [ { "dropping-particle" : "", "family" : "Kelley", "given" : "Colleen F", "non-dropping-particle" : "", "parse-names" : false, "suffix" : "" }, { "dropping-particle" : "", "family" : "Vaughan", "given" : "Adam S", "non-dropping-particle" : "", "parse-names" : false, "suffix" : "" }, { "dropping-particle" : "", "family" : "Luisi", "given" : "Nicole", "non-dropping-particle" : "", "parse-names" : false, "suffix" : "" }, { "dropping-particle" : "", "family" : "Sanchez", "given" : "Travis H", "non-dropping-particle" : "", "parse-names" : false, "suffix" : "" }, { "dropping-particle" : "", "family" : "Salazar", "given" : "Laura F", "non-dropping-particle" : "", "parse-names" : false, "suffix" : "" }, { "dropping-particle" : "", "family" : "Frew", "given" : "Paula M", "non-dropping-particle" : "", "parse-names" : false, "suffix" : "" }, { "dropping-particle" : "", "family" : "Cooper", "given" : "Hannah L F", "non-dropping-particle" : "", "parse-names" : false, "suffix" : "" }, { "dropping-particle" : "", "family" : "Diclemente", "given" : "Ralph",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"container-title" : "AIDS Res Hum Retroviruses", "id" : "ITEM-1", "issue" : "6", "issued" : { "date-parts" : [ [ "2015", "6" ] ] }, "page" : "587-92", "title" : "The effect of high rates of bacterial sexually transmitted infections on HIV incidence in a cohort of black and white men who have sex with men in Atlanta, Georgia.", "type" : "article-journal", "volume" : "31" }, "uris" : [ "http://www.mendeley.com/documents/?uuid=9a4d96f1-ac24-4340-b64e-7e2df162dc60" ] }, { "id" : "ITEM-2", "itemData" : { "ISSN" : "1537-4521", "PMID" : "26267877", "abstract" : "BACKGROUND Studying the heterogeneity and correlates of HIV risk in the sexual networks of black and white men who have sex with men (MSM) may help explain racial disparities in HIV-infection. METHODS Black and white MSM were recruited as seeds using venue-based time sampling and provided data regarding their recent sex partners. We used chain referral methods to enroll seeds' recent sex partners; newly enrolled partners in turn provided data on their recent sex partners, some of whom later enrolled. Data about unenrolled recent sex partners obtained from seeds and enrolled participants were also analyzed. We estimated the prevalence of HIV in sexual networks of MSM and assessed differential patterns of network HIV risk by the race of the seed. RESULTS The mean network prevalence of HIV in sexual networks of black MSM (n = 117) was 36% compared with 4% in networks of white MSM (n = 78; P &lt; 0.0001). Sexual networks of unemployed black MSM had a higher prevalence of HIV than their employed counterparts (51% vs. 29%, P = 0.007). The networks of HIV-negative black MSM seeds aged 18 to 24 years had a network prevalence of 9% compared with 2% among those aged 30 years or older. In networks originating from a black HIV-positive seed, the prevalence ranged from 63% among those aged 18 to 24 years to 80% among those 30 years or older. CONCLUSIONS The high prevalence of HIV in the networks of HIV-negative young black MSM demonstrates a mechanism for the increased HIV incidence observed in this age group. More research is needed into how age and socioeconomic factors shape sexual networks and HIV risk.", "author" : [ { "dropping-particle" : "", "family" : "Hern\u00e1ndez-Romieu", "given" : "Alfonso C", "non-dropping-particle" : "", "parse-names" : false, "suffix" : "" }, { "dropping-particle" : "", "family" : "Sullivan", "given" : "Patrick S", "non-dropping-particle" : "", "parse-names" : false, "suffix" : "" }, { "dropping-particle" : "", "family" : "Rothenberg", "given" : "Richard", "non-dropping-particle" : "", "parse-names" : false, "suffix" : "" }, { "dropping-particle" : "", "family" : "Grey", "given" : "Jeremy", "non-dropping-particle" : "", "parse-names" : false, "suffix" : "" }, { "dropping-particle" : "", "family" : "Luisi", "given" : "Nicole", "non-dropping-particle" : "", "parse-names" : false, "suffix" : "" }, { "dropping-particle" : "", "family" : "Kelley", "given" : "Colleen F", "non-dropping-particle" : "", "parse-names" : false, "suffix" : "" }, { "dropping-particle" : "", "family" : "Rosenberg", "given" : "Eli S", "non-dropping-particle" : "", "parse-names" : false, "suffix" : "" } ], "container-title" : "Sex Transm Dis", "id" : "ITEM-2", "issue" : "9", "issued" : { "date-parts" : [ [ "2015", "9" ] ] }, "page" : "505-12", "title" : "Heterogeneity of HIV prevalence among the sexual networks of black and white men who have sex with men in Atlanta: Illuminating a mechanism for increased HIV risk for young black men who have sex with men.", "type" : "article-journal", "volume" : "42" }, "uris" : [ "http://www.mendeley.com/documents/?uuid=6e4624eb-137a-49c4-9725-b20a62e58693" ] } ], "mendeley" : { "formattedCitation" : "&lt;sup&gt;109,110&lt;/sup&gt;", "plainTextFormattedCitation" : "109,110", "previouslyFormattedCitation" : "&lt;sup&gt;109,110&lt;/sup&gt;" }, "properties" : { "noteIndex" : 0 }, "schema" : "https://github.com/citation-style-language/schema/raw/master/csl-citation.json" }</w:instrText>
      </w:r>
      <w:r w:rsidR="00FF6A73" w:rsidRPr="0024409C">
        <w:rPr>
          <w:rFonts w:ascii="Helvetica Neue" w:hAnsi="Helvetica Neue"/>
        </w:rPr>
        <w:fldChar w:fldCharType="separate"/>
      </w:r>
      <w:r w:rsidR="002E5A1F" w:rsidRPr="002E5A1F">
        <w:rPr>
          <w:rFonts w:ascii="Helvetica Neue" w:hAnsi="Helvetica Neue"/>
          <w:noProof/>
          <w:vertAlign w:val="superscript"/>
        </w:rPr>
        <w:t>109,110</w:t>
      </w:r>
      <w:r w:rsidR="00FF6A73" w:rsidRPr="0024409C">
        <w:rPr>
          <w:rFonts w:ascii="Helvetica Neue" w:hAnsi="Helvetica Neue"/>
        </w:rPr>
        <w:fldChar w:fldCharType="end"/>
      </w:r>
      <w:r w:rsidR="00FF6A73" w:rsidRPr="0024409C">
        <w:rPr>
          <w:rFonts w:ascii="Helvetica Neue" w:hAnsi="Helvetica Neue"/>
        </w:rPr>
        <w:t xml:space="preserve"> </w:t>
      </w:r>
    </w:p>
    <w:p w14:paraId="226D5C56" w14:textId="77777777" w:rsidR="00277378" w:rsidRPr="0024409C" w:rsidRDefault="00277378" w:rsidP="00277378">
      <w:pPr>
        <w:spacing w:before="120" w:line="360" w:lineRule="auto"/>
        <w:rPr>
          <w:rFonts w:ascii="Helvetica Neue" w:hAnsi="Helvetica Neue"/>
        </w:rPr>
      </w:pPr>
      <w:r w:rsidRPr="0024409C">
        <w:rPr>
          <w:rFonts w:ascii="Helvetica Neue" w:hAnsi="Helvetica Neue"/>
        </w:rPr>
        <w:t xml:space="preserve">Many STI-specific and HIV/STI models of disease transmission have been parameterized using populations both in the United States and internationally. These models have differed in type, including deterministic compartmental models, stochastic models, and agent-based transmission models. They have also differed by the populations explicitly modeled, whether MSM only, heterosexual men and women only, or a combination of both populations. Given the variation in parameter values from population to population, we use and evaluate information and estimates from models of male-to-female (MTF), female-to-male (FTM), and male-to-male disease transmission to establish our parameters and prior distributions. These include calibrated estimates from published mathematical models, findings from natural history studies that have been parameters in those models, and estimates where other information is not available. </w:t>
      </w:r>
    </w:p>
    <w:p w14:paraId="2D8044F8" w14:textId="7B9F079A" w:rsidR="004977A8" w:rsidRPr="0024409C" w:rsidRDefault="00277378" w:rsidP="002232EA">
      <w:pPr>
        <w:spacing w:before="120" w:after="120" w:line="360" w:lineRule="auto"/>
        <w:rPr>
          <w:rFonts w:ascii="Helvetica Neue" w:hAnsi="Helvetica Neue"/>
        </w:rPr>
      </w:pPr>
      <w:r w:rsidRPr="0024409C">
        <w:rPr>
          <w:rFonts w:ascii="Helvetica Neue" w:hAnsi="Helvetica Neue"/>
        </w:rPr>
        <w:lastRenderedPageBreak/>
        <w:t xml:space="preserve">Table </w:t>
      </w:r>
      <w:r w:rsidR="00307CFC" w:rsidRPr="0024409C">
        <w:rPr>
          <w:rFonts w:ascii="Helvetica Neue" w:hAnsi="Helvetica Neue"/>
        </w:rPr>
        <w:t>S</w:t>
      </w:r>
      <w:r w:rsidR="00AE4C9D">
        <w:rPr>
          <w:rFonts w:ascii="Helvetica Neue" w:hAnsi="Helvetica Neue"/>
        </w:rPr>
        <w:t>2</w:t>
      </w:r>
      <w:r w:rsidR="00307CFC" w:rsidRPr="0024409C">
        <w:rPr>
          <w:rFonts w:ascii="Helvetica Neue" w:hAnsi="Helvetica Neue"/>
        </w:rPr>
        <w:t xml:space="preserve"> </w:t>
      </w:r>
      <w:r w:rsidRPr="0024409C">
        <w:rPr>
          <w:rFonts w:ascii="Helvetica Neue" w:hAnsi="Helvetica Neue"/>
        </w:rPr>
        <w:t>summarizes the primary STI-related parameters from these models. We used approximate Bayesian computation to define model parameters with uncertain values, construct prior distributions for those parameters, and fit the model to HIV/STI prevalence and incidence data to estimate the posterior distributions of those parameter values. In Table S</w:t>
      </w:r>
      <w:r w:rsidR="00AE4C9D">
        <w:rPr>
          <w:rFonts w:ascii="Helvetica Neue" w:hAnsi="Helvetica Neue"/>
        </w:rPr>
        <w:t>2</w:t>
      </w:r>
      <w:r w:rsidRPr="0024409C">
        <w:rPr>
          <w:rFonts w:ascii="Helvetica Neue" w:hAnsi="Helvetica Neue"/>
        </w:rPr>
        <w:t>, we provide the posterior values of those parameters, prior distributions (all uniform over the ranges shown), and key references consulted in fo</w:t>
      </w:r>
      <w:r w:rsidR="00294713" w:rsidRPr="0024409C">
        <w:rPr>
          <w:rFonts w:ascii="Helvetica Neue" w:hAnsi="Helvetica Neue"/>
        </w:rPr>
        <w:t xml:space="preserve">rming the shape of the priors. </w:t>
      </w:r>
      <w:r w:rsidRPr="0024409C">
        <w:rPr>
          <w:rFonts w:ascii="Helvetica Neue" w:hAnsi="Helvetica Neue"/>
        </w:rPr>
        <w:t>Parameter values with a N/A value for the prior were not calibrated and assumed fixed as the posterior mean value shown in the table.</w:t>
      </w:r>
    </w:p>
    <w:tbl>
      <w:tblPr>
        <w:tblW w:w="11180" w:type="dxa"/>
        <w:tblInd w:w="108" w:type="dxa"/>
        <w:tblLook w:val="04A0" w:firstRow="1" w:lastRow="0" w:firstColumn="1" w:lastColumn="0" w:noHBand="0" w:noVBand="1"/>
      </w:tblPr>
      <w:tblGrid>
        <w:gridCol w:w="3820"/>
        <w:gridCol w:w="1104"/>
        <w:gridCol w:w="1474"/>
        <w:gridCol w:w="4782"/>
      </w:tblGrid>
      <w:tr w:rsidR="00887EBC" w:rsidRPr="001B6BD3" w14:paraId="63EB439A" w14:textId="77777777" w:rsidTr="001B6BD3">
        <w:trPr>
          <w:trHeight w:val="315"/>
        </w:trPr>
        <w:tc>
          <w:tcPr>
            <w:tcW w:w="11180" w:type="dxa"/>
            <w:gridSpan w:val="4"/>
            <w:tcBorders>
              <w:top w:val="nil"/>
              <w:left w:val="nil"/>
              <w:bottom w:val="single" w:sz="4" w:space="0" w:color="auto"/>
              <w:right w:val="nil"/>
            </w:tcBorders>
            <w:shd w:val="clear" w:color="000000" w:fill="FFFFFF"/>
            <w:vAlign w:val="center"/>
            <w:hideMark/>
          </w:tcPr>
          <w:p w14:paraId="7AD1F685" w14:textId="24E1AD08" w:rsidR="00887EBC" w:rsidRPr="001B6BD3" w:rsidRDefault="00887EBC" w:rsidP="00AE4C9D">
            <w:pPr>
              <w:rPr>
                <w:rFonts w:ascii="Garamond" w:eastAsia="Times New Roman" w:hAnsi="Garamond" w:cs="Calibri"/>
                <w:color w:val="000000"/>
                <w:sz w:val="20"/>
                <w:szCs w:val="20"/>
              </w:rPr>
            </w:pPr>
            <w:r w:rsidRPr="001B6BD3">
              <w:rPr>
                <w:rFonts w:ascii="Garamond" w:eastAsia="Times New Roman" w:hAnsi="Garamond" w:cs="Calibri"/>
                <w:b/>
                <w:bCs/>
                <w:color w:val="000000"/>
                <w:sz w:val="20"/>
                <w:szCs w:val="20"/>
              </w:rPr>
              <w:t>Table S</w:t>
            </w:r>
            <w:r w:rsidR="00AE4C9D">
              <w:rPr>
                <w:rFonts w:ascii="Garamond" w:eastAsia="Times New Roman" w:hAnsi="Garamond" w:cs="Calibri"/>
                <w:b/>
                <w:bCs/>
                <w:color w:val="000000"/>
                <w:sz w:val="20"/>
                <w:szCs w:val="20"/>
              </w:rPr>
              <w:t>2</w:t>
            </w:r>
            <w:r w:rsidRPr="001B6BD3">
              <w:rPr>
                <w:rFonts w:ascii="Garamond" w:eastAsia="Times New Roman" w:hAnsi="Garamond" w:cs="Calibri"/>
                <w:b/>
                <w:bCs/>
                <w:color w:val="000000"/>
                <w:sz w:val="20"/>
                <w:szCs w:val="20"/>
              </w:rPr>
              <w:t xml:space="preserve">. </w:t>
            </w:r>
            <w:r>
              <w:rPr>
                <w:rFonts w:ascii="Garamond" w:eastAsia="Times New Roman" w:hAnsi="Garamond" w:cs="Calibri"/>
                <w:color w:val="000000"/>
                <w:sz w:val="20"/>
                <w:szCs w:val="20"/>
              </w:rPr>
              <w:t>Parameters</w:t>
            </w:r>
            <w:r w:rsidRPr="001B6BD3">
              <w:rPr>
                <w:rFonts w:ascii="Garamond" w:eastAsia="Times New Roman" w:hAnsi="Garamond" w:cs="Calibri"/>
                <w:color w:val="000000"/>
                <w:sz w:val="20"/>
                <w:szCs w:val="20"/>
              </w:rPr>
              <w:t>, Posterior Value, Prior Distributions, and Sources for STI-related Model Parameters</w:t>
            </w:r>
          </w:p>
        </w:tc>
      </w:tr>
      <w:tr w:rsidR="00887EBC" w:rsidRPr="001B6BD3" w14:paraId="4A433E23" w14:textId="77777777" w:rsidTr="00522C8D">
        <w:trPr>
          <w:trHeight w:val="315"/>
        </w:trPr>
        <w:tc>
          <w:tcPr>
            <w:tcW w:w="3820" w:type="dxa"/>
            <w:tcBorders>
              <w:top w:val="nil"/>
              <w:left w:val="nil"/>
              <w:bottom w:val="single" w:sz="4" w:space="0" w:color="auto"/>
              <w:right w:val="nil"/>
            </w:tcBorders>
            <w:shd w:val="clear" w:color="000000" w:fill="FFFFFF"/>
            <w:vAlign w:val="center"/>
            <w:hideMark/>
          </w:tcPr>
          <w:p w14:paraId="538D4B61" w14:textId="77777777" w:rsidR="00887EBC" w:rsidRPr="001B6BD3" w:rsidRDefault="00887EBC" w:rsidP="00887EBC">
            <w:pPr>
              <w:rPr>
                <w:rFonts w:ascii="Garamond" w:eastAsia="Times New Roman" w:hAnsi="Garamond" w:cs="Calibri"/>
                <w:b/>
                <w:bCs/>
                <w:color w:val="000000"/>
                <w:sz w:val="20"/>
                <w:szCs w:val="20"/>
              </w:rPr>
            </w:pPr>
            <w:r w:rsidRPr="001B6BD3">
              <w:rPr>
                <w:rFonts w:ascii="Garamond" w:eastAsia="Times New Roman" w:hAnsi="Garamond" w:cs="Calibri"/>
                <w:b/>
                <w:bCs/>
                <w:color w:val="000000"/>
                <w:sz w:val="20"/>
                <w:szCs w:val="20"/>
              </w:rPr>
              <w:t>Parameter</w:t>
            </w:r>
          </w:p>
        </w:tc>
        <w:tc>
          <w:tcPr>
            <w:tcW w:w="1104" w:type="dxa"/>
            <w:tcBorders>
              <w:top w:val="nil"/>
              <w:left w:val="nil"/>
              <w:bottom w:val="single" w:sz="4" w:space="0" w:color="auto"/>
              <w:right w:val="nil"/>
            </w:tcBorders>
            <w:shd w:val="clear" w:color="000000" w:fill="FFFFFF"/>
            <w:vAlign w:val="center"/>
            <w:hideMark/>
          </w:tcPr>
          <w:p w14:paraId="6E91994F" w14:textId="77777777" w:rsidR="00887EBC" w:rsidRPr="001B6BD3" w:rsidRDefault="00887EBC" w:rsidP="00887EBC">
            <w:pPr>
              <w:rPr>
                <w:rFonts w:ascii="Garamond" w:eastAsia="Times New Roman" w:hAnsi="Garamond" w:cs="Calibri"/>
                <w:b/>
                <w:bCs/>
                <w:color w:val="000000"/>
                <w:sz w:val="20"/>
                <w:szCs w:val="20"/>
              </w:rPr>
            </w:pPr>
            <w:r w:rsidRPr="001B6BD3">
              <w:rPr>
                <w:rFonts w:ascii="Garamond" w:eastAsia="Times New Roman" w:hAnsi="Garamond" w:cs="Calibri"/>
                <w:b/>
                <w:bCs/>
                <w:color w:val="000000"/>
                <w:sz w:val="20"/>
                <w:szCs w:val="20"/>
              </w:rPr>
              <w:t>Value</w:t>
            </w:r>
          </w:p>
        </w:tc>
        <w:tc>
          <w:tcPr>
            <w:tcW w:w="1474" w:type="dxa"/>
            <w:tcBorders>
              <w:top w:val="nil"/>
              <w:left w:val="nil"/>
              <w:bottom w:val="single" w:sz="4" w:space="0" w:color="auto"/>
              <w:right w:val="nil"/>
            </w:tcBorders>
            <w:shd w:val="clear" w:color="000000" w:fill="FFFFFF"/>
            <w:vAlign w:val="center"/>
            <w:hideMark/>
          </w:tcPr>
          <w:p w14:paraId="62B35A11" w14:textId="77777777" w:rsidR="00887EBC" w:rsidRPr="001B6BD3" w:rsidRDefault="00887EBC" w:rsidP="00887EBC">
            <w:pPr>
              <w:rPr>
                <w:rFonts w:ascii="Garamond" w:eastAsia="Times New Roman" w:hAnsi="Garamond" w:cs="Calibri"/>
                <w:b/>
                <w:bCs/>
                <w:color w:val="000000"/>
                <w:sz w:val="20"/>
                <w:szCs w:val="20"/>
              </w:rPr>
            </w:pPr>
            <w:r w:rsidRPr="001B6BD3">
              <w:rPr>
                <w:rFonts w:ascii="Garamond" w:eastAsia="Times New Roman" w:hAnsi="Garamond" w:cs="Calibri"/>
                <w:b/>
                <w:bCs/>
                <w:color w:val="000000"/>
                <w:sz w:val="20"/>
                <w:szCs w:val="20"/>
              </w:rPr>
              <w:t>Priors</w:t>
            </w:r>
          </w:p>
        </w:tc>
        <w:tc>
          <w:tcPr>
            <w:tcW w:w="4782" w:type="dxa"/>
            <w:tcBorders>
              <w:top w:val="nil"/>
              <w:left w:val="nil"/>
              <w:bottom w:val="single" w:sz="4" w:space="0" w:color="auto"/>
              <w:right w:val="nil"/>
            </w:tcBorders>
            <w:shd w:val="clear" w:color="000000" w:fill="FFFFFF"/>
            <w:vAlign w:val="center"/>
            <w:hideMark/>
          </w:tcPr>
          <w:p w14:paraId="15932D72" w14:textId="77777777" w:rsidR="00887EBC" w:rsidRPr="001B6BD3" w:rsidRDefault="00887EBC" w:rsidP="00887EBC">
            <w:pPr>
              <w:rPr>
                <w:rFonts w:ascii="Garamond" w:eastAsia="Times New Roman" w:hAnsi="Garamond" w:cs="Calibri"/>
                <w:b/>
                <w:bCs/>
                <w:color w:val="000000"/>
                <w:sz w:val="20"/>
                <w:szCs w:val="20"/>
              </w:rPr>
            </w:pPr>
            <w:r w:rsidRPr="001B6BD3">
              <w:rPr>
                <w:rFonts w:ascii="Garamond" w:eastAsia="Times New Roman" w:hAnsi="Garamond" w:cs="Calibri"/>
                <w:b/>
                <w:bCs/>
                <w:color w:val="000000"/>
                <w:sz w:val="20"/>
                <w:szCs w:val="20"/>
              </w:rPr>
              <w:t>Source</w:t>
            </w:r>
          </w:p>
        </w:tc>
      </w:tr>
      <w:tr w:rsidR="00887EBC" w:rsidRPr="001B6BD3" w14:paraId="75F64CCF" w14:textId="77777777" w:rsidTr="00522C8D">
        <w:trPr>
          <w:trHeight w:val="315"/>
        </w:trPr>
        <w:tc>
          <w:tcPr>
            <w:tcW w:w="3820" w:type="dxa"/>
            <w:tcBorders>
              <w:top w:val="nil"/>
              <w:left w:val="nil"/>
              <w:bottom w:val="nil"/>
              <w:right w:val="nil"/>
            </w:tcBorders>
            <w:shd w:val="clear" w:color="000000" w:fill="FFFFFF"/>
            <w:noWrap/>
            <w:vAlign w:val="center"/>
            <w:hideMark/>
          </w:tcPr>
          <w:p w14:paraId="10B3A8BF" w14:textId="77777777"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Per-act acquisition probability</w:t>
            </w:r>
          </w:p>
        </w:tc>
        <w:tc>
          <w:tcPr>
            <w:tcW w:w="1104" w:type="dxa"/>
            <w:tcBorders>
              <w:top w:val="nil"/>
              <w:left w:val="nil"/>
              <w:bottom w:val="nil"/>
              <w:right w:val="nil"/>
            </w:tcBorders>
            <w:shd w:val="clear" w:color="000000" w:fill="FFFFFF"/>
            <w:noWrap/>
            <w:vAlign w:val="center"/>
            <w:hideMark/>
          </w:tcPr>
          <w:p w14:paraId="575D6DAB"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1474" w:type="dxa"/>
            <w:tcBorders>
              <w:top w:val="nil"/>
              <w:left w:val="nil"/>
              <w:bottom w:val="nil"/>
              <w:right w:val="nil"/>
            </w:tcBorders>
            <w:shd w:val="clear" w:color="000000" w:fill="FFFFFF"/>
            <w:noWrap/>
            <w:vAlign w:val="center"/>
            <w:hideMark/>
          </w:tcPr>
          <w:p w14:paraId="3645217F"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1522DFF4"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67EE5112" w14:textId="77777777" w:rsidTr="00522C8D">
        <w:trPr>
          <w:trHeight w:val="315"/>
        </w:trPr>
        <w:tc>
          <w:tcPr>
            <w:tcW w:w="3820" w:type="dxa"/>
            <w:tcBorders>
              <w:top w:val="nil"/>
              <w:left w:val="nil"/>
              <w:bottom w:val="nil"/>
              <w:right w:val="nil"/>
            </w:tcBorders>
            <w:shd w:val="clear" w:color="000000" w:fill="FFFFFF"/>
            <w:noWrap/>
            <w:vAlign w:val="center"/>
            <w:hideMark/>
          </w:tcPr>
          <w:p w14:paraId="04ED91BF"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Rectal Gonorrhea</w:t>
            </w:r>
          </w:p>
        </w:tc>
        <w:tc>
          <w:tcPr>
            <w:tcW w:w="1104" w:type="dxa"/>
            <w:tcBorders>
              <w:top w:val="nil"/>
              <w:left w:val="nil"/>
              <w:bottom w:val="nil"/>
              <w:right w:val="nil"/>
            </w:tcBorders>
            <w:shd w:val="clear" w:color="000000" w:fill="FFFFFF"/>
            <w:noWrap/>
            <w:vAlign w:val="center"/>
            <w:hideMark/>
          </w:tcPr>
          <w:p w14:paraId="28FCF945" w14:textId="590625D3"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w:t>
            </w:r>
            <w:r w:rsidR="00111A41">
              <w:rPr>
                <w:rFonts w:ascii="Garamond" w:eastAsia="Times New Roman" w:hAnsi="Garamond" w:cs="Calibri"/>
                <w:color w:val="000000"/>
                <w:sz w:val="20"/>
                <w:szCs w:val="20"/>
              </w:rPr>
              <w:t>5161</w:t>
            </w:r>
          </w:p>
        </w:tc>
        <w:tc>
          <w:tcPr>
            <w:tcW w:w="1474" w:type="dxa"/>
            <w:tcBorders>
              <w:top w:val="nil"/>
              <w:left w:val="nil"/>
              <w:bottom w:val="nil"/>
              <w:right w:val="nil"/>
            </w:tcBorders>
            <w:shd w:val="clear" w:color="000000" w:fill="FFFFFF"/>
            <w:noWrap/>
            <w:vAlign w:val="center"/>
            <w:hideMark/>
          </w:tcPr>
          <w:p w14:paraId="0BF39E57"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0.30 – 0.60</w:t>
            </w:r>
          </w:p>
        </w:tc>
        <w:tc>
          <w:tcPr>
            <w:tcW w:w="4782" w:type="dxa"/>
            <w:tcBorders>
              <w:top w:val="nil"/>
              <w:left w:val="nil"/>
              <w:bottom w:val="nil"/>
              <w:right w:val="nil"/>
            </w:tcBorders>
            <w:shd w:val="clear" w:color="000000" w:fill="FFFFFF"/>
            <w:vAlign w:val="center"/>
            <w:hideMark/>
          </w:tcPr>
          <w:p w14:paraId="1C0E3404" w14:textId="1C13690A"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"ITEM-1",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"id" : "ITEM-2", "itemData" : { "ISSN" : "0148-5717", "PMID" : "11984448", "abstract" : "BACKGROUND Because many of the sexual behaviors that place individuals at risk of acquiring HIV are the same as those that place them at risk for other sexually transmitted diseases (STDs), researchers and policymakers have called for the use of non-HIV STDs as surrogate markers for HIV infection. GOALS This study examined the epidemiologic conditions under which changes in STD incidence are associated with changes in HIV incidence. STUDY DESIGN A mathematical model of HIV/STD transmission was applied to empirical data from a large HIV prevention intervention. The association between participants' HIV infection risk reduction scores and their STD risk reduction scores was measured with use of the Pearson product-moment correlation. The authors examined how the strength of association varied across different epidemiologic parameters and heterosexual behaviors. RESULTS Moderate to strong associations were noted when the infectivity of the STD was similar to the infectivity of HIV. The association was attenuated for larger STD infectivity values. The prevalence of STD infection was a less important determinant of the strength of association. Stronger associations were obtained when the number of sex partners was large or the number of sex acts was small. CONCLUSIONS Easily transmitted STDs, such as gonorrhea, are unsuitable for general use as surrogate markers for HIV infection. Hepatitis B, syphilis, and chlamydial infection have more promising epidemiologic profiles. Careful studies of STD infectivity are needed to aid in the identification of potential marker STDs.", "author" : [ { "dropping-particle" : "", "family" : "Pinkerton", "given" : "Steven D", "non-dropping-particle" : "", "parse-names" : false, "suffix" : "" }, { "dropping-particle" : "", "family" : "Layde", "given" : "Peter M", "non-dropping-particle" : "", "parse-names" : false, "suffix" : "" }, { "dropping-particle" : "", "family" : "NIMH multisite HIV prevention trial group", "given" : "", "non-dropping-particle" : "", "parse-names" : false, "suffix" : "" } ], "container-title" : "Sex Transm Dis", "id" : "ITEM-2", "issue" : "5", "issued" : { "date-parts" : [ [ "2002", "5" ] ] }, "page" : "298-307", "title" : "Using sexually transmitted disease incidence as a surrogate marker for HIV incidence in prevention trials: a modeling study.", "type" : "article-journal", "volume" : "29" }, "uris" : [ "http://www.mendeley.com/documents/?uuid=ee316a28-9acf-468c-8cc4-aa064d938629" ] }, { "id" : "ITEM-3",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"ITEM-3", "issued" : { "date-parts" : [ [ "2013" ] ] }, "page" : "188", "title" : "Population movement can sustain STI prevalence in remote Australian indigenous communities.", "type" : "article-journal", "volume" : "13" }, "uris" : [ "http://www.mendeley.com/documents/?uuid=439c8ade-8864-4f5e-9dff-966b3d367e00" ] } ], "mendeley" : { "formattedCitation" : "&lt;sup&gt;49,64,94&lt;/sup&gt;", "plainTextFormattedCitation" : "49,64,94", "previouslyFormattedCitation" : "&lt;sup&gt;49,64,94&lt;/sup&gt;"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49,64,94</w:t>
            </w:r>
            <w:r>
              <w:rPr>
                <w:rFonts w:ascii="Garamond" w:eastAsia="Times New Roman" w:hAnsi="Garamond" w:cs="Calibri"/>
                <w:color w:val="000000"/>
                <w:sz w:val="20"/>
                <w:szCs w:val="20"/>
              </w:rPr>
              <w:fldChar w:fldCharType="end"/>
            </w:r>
          </w:p>
        </w:tc>
      </w:tr>
      <w:tr w:rsidR="00887EBC" w:rsidRPr="001B6BD3" w14:paraId="03F02835" w14:textId="77777777" w:rsidTr="00522C8D">
        <w:trPr>
          <w:trHeight w:val="315"/>
        </w:trPr>
        <w:tc>
          <w:tcPr>
            <w:tcW w:w="3820" w:type="dxa"/>
            <w:tcBorders>
              <w:top w:val="nil"/>
              <w:left w:val="nil"/>
              <w:bottom w:val="nil"/>
              <w:right w:val="nil"/>
            </w:tcBorders>
            <w:shd w:val="clear" w:color="000000" w:fill="FFFFFF"/>
            <w:noWrap/>
            <w:vAlign w:val="center"/>
            <w:hideMark/>
          </w:tcPr>
          <w:p w14:paraId="3CA914A7"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Urethral Gonorrhea</w:t>
            </w:r>
          </w:p>
        </w:tc>
        <w:tc>
          <w:tcPr>
            <w:tcW w:w="1104" w:type="dxa"/>
            <w:tcBorders>
              <w:top w:val="nil"/>
              <w:left w:val="nil"/>
              <w:bottom w:val="nil"/>
              <w:right w:val="nil"/>
            </w:tcBorders>
            <w:shd w:val="clear" w:color="000000" w:fill="FFFFFF"/>
            <w:noWrap/>
            <w:vAlign w:val="center"/>
            <w:hideMark/>
          </w:tcPr>
          <w:p w14:paraId="3D8A20D6" w14:textId="7BED3698"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w:t>
            </w:r>
            <w:r w:rsidR="00111A41">
              <w:rPr>
                <w:rFonts w:ascii="Garamond" w:eastAsia="Times New Roman" w:hAnsi="Garamond" w:cs="Calibri"/>
                <w:color w:val="000000"/>
                <w:sz w:val="20"/>
                <w:szCs w:val="20"/>
              </w:rPr>
              <w:t>4362</w:t>
            </w:r>
          </w:p>
        </w:tc>
        <w:tc>
          <w:tcPr>
            <w:tcW w:w="1474" w:type="dxa"/>
            <w:tcBorders>
              <w:top w:val="nil"/>
              <w:left w:val="nil"/>
              <w:bottom w:val="nil"/>
              <w:right w:val="nil"/>
            </w:tcBorders>
            <w:shd w:val="clear" w:color="000000" w:fill="FFFFFF"/>
            <w:noWrap/>
            <w:vAlign w:val="center"/>
            <w:hideMark/>
          </w:tcPr>
          <w:p w14:paraId="771A873B"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0.10 – 0.50</w:t>
            </w:r>
          </w:p>
        </w:tc>
        <w:tc>
          <w:tcPr>
            <w:tcW w:w="4782" w:type="dxa"/>
            <w:tcBorders>
              <w:top w:val="nil"/>
              <w:left w:val="nil"/>
              <w:bottom w:val="nil"/>
              <w:right w:val="nil"/>
            </w:tcBorders>
            <w:shd w:val="clear" w:color="000000" w:fill="FFFFFF"/>
            <w:vAlign w:val="center"/>
            <w:hideMark/>
          </w:tcPr>
          <w:p w14:paraId="4FC2EC4D" w14:textId="552441FC"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"ITEM-1",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"id" : "ITEM-2", "itemData" : { "ISSN" : "0148-5717", "PMID" : "11984448", "abstract" : "BACKGROUND Because many of the sexual behaviors that place individuals at risk of acquiring HIV are the same as those that place them at risk for other sexually transmitted diseases (STDs), researchers and policymakers have called for the use of non-HIV STDs as surrogate markers for HIV infection. GOALS This study examined the epidemiologic conditions under which changes in STD incidence are associated with changes in HIV incidence. STUDY DESIGN A mathematical model of HIV/STD transmission was applied to empirical data from a large HIV prevention intervention. The association between participants' HIV infection risk reduction scores and their STD risk reduction scores was measured with use of the Pearson product-moment correlation. The authors examined how the strength of association varied across different epidemiologic parameters and heterosexual behaviors. RESULTS Moderate to strong associations were noted when the infectivity of the STD was similar to the infectivity of HIV. The association was attenuated for larger STD infectivity values. The prevalence of STD infection was a less important determinant of the strength of association. Stronger associations were obtained when the number of sex partners was large or the number of sex acts was small. CONCLUSIONS Easily transmitted STDs, such as gonorrhea, are unsuitable for general use as surrogate markers for HIV infection. Hepatitis B, syphilis, and chlamydial infection have more promising epidemiologic profiles. Careful studies of STD infectivity are needed to aid in the identification of potential marker STDs.", "author" : [ { "dropping-particle" : "", "family" : "Pinkerton", "given" : "Steven D", "non-dropping-particle" : "", "parse-names" : false, "suffix" : "" }, { "dropping-particle" : "", "family" : "Layde", "given" : "Peter M", "non-dropping-particle" : "", "parse-names" : false, "suffix" : "" }, { "dropping-particle" : "", "family" : "NIMH multisite HIV prevention trial group", "given" : "", "non-dropping-particle" : "", "parse-names" : false, "suffix" : "" } ], "container-title" : "Sex Transm Dis", "id" : "ITEM-2", "issue" : "5", "issued" : { "date-parts" : [ [ "2002", "5" ] ] }, "page" : "298-307", "title" : "Using sexually transmitted disease incidence as a surrogate marker for HIV incidence in prevention trials: a modeling study.", "type" : "article-journal", "volume" : "29" }, "uris" : [ "http://www.mendeley.com/documents/?uuid=ee316a28-9acf-468c-8cc4-aa064d938629" ] }, { "id" : "ITEM-3", "itemData" : { "ISSN" : "1471-2334", "PMID" : "23618061", "abstract" : "BACKGROUND For almost two decades, chlamydia and gonorrhoea diagnosis rates in remote Indigenous communities have been up to 30 times higher than for non-Indigenous Australians. The high levels of population movement known to occur between remote communities may contribute to these high rates. METHODS We developed an individual-based computer simulation model to study the relationship between population movement and the persistence of gonorrhoea and chlamydia transmission within hypothetical remote communities. RESULTS Results from our model suggest that short-term population movement can facilitate gonorrhoea and chlamydia persistence in small populations. By fixing the number of short-term travellers in accordance with census data, we found that these STIs can persist if at least 20% of individuals in the population seek additional partners while away from home and if the time away from home is less than 21 days. Periodic variations in travel patterns can contribute to increased sustainable levels of infection. Expanding existing STI testing and treatment programs to cater for short-term travellers is shown to be ineffective due to their short duration of stay. Testing and treatment strategies tailored to movement patterns, such as encouraging travellers to seek testing and treatment upon return from travel, will likely be more effective. CONCLUSION High population mobility is likely to contribute to the high levels of STIs observed in remote Indigenous communities of Australia. More detailed data on mobility patterns and sexual behaviour of travellers will be invaluable for designing and assessing STI control programs in highly mobile communities.", "author" : [ { "dropping-particle" : "", "family" : "Hui", "given" : "Ben B", "non-dropping-particle" : "", "parse-names" : false, "suffix" : "" }, { "dropping-particle" : "", "family" : "Gray", "given" : "Richard T", "non-dropping-particle" : "", "parse-names" : false, "suffix" : "" }, { "dropping-particle" : "", "family" : "Wilson", "given" : "David P", "non-dropping-particle" : "", "parse-names" : false, "suffix" : "" }, { "dropping-particle" : "", "family" : "Ward", "given" : "James S", "non-dropping-particle" : "", "parse-names" : false, "suffix" : "" }, { "dropping-particle" : "", "family" : "Smith", "given" : "Anthony M A", "non-dropping-particle" : "", "parse-names" : false, "suffix" : "" }, { "dropping-particle" : "", "family" : "Philip", "given" : "David J", "non-dropping-particle" : "", "parse-names" : false, "suffix" : "" }, { "dropping-particle" : "", "family" : "Law", "given" : "Matthew G", "non-dropping-particle" : "", "parse-names" : false, "suffix" : "" }, { "dropping-particle" : "", "family" : "Hocking", "given" : "Jane S", "non-dropping-particle" : "", "parse-names" : false, "suffix" : "" }, { "dropping-particle" : "", "family" : "Regan", "given" : "David G", "non-dropping-particle" : "", "parse-names" : false, "suffix" : "" } ], "container-title" : "BMC Infect Dis", "id" : "ITEM-3", "issued" : { "date-parts" : [ [ "2013" ] ] }, "page" : "188", "title" : "Population movement can sustain STI prevalence in remote Australian indigenous communities.", "type" : "article-journal", "volume" : "13" }, "uris" : [ "http://www.mendeley.com/documents/?uuid=439c8ade-8864-4f5e-9dff-966b3d367e00" ] } ], "mendeley" : { "formattedCitation" : "&lt;sup&gt;49,64,94&lt;/sup&gt;", "plainTextFormattedCitation" : "49,64,94", "previouslyFormattedCitation" : "&lt;sup&gt;49,64,94&lt;/sup&gt;"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49,64,94</w:t>
            </w:r>
            <w:r>
              <w:rPr>
                <w:rFonts w:ascii="Garamond" w:eastAsia="Times New Roman" w:hAnsi="Garamond" w:cs="Calibri"/>
                <w:color w:val="000000"/>
                <w:sz w:val="20"/>
                <w:szCs w:val="20"/>
              </w:rPr>
              <w:fldChar w:fldCharType="end"/>
            </w:r>
          </w:p>
        </w:tc>
      </w:tr>
      <w:tr w:rsidR="00887EBC" w:rsidRPr="001B6BD3" w14:paraId="76236E29" w14:textId="77777777" w:rsidTr="00522C8D">
        <w:trPr>
          <w:trHeight w:val="315"/>
        </w:trPr>
        <w:tc>
          <w:tcPr>
            <w:tcW w:w="3820" w:type="dxa"/>
            <w:tcBorders>
              <w:top w:val="nil"/>
              <w:left w:val="nil"/>
              <w:bottom w:val="nil"/>
              <w:right w:val="nil"/>
            </w:tcBorders>
            <w:shd w:val="clear" w:color="000000" w:fill="FFFFFF"/>
            <w:noWrap/>
            <w:vAlign w:val="center"/>
            <w:hideMark/>
          </w:tcPr>
          <w:p w14:paraId="2F4331C0"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Rectal Chlamydia</w:t>
            </w:r>
          </w:p>
        </w:tc>
        <w:tc>
          <w:tcPr>
            <w:tcW w:w="1104" w:type="dxa"/>
            <w:tcBorders>
              <w:top w:val="nil"/>
              <w:left w:val="nil"/>
              <w:bottom w:val="nil"/>
              <w:right w:val="nil"/>
            </w:tcBorders>
            <w:shd w:val="clear" w:color="000000" w:fill="FFFFFF"/>
            <w:noWrap/>
            <w:vAlign w:val="center"/>
            <w:hideMark/>
          </w:tcPr>
          <w:p w14:paraId="3FD86AF1" w14:textId="26D84C38"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w:t>
            </w:r>
            <w:r w:rsidR="00111A41">
              <w:rPr>
                <w:rFonts w:ascii="Garamond" w:eastAsia="Times New Roman" w:hAnsi="Garamond" w:cs="Calibri"/>
                <w:color w:val="000000"/>
                <w:sz w:val="20"/>
                <w:szCs w:val="20"/>
              </w:rPr>
              <w:t>2813</w:t>
            </w:r>
          </w:p>
        </w:tc>
        <w:tc>
          <w:tcPr>
            <w:tcW w:w="1474" w:type="dxa"/>
            <w:tcBorders>
              <w:top w:val="nil"/>
              <w:left w:val="nil"/>
              <w:bottom w:val="nil"/>
              <w:right w:val="nil"/>
            </w:tcBorders>
            <w:shd w:val="clear" w:color="000000" w:fill="FFFFFF"/>
            <w:noWrap/>
            <w:vAlign w:val="center"/>
            <w:hideMark/>
          </w:tcPr>
          <w:p w14:paraId="6C8B715F"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0.30 – 0.60</w:t>
            </w:r>
          </w:p>
        </w:tc>
        <w:tc>
          <w:tcPr>
            <w:tcW w:w="4782" w:type="dxa"/>
            <w:tcBorders>
              <w:top w:val="nil"/>
              <w:left w:val="nil"/>
              <w:bottom w:val="nil"/>
              <w:right w:val="nil"/>
            </w:tcBorders>
            <w:shd w:val="clear" w:color="000000" w:fill="FFFFFF"/>
            <w:vAlign w:val="center"/>
            <w:hideMark/>
          </w:tcPr>
          <w:p w14:paraId="3C8930D7" w14:textId="172BB395" w:rsidR="00887EBC" w:rsidRPr="001B6BD3" w:rsidRDefault="00887EBC" w:rsidP="002E5A1F">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"0148-5717", "author" : [ { "dropping-particle" : "", "family" : "Xiridou", "given" : "Maria", "non-dropping-particle" : "", "parse-names" : false, "suffix" : "" }, { "dropping-particle" : "", "family" : "Lugn\u00e9r", "given" : "Anna", "non-dropping-particle" : "", "parse-names" : false, "suffix" : "" }, { "dropping-particle" : "", "family" : "Vries", "given" : "Henry J.C.", "non-dropping-particle" : "de", "parse-names" : false, "suffix" : "" }, { "dropping-particle" : "", "family" : "Bergen", "given" : "Jan E.A.M.", "non-dropping-particle" : "van", "parse-names" : false, "suffix" : "" }, { "dropping-particle" : "", "family" : "G\u00f6tz", "given" : "Hannelore M.", "non-dropping-particle" : "", "parse-names" : false, "suffix" : "" }, { "dropping-particle" : "", "family" : "Benthem", "given" : "Birgit H.B.", "non-dropping-particle" : "van", "parse-names" : false, "suffix" : "" }, { "dropping-particle" : "", "family" : "Wallinga", "given" : "Jacco", "non-dropping-particle" : "", "parse-names" : false, "suffix" : "" }, { "dropping-particle" : "", "family" : "Sande", "given" : "Marianne A.B.", "non-dropping-particle" : "van der", "parse-names" : false, "suffix" : "" } ], "container-title" : "Sex Transm Dis", "id" : "ITEM-1", "issue" : "9", "issued" : { "date-parts" : [ [ "2016", "9" ] ] }, "page" : "542-548", "title" : "Cost-effectiveness of dual antimicrobial therapy for gonococcal infections among men who have sex with men in the Netherlands", "type" : "article-journal", "volume" : "43" }, "uris" : [ "http://www.mendeley.com/documents/?uuid=bef10dd7-5fdc-4432-817f-0c375883981c" ] }, { "id" : "ITEM-2", "itemData" : { "ISSN" : "0148-5717", "PMID" : "11912465", "abstract" : "BACKGROUND The proportion of cases of genital ulcer disease attributable to herpes simplex virus type 2 (HSV-2) appears to be increasing in sub-Saharan Africa. GOAL To assess the contributions of HIV disease and behavioral response to the HIV epidemic to the increasing proportion of genital ulcer disease (GUD) attributable to HSV-2 in sub-Saharan Africa. STUDY DESIGN Simulations of the transmission dynamics of ulcerative sexually transmitted diseases (STDs) and HIV with use of the model STDSIM. RESULTS In simulations, 28% of GUD was caused by HSV-2 before a severe HIV epidemic. If HIV disease was assumed to double the duration and frequency of HSV-2 recurrences, this proportion rose to 35% by year 2000. If stronger effects of HIV were assumed, this proportion rose further, but because of increased HSV-2 transmission this would shift the peak in HSV-2 seroprevalence to an unrealistically young age. A simulated 25% reduction in partner-change rates increased the proportion of GUD caused by HSV-2 to 56%, following relatively large decreases in chancroid and syphilis. CONCLUSION Behavioral change may make an important contribution to relative increases in genital herpes.", "author" : [ { "dropping-particle" : "", "family" : "Korenromp", "given" : "Eline L", "non-dropping-particle" : "", "parse-names" : false, "suffix" : "" }, { "dropping-particle" : "", "family" : "Bakker", "given" : "Roel", "non-dropping-particle" : "", "parse-names" : false, "suffix" : "" }, { "dropping-particle" : "", "family" : "Vlas", "given" : "Sake J", "non-dropping-particle" : "De", "parse-names" : false, "suffix" : "" }, { "dropping-particle" : "", "family" : "Robinson", "given" : "N Jamie", "non-dropping-particle" : "", "parse-names" : false, "suffix" : "" }, { "dropping-particle" : "", "family" : "Hayes", "given" : "Richard", "non-dropping-particle" : "", "parse-names" : false, "suffix" : "" }, { "dropping-particle" : "", "family" : "Habbema", "given" : "J Dik F", "non-dropping-particle" : "", "parse-names" : false, "suffix" : "" } ], "container-title" : "Sex Transm Dis", "id" : "ITEM-2", "issue" : "4", "issued" : { "date-parts" : [ [ "2002", "4" ] ] }, "page" : "228-38", "title" : "Can behavior change explain increases in the proportion of genital ulcers attributable to herpes in sub-Saharan Africa? A simulation modeling study.", "type" : "article-journal", "volume" : "29" }, "uris" : [ "http://www.mendeley.com/documents/?uuid=64397a0c-9101-458b-bf8d-aab34f683c17" ] }, { "id" : "ITEM-3", "itemData" : { "ISSN" : "1365-3156", "PMID" : "22035250", "abstract" : "OBJECTIVES To assess the extent to which sexually transmitted infections (STIs) have contributed to the spread of HIV in South Africa and to estimate the extent to which improvements in STI treatment have reduced HIV incidence. METHODS A mathematical model was used to simulate interactions between HIV and six other STIs (genital herpes, syphilis, chancroid, gonorrhoea, chlamydial infection and trichomoniasis) as well as bacterial vaginosis and vaginal candidiasis. The effects of STIs on HIV transmission probabilities were assumed to be consistent with meta-analytic reviews of observational studies, and the model was fitted to South African HIV prevalence data. RESULTS The proportion of new HIV infections in adults that were attributable to curable STIs reduced from 39% (uncertainty range: 24-50%) in 1990 to 14% (8-18%) in 2010, while the proportion of new infections attributable to genital herpes increased. Syndromic management programmes are estimated to have reduced adult HIV incidence by 6.6% (3.3-10.3%) between 1994 and 2004, by which time syndromic management coverage was 52%. Had syndromic management been introduced in 1986, with immediate achievement of 100% coverage and a doubling of the rate of health seeking, HIV incidence would have reduced by 64% (36-82%) over the next decade, but had the same intervention been delayed until 2004, HIV incidence would have reduced by only 5.5% (2.8-9.0%). CONCLUSIONS Sexually transmitted infections have contributed significantly to the spread of HIV in South Africa, but STI control efforts have had limited impact on HIV incidence because of their late introduction and suboptimal coverage.", "author" : [ { "dropping-particle" : "", "family" : "Johnson", "given" : "Leigh F", "non-dropping-particle" : "", "parse-names" : false, "suffix" : "" }, { "dropping-particle" : "", "family" : "Dorrington", "given" : "Rob E", "non-dropping-particle" : "", "parse-names" : false, "suffix" : "" }, { "dropping-particle" : "", "family" : "Bradshaw", "given" : "Debbie", "non-dropping-particle" : "", "parse-names" : false, "suffix" : "" }, { "dropping-particle" : "", "family" : "Coetzee", "given" : "David J", "non-dropping-particle" : "", "parse-names" : false, "suffix" : "" } ], "container-title" : "Trop Med Int Health", "id" : "ITEM-3", "issue" : "2", "issued" : { "date-parts" : [ [ "2012", "2" ] ] }, "page" : "161-8", "title" : "The role of sexually transmitted infections in the evolution of the South African HIV epidemic.", "type" : "article-journal", "volume" : "17" }, "uris" : [ "http://www.mendeley.com/documents/?uuid=0e1ea8f2-849f-41da-864c-66e864358726" ] } ], "mendeley" : { "formattedCitation" : "&lt;sup&gt;40,94,111&lt;/sup&gt;", "plainTextFormattedCitation" : "40,94,111", "previouslyFormattedCitation" : "&lt;sup&gt;40,94,111&lt;/sup&gt;"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2E5A1F" w:rsidRPr="002E5A1F">
              <w:rPr>
                <w:rFonts w:ascii="Garamond" w:eastAsia="Times New Roman" w:hAnsi="Garamond" w:cs="Calibri"/>
                <w:noProof/>
                <w:color w:val="000000"/>
                <w:sz w:val="20"/>
                <w:szCs w:val="20"/>
                <w:vertAlign w:val="superscript"/>
              </w:rPr>
              <w:t>40,94,111</w:t>
            </w:r>
            <w:r>
              <w:rPr>
                <w:rFonts w:ascii="Garamond" w:eastAsia="Times New Roman" w:hAnsi="Garamond" w:cs="Calibri"/>
                <w:color w:val="000000"/>
                <w:sz w:val="20"/>
                <w:szCs w:val="20"/>
              </w:rPr>
              <w:fldChar w:fldCharType="end"/>
            </w:r>
          </w:p>
        </w:tc>
      </w:tr>
      <w:tr w:rsidR="00887EBC" w:rsidRPr="001B6BD3" w14:paraId="71489B39" w14:textId="77777777" w:rsidTr="00522C8D">
        <w:trPr>
          <w:trHeight w:val="315"/>
        </w:trPr>
        <w:tc>
          <w:tcPr>
            <w:tcW w:w="3820" w:type="dxa"/>
            <w:tcBorders>
              <w:top w:val="nil"/>
              <w:left w:val="nil"/>
              <w:bottom w:val="nil"/>
              <w:right w:val="nil"/>
            </w:tcBorders>
            <w:shd w:val="clear" w:color="000000" w:fill="FFFFFF"/>
            <w:noWrap/>
            <w:vAlign w:val="center"/>
            <w:hideMark/>
          </w:tcPr>
          <w:p w14:paraId="484614BA"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Urethral Chlamydia</w:t>
            </w:r>
          </w:p>
        </w:tc>
        <w:tc>
          <w:tcPr>
            <w:tcW w:w="1104" w:type="dxa"/>
            <w:tcBorders>
              <w:top w:val="nil"/>
              <w:left w:val="nil"/>
              <w:bottom w:val="nil"/>
              <w:right w:val="nil"/>
            </w:tcBorders>
            <w:shd w:val="clear" w:color="000000" w:fill="FFFFFF"/>
            <w:noWrap/>
            <w:vAlign w:val="center"/>
            <w:hideMark/>
          </w:tcPr>
          <w:p w14:paraId="43960AE6" w14:textId="2C21E4A2"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w:t>
            </w:r>
            <w:r w:rsidR="00111A41">
              <w:rPr>
                <w:rFonts w:ascii="Garamond" w:eastAsia="Times New Roman" w:hAnsi="Garamond" w:cs="Calibri"/>
                <w:color w:val="000000"/>
                <w:sz w:val="20"/>
                <w:szCs w:val="20"/>
              </w:rPr>
              <w:t>2195</w:t>
            </w:r>
          </w:p>
        </w:tc>
        <w:tc>
          <w:tcPr>
            <w:tcW w:w="1474" w:type="dxa"/>
            <w:tcBorders>
              <w:top w:val="nil"/>
              <w:left w:val="nil"/>
              <w:bottom w:val="nil"/>
              <w:right w:val="nil"/>
            </w:tcBorders>
            <w:shd w:val="clear" w:color="000000" w:fill="FFFFFF"/>
            <w:noWrap/>
            <w:vAlign w:val="center"/>
            <w:hideMark/>
          </w:tcPr>
          <w:p w14:paraId="6E2CDF89"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0.10 – 0.50</w:t>
            </w:r>
          </w:p>
        </w:tc>
        <w:tc>
          <w:tcPr>
            <w:tcW w:w="4782" w:type="dxa"/>
            <w:tcBorders>
              <w:top w:val="nil"/>
              <w:left w:val="nil"/>
              <w:bottom w:val="nil"/>
              <w:right w:val="nil"/>
            </w:tcBorders>
            <w:shd w:val="clear" w:color="000000" w:fill="FFFFFF"/>
            <w:vAlign w:val="center"/>
            <w:hideMark/>
          </w:tcPr>
          <w:p w14:paraId="4A887DA2" w14:textId="10865131" w:rsidR="00887EBC" w:rsidRPr="001B6BD3" w:rsidRDefault="00887EBC" w:rsidP="00887EBC">
            <w:pPr>
              <w:rPr>
                <w:rFonts w:ascii="Garamond" w:eastAsia="Times New Roman" w:hAnsi="Garamond" w:cs="Calibri"/>
                <w:color w:val="000000"/>
                <w:sz w:val="20"/>
                <w:szCs w:val="20"/>
              </w:rPr>
            </w:pPr>
            <w:r w:rsidRPr="00974B77">
              <w:rPr>
                <w:rFonts w:ascii="Garamond" w:eastAsia="Times New Roman" w:hAnsi="Garamond" w:cs="Calibri"/>
                <w:noProof/>
                <w:color w:val="000000"/>
                <w:sz w:val="20"/>
                <w:szCs w:val="20"/>
                <w:vertAlign w:val="superscript"/>
              </w:rPr>
              <w:t>9,93,96</w:t>
            </w:r>
          </w:p>
        </w:tc>
      </w:tr>
      <w:tr w:rsidR="00887EBC" w:rsidRPr="001B6BD3" w14:paraId="43BA11F8" w14:textId="77777777" w:rsidTr="00522C8D">
        <w:trPr>
          <w:trHeight w:val="315"/>
        </w:trPr>
        <w:tc>
          <w:tcPr>
            <w:tcW w:w="3820" w:type="dxa"/>
            <w:tcBorders>
              <w:top w:val="nil"/>
              <w:left w:val="nil"/>
              <w:bottom w:val="nil"/>
              <w:right w:val="nil"/>
            </w:tcBorders>
            <w:shd w:val="clear" w:color="000000" w:fill="FFFFFF"/>
            <w:noWrap/>
            <w:vAlign w:val="center"/>
            <w:hideMark/>
          </w:tcPr>
          <w:p w14:paraId="41B4EEAD" w14:textId="77777777"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Probability of symptomatic infection</w:t>
            </w:r>
          </w:p>
        </w:tc>
        <w:tc>
          <w:tcPr>
            <w:tcW w:w="1104" w:type="dxa"/>
            <w:tcBorders>
              <w:top w:val="nil"/>
              <w:left w:val="nil"/>
              <w:bottom w:val="nil"/>
              <w:right w:val="nil"/>
            </w:tcBorders>
            <w:shd w:val="clear" w:color="000000" w:fill="FFFFFF"/>
            <w:noWrap/>
            <w:vAlign w:val="center"/>
            <w:hideMark/>
          </w:tcPr>
          <w:p w14:paraId="55353365" w14:textId="77777777" w:rsidR="00887EBC" w:rsidRPr="001B6BD3" w:rsidRDefault="00887EBC" w:rsidP="00887EBC">
            <w:pPr>
              <w:rPr>
                <w:rFonts w:ascii="Garamond" w:eastAsia="Times New Roman" w:hAnsi="Garamond" w:cs="Calibri"/>
                <w:sz w:val="20"/>
                <w:szCs w:val="20"/>
              </w:rPr>
            </w:pPr>
            <w:r w:rsidRPr="001B6BD3">
              <w:rPr>
                <w:rFonts w:ascii="Garamond" w:eastAsia="Times New Roman" w:hAnsi="Garamond" w:cs="Calibri"/>
                <w:sz w:val="20"/>
                <w:szCs w:val="20"/>
              </w:rPr>
              <w:t> </w:t>
            </w:r>
          </w:p>
        </w:tc>
        <w:tc>
          <w:tcPr>
            <w:tcW w:w="1474" w:type="dxa"/>
            <w:tcBorders>
              <w:top w:val="nil"/>
              <w:left w:val="nil"/>
              <w:bottom w:val="nil"/>
              <w:right w:val="nil"/>
            </w:tcBorders>
            <w:shd w:val="clear" w:color="000000" w:fill="FFFFFF"/>
            <w:noWrap/>
            <w:vAlign w:val="center"/>
            <w:hideMark/>
          </w:tcPr>
          <w:p w14:paraId="75018DA5"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57A3D89E"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54516329" w14:textId="77777777" w:rsidTr="00522C8D">
        <w:trPr>
          <w:trHeight w:val="315"/>
        </w:trPr>
        <w:tc>
          <w:tcPr>
            <w:tcW w:w="3820" w:type="dxa"/>
            <w:tcBorders>
              <w:top w:val="nil"/>
              <w:left w:val="nil"/>
              <w:bottom w:val="nil"/>
              <w:right w:val="nil"/>
            </w:tcBorders>
            <w:shd w:val="clear" w:color="000000" w:fill="FFFFFF"/>
            <w:noWrap/>
            <w:vAlign w:val="center"/>
            <w:hideMark/>
          </w:tcPr>
          <w:p w14:paraId="54503880"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Rectal Gonorrhea</w:t>
            </w:r>
          </w:p>
        </w:tc>
        <w:tc>
          <w:tcPr>
            <w:tcW w:w="1104" w:type="dxa"/>
            <w:tcBorders>
              <w:top w:val="nil"/>
              <w:left w:val="nil"/>
              <w:bottom w:val="nil"/>
              <w:right w:val="nil"/>
            </w:tcBorders>
            <w:shd w:val="clear" w:color="000000" w:fill="FFFFFF"/>
            <w:noWrap/>
            <w:vAlign w:val="center"/>
            <w:hideMark/>
          </w:tcPr>
          <w:p w14:paraId="24946570"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0.1600</w:t>
            </w:r>
          </w:p>
        </w:tc>
        <w:tc>
          <w:tcPr>
            <w:tcW w:w="1474" w:type="dxa"/>
            <w:tcBorders>
              <w:top w:val="nil"/>
              <w:left w:val="nil"/>
              <w:bottom w:val="nil"/>
              <w:right w:val="nil"/>
            </w:tcBorders>
            <w:shd w:val="clear" w:color="000000" w:fill="FFFFFF"/>
            <w:noWrap/>
            <w:hideMark/>
          </w:tcPr>
          <w:p w14:paraId="6C04327B" w14:textId="79A5253D" w:rsidR="00887EBC" w:rsidRPr="001B6BD3" w:rsidRDefault="00887EBC" w:rsidP="00887EBC">
            <w:pPr>
              <w:rPr>
                <w:rFonts w:ascii="Garamond" w:eastAsia="Times New Roman" w:hAnsi="Garamond" w:cs="Calibri"/>
                <w:color w:val="000000"/>
                <w:sz w:val="20"/>
                <w:szCs w:val="20"/>
              </w:rPr>
            </w:pPr>
            <w:r w:rsidRPr="006C276E">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tcPr>
          <w:p w14:paraId="78118CBF" w14:textId="4A4E7731"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w:t>
            </w:r>
            <w:r>
              <w:rPr>
                <w:rFonts w:ascii="Garamond" w:eastAsia="Times New Roman" w:hAnsi="Garamond" w:cs="Calibri"/>
                <w:color w:val="000000"/>
                <w:sz w:val="20"/>
                <w:szCs w:val="20"/>
              </w:rPr>
              <w:fldChar w:fldCharType="end"/>
            </w:r>
          </w:p>
        </w:tc>
      </w:tr>
      <w:tr w:rsidR="00887EBC" w:rsidRPr="001B6BD3" w14:paraId="6F9AC789" w14:textId="77777777" w:rsidTr="00522C8D">
        <w:trPr>
          <w:trHeight w:val="315"/>
        </w:trPr>
        <w:tc>
          <w:tcPr>
            <w:tcW w:w="3820" w:type="dxa"/>
            <w:tcBorders>
              <w:top w:val="nil"/>
              <w:left w:val="nil"/>
              <w:bottom w:val="nil"/>
              <w:right w:val="nil"/>
            </w:tcBorders>
            <w:shd w:val="clear" w:color="000000" w:fill="FFFFFF"/>
            <w:noWrap/>
            <w:vAlign w:val="center"/>
            <w:hideMark/>
          </w:tcPr>
          <w:p w14:paraId="51560BC3"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Urethral Gonorrhea</w:t>
            </w:r>
          </w:p>
        </w:tc>
        <w:tc>
          <w:tcPr>
            <w:tcW w:w="1104" w:type="dxa"/>
            <w:tcBorders>
              <w:top w:val="nil"/>
              <w:left w:val="nil"/>
              <w:bottom w:val="nil"/>
              <w:right w:val="nil"/>
            </w:tcBorders>
            <w:shd w:val="clear" w:color="000000" w:fill="FFFFFF"/>
            <w:noWrap/>
            <w:vAlign w:val="center"/>
            <w:hideMark/>
          </w:tcPr>
          <w:p w14:paraId="6D0E18F2"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0.9000</w:t>
            </w:r>
          </w:p>
        </w:tc>
        <w:tc>
          <w:tcPr>
            <w:tcW w:w="1474" w:type="dxa"/>
            <w:tcBorders>
              <w:top w:val="nil"/>
              <w:left w:val="nil"/>
              <w:bottom w:val="nil"/>
              <w:right w:val="nil"/>
            </w:tcBorders>
            <w:shd w:val="clear" w:color="000000" w:fill="FFFFFF"/>
            <w:noWrap/>
            <w:hideMark/>
          </w:tcPr>
          <w:p w14:paraId="50DFE556" w14:textId="467BA26E" w:rsidR="00887EBC" w:rsidRPr="001B6BD3" w:rsidRDefault="00887EBC" w:rsidP="00887EBC">
            <w:pPr>
              <w:rPr>
                <w:rFonts w:ascii="Garamond" w:eastAsia="Times New Roman" w:hAnsi="Garamond" w:cs="Calibri"/>
                <w:color w:val="000000"/>
                <w:sz w:val="20"/>
                <w:szCs w:val="20"/>
              </w:rPr>
            </w:pPr>
            <w:r w:rsidRPr="006C276E">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386E03F6" w14:textId="4C40C4F5"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w:t>
            </w:r>
            <w:r>
              <w:rPr>
                <w:rFonts w:ascii="Garamond" w:eastAsia="Times New Roman" w:hAnsi="Garamond" w:cs="Calibri"/>
                <w:color w:val="000000"/>
                <w:sz w:val="20"/>
                <w:szCs w:val="20"/>
              </w:rPr>
              <w:fldChar w:fldCharType="end"/>
            </w:r>
          </w:p>
        </w:tc>
      </w:tr>
      <w:tr w:rsidR="00887EBC" w:rsidRPr="001B6BD3" w14:paraId="53E0D59A" w14:textId="77777777" w:rsidTr="00522C8D">
        <w:trPr>
          <w:trHeight w:val="315"/>
        </w:trPr>
        <w:tc>
          <w:tcPr>
            <w:tcW w:w="3820" w:type="dxa"/>
            <w:tcBorders>
              <w:top w:val="nil"/>
              <w:left w:val="nil"/>
              <w:bottom w:val="nil"/>
              <w:right w:val="nil"/>
            </w:tcBorders>
            <w:shd w:val="clear" w:color="000000" w:fill="FFFFFF"/>
            <w:noWrap/>
            <w:vAlign w:val="center"/>
            <w:hideMark/>
          </w:tcPr>
          <w:p w14:paraId="1FE5C470"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Rectal Chlamydia</w:t>
            </w:r>
          </w:p>
        </w:tc>
        <w:tc>
          <w:tcPr>
            <w:tcW w:w="1104" w:type="dxa"/>
            <w:tcBorders>
              <w:top w:val="nil"/>
              <w:left w:val="nil"/>
              <w:bottom w:val="nil"/>
              <w:right w:val="nil"/>
            </w:tcBorders>
            <w:shd w:val="clear" w:color="000000" w:fill="FFFFFF"/>
            <w:noWrap/>
            <w:vAlign w:val="center"/>
            <w:hideMark/>
          </w:tcPr>
          <w:p w14:paraId="4CADC54B"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0.1400</w:t>
            </w:r>
          </w:p>
        </w:tc>
        <w:tc>
          <w:tcPr>
            <w:tcW w:w="1474" w:type="dxa"/>
            <w:tcBorders>
              <w:top w:val="nil"/>
              <w:left w:val="nil"/>
              <w:bottom w:val="nil"/>
              <w:right w:val="nil"/>
            </w:tcBorders>
            <w:shd w:val="clear" w:color="000000" w:fill="FFFFFF"/>
            <w:noWrap/>
            <w:hideMark/>
          </w:tcPr>
          <w:p w14:paraId="4176A876" w14:textId="4DD81DB8" w:rsidR="00887EBC" w:rsidRPr="001B6BD3" w:rsidRDefault="00887EBC" w:rsidP="00887EBC">
            <w:pPr>
              <w:rPr>
                <w:rFonts w:ascii="Garamond" w:eastAsia="Times New Roman" w:hAnsi="Garamond" w:cs="Calibri"/>
                <w:color w:val="000000"/>
                <w:sz w:val="20"/>
                <w:szCs w:val="20"/>
              </w:rPr>
            </w:pPr>
            <w:r w:rsidRPr="006C276E">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00298506" w14:textId="2530A505"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w:t>
            </w:r>
            <w:r>
              <w:rPr>
                <w:rFonts w:ascii="Garamond" w:eastAsia="Times New Roman" w:hAnsi="Garamond" w:cs="Calibri"/>
                <w:color w:val="000000"/>
                <w:sz w:val="20"/>
                <w:szCs w:val="20"/>
              </w:rPr>
              <w:fldChar w:fldCharType="end"/>
            </w:r>
          </w:p>
        </w:tc>
      </w:tr>
      <w:tr w:rsidR="00887EBC" w:rsidRPr="001B6BD3" w14:paraId="581548C2" w14:textId="77777777" w:rsidTr="00522C8D">
        <w:trPr>
          <w:trHeight w:val="315"/>
        </w:trPr>
        <w:tc>
          <w:tcPr>
            <w:tcW w:w="3820" w:type="dxa"/>
            <w:tcBorders>
              <w:top w:val="nil"/>
              <w:left w:val="nil"/>
              <w:bottom w:val="nil"/>
              <w:right w:val="nil"/>
            </w:tcBorders>
            <w:shd w:val="clear" w:color="000000" w:fill="FFFFFF"/>
            <w:noWrap/>
            <w:vAlign w:val="center"/>
            <w:hideMark/>
          </w:tcPr>
          <w:p w14:paraId="736F450B"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Urethral Chlamydia</w:t>
            </w:r>
          </w:p>
        </w:tc>
        <w:tc>
          <w:tcPr>
            <w:tcW w:w="1104" w:type="dxa"/>
            <w:tcBorders>
              <w:top w:val="nil"/>
              <w:left w:val="nil"/>
              <w:bottom w:val="nil"/>
              <w:right w:val="nil"/>
            </w:tcBorders>
            <w:shd w:val="clear" w:color="000000" w:fill="FFFFFF"/>
            <w:noWrap/>
            <w:vAlign w:val="center"/>
            <w:hideMark/>
          </w:tcPr>
          <w:p w14:paraId="0EB8A5E5"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0.5800</w:t>
            </w:r>
          </w:p>
        </w:tc>
        <w:tc>
          <w:tcPr>
            <w:tcW w:w="1474" w:type="dxa"/>
            <w:tcBorders>
              <w:top w:val="nil"/>
              <w:left w:val="nil"/>
              <w:bottom w:val="nil"/>
              <w:right w:val="nil"/>
            </w:tcBorders>
            <w:shd w:val="clear" w:color="000000" w:fill="FFFFFF"/>
            <w:noWrap/>
            <w:hideMark/>
          </w:tcPr>
          <w:p w14:paraId="5CC0EF12" w14:textId="474C73E0" w:rsidR="00887EBC" w:rsidRPr="001B6BD3" w:rsidRDefault="00887EBC" w:rsidP="00887EBC">
            <w:pPr>
              <w:rPr>
                <w:rFonts w:ascii="Garamond" w:eastAsia="Times New Roman" w:hAnsi="Garamond" w:cs="Calibri"/>
                <w:color w:val="000000"/>
                <w:sz w:val="20"/>
                <w:szCs w:val="20"/>
              </w:rPr>
            </w:pPr>
            <w:r w:rsidRPr="006C276E">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70A07E2C" w14:textId="2718CA2E"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"mendeley" : { "formattedCitation" : "&lt;sup&gt;72&lt;/sup&gt;", "plainTextFormattedCitation" : "72", "previouslyFormattedCitation" : "&lt;sup&gt;72&lt;/sup&gt;"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w:t>
            </w:r>
            <w:r>
              <w:rPr>
                <w:rFonts w:ascii="Garamond" w:eastAsia="Times New Roman" w:hAnsi="Garamond" w:cs="Calibri"/>
                <w:color w:val="000000"/>
                <w:sz w:val="20"/>
                <w:szCs w:val="20"/>
              </w:rPr>
              <w:fldChar w:fldCharType="end"/>
            </w:r>
          </w:p>
        </w:tc>
      </w:tr>
      <w:tr w:rsidR="00887EBC" w:rsidRPr="001B6BD3" w14:paraId="486E448A" w14:textId="77777777" w:rsidTr="00522C8D">
        <w:trPr>
          <w:trHeight w:val="315"/>
        </w:trPr>
        <w:tc>
          <w:tcPr>
            <w:tcW w:w="3820" w:type="dxa"/>
            <w:tcBorders>
              <w:top w:val="nil"/>
              <w:left w:val="nil"/>
              <w:bottom w:val="nil"/>
              <w:right w:val="nil"/>
            </w:tcBorders>
            <w:shd w:val="clear" w:color="000000" w:fill="FFFFFF"/>
            <w:noWrap/>
            <w:vAlign w:val="center"/>
            <w:hideMark/>
          </w:tcPr>
          <w:p w14:paraId="5EA673E6" w14:textId="77777777"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 xml:space="preserve">Duration of asymptomatic, untreated infection </w:t>
            </w:r>
          </w:p>
        </w:tc>
        <w:tc>
          <w:tcPr>
            <w:tcW w:w="1104" w:type="dxa"/>
            <w:tcBorders>
              <w:top w:val="nil"/>
              <w:left w:val="nil"/>
              <w:bottom w:val="nil"/>
              <w:right w:val="nil"/>
            </w:tcBorders>
            <w:shd w:val="clear" w:color="000000" w:fill="FFFFFF"/>
            <w:noWrap/>
            <w:vAlign w:val="center"/>
            <w:hideMark/>
          </w:tcPr>
          <w:p w14:paraId="32B9329F" w14:textId="77777777" w:rsidR="00887EBC" w:rsidRPr="001B6BD3" w:rsidRDefault="00887EBC" w:rsidP="00887EBC">
            <w:pPr>
              <w:rPr>
                <w:rFonts w:ascii="Garamond" w:eastAsia="Times New Roman" w:hAnsi="Garamond" w:cs="Calibri"/>
                <w:sz w:val="20"/>
                <w:szCs w:val="20"/>
              </w:rPr>
            </w:pPr>
            <w:r w:rsidRPr="001B6BD3">
              <w:rPr>
                <w:rFonts w:ascii="Garamond" w:eastAsia="Times New Roman" w:hAnsi="Garamond" w:cs="Calibri"/>
                <w:sz w:val="20"/>
                <w:szCs w:val="20"/>
              </w:rPr>
              <w:t> </w:t>
            </w:r>
          </w:p>
        </w:tc>
        <w:tc>
          <w:tcPr>
            <w:tcW w:w="1474" w:type="dxa"/>
            <w:tcBorders>
              <w:top w:val="nil"/>
              <w:left w:val="nil"/>
              <w:bottom w:val="nil"/>
              <w:right w:val="nil"/>
            </w:tcBorders>
            <w:shd w:val="clear" w:color="000000" w:fill="FFFFFF"/>
            <w:noWrap/>
            <w:vAlign w:val="center"/>
            <w:hideMark/>
          </w:tcPr>
          <w:p w14:paraId="05D7BF1A"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40CB0AE8"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062A6122" w14:textId="77777777" w:rsidTr="00522C8D">
        <w:trPr>
          <w:trHeight w:val="315"/>
        </w:trPr>
        <w:tc>
          <w:tcPr>
            <w:tcW w:w="3820" w:type="dxa"/>
            <w:tcBorders>
              <w:top w:val="nil"/>
              <w:left w:val="nil"/>
              <w:bottom w:val="nil"/>
              <w:right w:val="nil"/>
            </w:tcBorders>
            <w:shd w:val="clear" w:color="000000" w:fill="FFFFFF"/>
            <w:noWrap/>
            <w:vAlign w:val="center"/>
            <w:hideMark/>
          </w:tcPr>
          <w:p w14:paraId="49484F4E"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Gonorrhea (days)</w:t>
            </w:r>
          </w:p>
        </w:tc>
        <w:tc>
          <w:tcPr>
            <w:tcW w:w="1104" w:type="dxa"/>
            <w:tcBorders>
              <w:top w:val="nil"/>
              <w:left w:val="nil"/>
              <w:bottom w:val="nil"/>
              <w:right w:val="nil"/>
            </w:tcBorders>
            <w:shd w:val="clear" w:color="000000" w:fill="FFFFFF"/>
            <w:noWrap/>
            <w:vAlign w:val="center"/>
            <w:hideMark/>
          </w:tcPr>
          <w:p w14:paraId="76172FC3"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246.0000</w:t>
            </w:r>
          </w:p>
        </w:tc>
        <w:tc>
          <w:tcPr>
            <w:tcW w:w="1474" w:type="dxa"/>
            <w:tcBorders>
              <w:top w:val="nil"/>
              <w:left w:val="nil"/>
              <w:bottom w:val="nil"/>
              <w:right w:val="nil"/>
            </w:tcBorders>
            <w:shd w:val="clear" w:color="000000" w:fill="FFFFFF"/>
            <w:noWrap/>
            <w:hideMark/>
          </w:tcPr>
          <w:p w14:paraId="7290302B" w14:textId="4815E060" w:rsidR="00887EBC" w:rsidRPr="001B6BD3" w:rsidRDefault="00887EBC" w:rsidP="00887EBC">
            <w:pPr>
              <w:rPr>
                <w:rFonts w:ascii="Garamond" w:eastAsia="Times New Roman" w:hAnsi="Garamond" w:cs="Calibri"/>
                <w:color w:val="000000"/>
                <w:sz w:val="20"/>
                <w:szCs w:val="20"/>
              </w:rPr>
            </w:pPr>
            <w:r w:rsidRPr="00007011">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2094C3DB" w14:textId="640ECCD4"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"ITEM-2", "itemData" : { "ISSN" : "1368-4973", "PMID" : "17012515", "abstract" : "BACKGROUND In sub-Saharan Africa, gonococcal and chlamydial infections are usually managed using the syndromic approach. However, many infections are asymptomatic in women, and the syndromic algorithm has poor sensitivity and specificity for infections caused by Neisseria gonorrhoeae (Ng) and Chlamydia trachomatis (Ct). Because of this, rapid point of care (POC) tests for Ct/Ng could improve sexually transmitted infection (STI) management in women. This study uses mathematical modelling to estimate the incremental cost effectiveness of using POC tests to diagnose Ng/Ct instead of the current syndromic approach used by the SIDA2 HIV/STI prevention project for female sex workers in Cotonou, Benin. METHODS A dynamic mathematical model was used with data from Cotonou to estimate the HIV impact of the existing SIDA2 project (1995-8), and to project how impact would change if POC tests had been used. As observed in test evaluations, the POC tests were assumed to have high specificity, but a range of sensitivities. The incremental economic cost effectiveness of using POC tests was modelled using data on intervention costs and an evaluation of an Ng POC test in Cotonou in 2004. All costs were in 2004 US dollars. RESULTS The model estimated the STI treatment aspect of the intervention averted 18 553 Ng/Ct and 359 HIV infections over 4 years when the syndromic approach was used. In contrast, if Ng/Ct had been diagnosed with a 70-80% sensitive and 95% specific POC test then 24-31% fewer clinic attenders would have been treated, 40-60% more Ng/Ct and HIV infections would have been averted, and the incremental cost effectiveness of using them would have been 107-151 dollars per HIV infection averted if the POC tests cost 2 dollars and 58-81 dollars if they cost 1 dollar. CONCLUSIONS POC tests can be a cost effective strategy for substantially increasing the impact on HIV transmission, and decreasing the degree of inappropriate treatment of STI treatment interventions that use syndromic management to diagnose Ng/Ct.", "author" : [ { "dropping-particle" : "", "family" : "Vickerman", "given" : "P", "non-dropping-particle" : "", "parse-names" : false, "suffix" : "" }, { "dropping-particle" : "", "family" : "Watts", "given" : "C", "non-dropping-particle" : "", "parse-names" : false, "suffix" : "" }, { "dropping-particle" : "", "family" : "Peeling", "given" : "R W", "non-dropping-particle" : "", "parse-names" : false, "suffix" : "" }, { "dropping-particle" : "", "family" : "Mabey", "given" : "D", "non-dropping-particle" : "", "parse-names" : false, "suffix" : "" }, { "dropping-particle" : "", "family" : "Alary", "given" : "M", "non-dropping-particle" : "", "parse-names" : false, "suffix" : "" } ], "container-title" : "Sex Transm Infect", "id" : "ITEM-2", "issue" : "5", "issued" : { "date-parts" : [ [ "2006", "10" ] ] }, "page" : "403-12", "title" : "Modelling the cost effectiveness of rapid point of care diagnostic tests for the control of HIV and other sexually transmitted infections among female sex workers.", "type" : "article-journal", "volume" : "82" }, "uris" : [ "http://www.mendeley.com/documents/?uuid=34653315-add2-4125-a9d5-d49b26f46065" ] }, { "id" : "ITEM-3",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"ITEM-3",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"mendeley" : { "formattedCitation" : "&lt;sup&gt;5,44,72&lt;/sup&gt;", "plainTextFormattedCitation" : "5,44,72", "previouslyFormattedCitation" : "&lt;sup&gt;5,44,72&lt;/sup&gt;"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5,44,72</w:t>
            </w:r>
            <w:r>
              <w:rPr>
                <w:rFonts w:ascii="Garamond" w:eastAsia="Times New Roman" w:hAnsi="Garamond" w:cs="Calibri"/>
                <w:color w:val="000000"/>
                <w:sz w:val="20"/>
                <w:szCs w:val="20"/>
              </w:rPr>
              <w:fldChar w:fldCharType="end"/>
            </w:r>
          </w:p>
        </w:tc>
      </w:tr>
      <w:tr w:rsidR="00887EBC" w:rsidRPr="001B6BD3" w14:paraId="40718AFA" w14:textId="77777777" w:rsidTr="00522C8D">
        <w:trPr>
          <w:trHeight w:val="315"/>
        </w:trPr>
        <w:tc>
          <w:tcPr>
            <w:tcW w:w="3820" w:type="dxa"/>
            <w:tcBorders>
              <w:top w:val="nil"/>
              <w:left w:val="nil"/>
              <w:bottom w:val="nil"/>
              <w:right w:val="nil"/>
            </w:tcBorders>
            <w:shd w:val="clear" w:color="000000" w:fill="FFFFFF"/>
            <w:noWrap/>
            <w:vAlign w:val="center"/>
            <w:hideMark/>
          </w:tcPr>
          <w:p w14:paraId="22DD0E26"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Chlamydia (days)</w:t>
            </w:r>
          </w:p>
        </w:tc>
        <w:tc>
          <w:tcPr>
            <w:tcW w:w="1104" w:type="dxa"/>
            <w:tcBorders>
              <w:top w:val="nil"/>
              <w:left w:val="nil"/>
              <w:bottom w:val="nil"/>
              <w:right w:val="nil"/>
            </w:tcBorders>
            <w:shd w:val="clear" w:color="000000" w:fill="FFFFFF"/>
            <w:noWrap/>
            <w:vAlign w:val="center"/>
            <w:hideMark/>
          </w:tcPr>
          <w:p w14:paraId="15749582"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310.0000</w:t>
            </w:r>
          </w:p>
        </w:tc>
        <w:tc>
          <w:tcPr>
            <w:tcW w:w="1474" w:type="dxa"/>
            <w:tcBorders>
              <w:top w:val="nil"/>
              <w:left w:val="nil"/>
              <w:bottom w:val="nil"/>
              <w:right w:val="nil"/>
            </w:tcBorders>
            <w:shd w:val="clear" w:color="000000" w:fill="FFFFFF"/>
            <w:noWrap/>
            <w:hideMark/>
          </w:tcPr>
          <w:p w14:paraId="34985D91" w14:textId="5D0C3AF7" w:rsidR="00887EBC" w:rsidRPr="001B6BD3" w:rsidRDefault="00887EBC" w:rsidP="00887EBC">
            <w:pPr>
              <w:rPr>
                <w:rFonts w:ascii="Garamond" w:eastAsia="Times New Roman" w:hAnsi="Garamond" w:cs="Calibri"/>
                <w:color w:val="000000"/>
                <w:sz w:val="20"/>
                <w:szCs w:val="20"/>
              </w:rPr>
            </w:pPr>
            <w:r w:rsidRPr="00007011">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544A4623" w14:textId="6FA59962"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"1368-4973", "PMID" : "17405782", "abstract" : "OBJECTIVE To understand the changing impact of herpes simplex 2 (HSV-2) and other sexually transmitted infections (STIs) on HIV incidence over time in four sub-Saharan African cities, using simulation models. METHODS An individual-based stochastic model was fitted to demographic, behavioural and epidemiological data from cross-sectional population-based surveys in four African cities (Kisumu, Kenya; Ndola, Zambia; Yaound\u00e9, Cameroon; and Cotonou, Benin) in 1997. To estimate the proportion of new HIV infections attributable to HSV-2 and other STIs over time, HIV incidence in the fitted model was compared with that in model scenarios in which the cofactor effect of the STIs on HIV susceptibility and infectivity were removed 5, 10, 15, 20 and 25 years into the simulated HIV epidemics. RESULTS The proportion of incident HIV attributable to HSV-2 infection (the model estimated population attributable fraction (PAF(M))) increased with maturity of the HIV epidemic. In the different cities, the PAF(M) was 8-31% 5 years into the epidemic, but rose to 35-48% 15 years after the introduction of HIV. In contrast, the proportion of incident HIV attributable to chancroid decreased over time with strongest effects five years after HIV introduction, falling to no effect 15 years after. Sensitivity analyses showed that, in the model, recurrent HSV-2 ulcers had more of an impact on HIV incidence than did primary HSV-2 ulcers, and that the effect of HSV-2 on HIV infectivity may be more important for HIV spread than the effect on HIV susceptibility, assuming that HSV-2 has similar cofactor effects on HIV susceptibility and infectivity. The overall impact of other curable STIs on HIV spread (syphilis, gonorrhoea and chlamydia) remained relatively constant over time. CONCLUSIONS Although HSV-2 appears to have a limited impact on HIV incidence in the early stages of sub-Saharan African HIV epidemics when the epidemic is concentrated in core groups, it has an increasingly large impact as the epidemic progresses. In generalised HIV epidemics where control programmes for curable STIs are already in place, interventions against HSV-2 may have a key role in HIV prevention.", "author" : [ { "dropping-particle" : "", "family" : "Freeman", "given" : "Esther E", "non-dropping-particle" : "", "parse-names" : false, "suffix" : "" }, { "dropping-particle" : "", "family" : "Orroth", "given" : "Kate K", "non-dropping-particle" : "", "parse-names" : false, "suffix" : "" }, { "dropping-particle" : "", "family" : "White", "given" : "Richard G", "non-dropping-particle" : "", "parse-names" : false, "suffix" : "" }, { "dropping-particle" : "", "family" : "Glynn", "given" : "Judith R", "non-dropping-particle" : "", "parse-names" : false, "suffix" : "" }, { "dropping-particle" : "", "family" : "Bakker", "given" : "Roel", "non-dropping-particle" : "", "parse-names" : false, "suffix" : "" }, { "dropping-particle" : "", "family" : "Boily", "given" : "Marie-Claude", "non-dropping-particle" : "", "parse-names" : false, "suffix" : "" }, { "dropping-particle" : "", "family" : "Habbema", "given" : "Dik", "non-dropping-particle" : "", "parse-names" : false, "suffix" : "" }, { "dropping-particle" : "", "family" : "Buv\u00e9", "given" : "Anne", "non-dropping-particle" : "", "parse-names" : false, "suffix" : "" }, { "dropping-particle" : "", "family" : "Hayes", "given" : "Richard", "non-dropping-particle" : "", "parse-names" : false, "suffix" : "" } ], "container-title" : "Sex Transm Infect", "id" : "ITEM-1", "issued" : { "date-parts" : [ [ "2007", "8" ] ] }, "page" : "i17-24", "title" : "Proportion of new HIV infections attributable to herpes simplex 2 increases over time: simulations of the changing role of sexually transmitted infections in sub-Saharan African HIV epidemics.", "type" : "article-journal", "volume" : "83 Suppl 1" }, "uris" : [ "http://www.mendeley.com/documents/?uuid=7e2d643a-2494-4c7a-a5d0-ab0e53ceb072" ] }, { "id" : "ITEM-2", "itemData" : { "ISSN" : "1058-4838", "PMID" : "28505240", "abstract" : "Background Preexposure prophylaxis (PrEP) is highly effective for preventing HIV, but risk compensation (RC) in men who have sex with men (MSM) raises concerns about increased sexually transmitted infections (STIs). CDC's PrEP guidelines recommend biannual STI screening, which may reduce incidence by treating STIs that would otherwise remain undiagnosed. We investigated the impact of these two potentially counteracting phenomena. Methods With a stochastic network-based mathematical model of HIV and rectal/urogenital Neisseria gonorrhoeae (NG) and Chlamydia trachomatis (CT) transmission dynamics among MSM in the United States, we simulated PrEP uptake following the prescription indications and HIV/STI screening recommendations in the CDC guidelines. Model scenarios varied PrEP coverage (the proportion of MSM indicated for PrEP who received it), RC (as a reduction in the per-act probability of condom use), and the STI screening interval. Results In our reference scenario (40% coverage, 40% RC), 42% of NG and 40% of CT infections would be averted over the next decade. A doubling of RC would still result in net STI prevention relative to no PrEP. STIs declined because PrEP-related STI screening resulted in a 17% and 16% absolute increase in the treatment of asymptomatic and rectal STIs, respectively. Screening and timely treatment at quarterly vs biannual intervals would reduce STI incidence a further 50%. Conclusions Implementation of the CDC PrEP guidelines while scaling up PrEP coverage could result in a significant decline in STI incidence among MSM. Our study highlights the design of PrEP not only as antiretroviral medication, but as combination HIV/STI prevention incorporating STI screening.", "author" : [ { "dropping-particle" : "", "family" : "Jenness", "given" : "Samuel M.", "non-dropping-particle" : "", "parse-names" : false, "suffix" : "" }, { "dropping-particle" : "", "family" : "Weiss", "given" : "Kevin M.", "non-dropping-particle" : "", "parse-names" : false, "suffix" : "" }, { "dropping-particle" : "", "family" : "Goodreau", "given" : "Steven M.", "non-dropping-particle" : "", "parse-names" : false, "suffix" : "" }, { "dropping-particle" : "", "family" : "Gift", "given" : "Thomas", "non-dropping-particle" : "", "parse-names" : false, "suffix" : "" }, { "dropping-particle" : "", "family" : "Chesson", "given" : "Harrell", "non-dropping-particle" : "", "parse-names" : false, "suffix" : "" }, { "dropping-particle" : "", "family" : "Hoover", "given" : "Karen W.", "non-dropping-particle" : "", "parse-names" : false, "suffix" : "" }, { "dropping-particle" : "", "family" : "Smith", "given" : "Dawn K.", "non-dropping-particle" : "", "parse-names" : false, "suffix" : "" }, { "dropping-particle" : "", "family" : "Liu", "given" : "Albert Y.", "non-dropping-particle" : "", "parse-names" : false, "suffix" : "" }, { "dropping-particle" : "", "family" : "Sullivan", "given" : "Patrick S.", "non-dropping-particle" : "", "parse-names" : false, "suffix" : "" }, { "dropping-particle" : "", "family" : "Rosenberg", "given" : "Eli S.", "non-dropping-particle" : "", "parse-names" : false, "suffix" : "" } ], "container-title" : "Clinical Infectious Diseases", "id" : "ITEM-2", "issue" : "5", "issued" : { "date-parts" : [ [ "2017", "5", "13" ] ] }, "page" : "712-718", "title" : "Incidence of Gonorrhea and Chlamydia Following HIV Preexposure Prophylaxis among Men Who Have Sex with Men: A Modeling Study", "type" : "article-journal", "volume" : "65" }, "uris" : [ "http://www.mendeley.com/documents/?uuid=06c51e07-3921-3ca9-8a0d-d43bc4f78464" ] }, { "id" : "ITEM-3", "itemData" : { "ISSN" : "1537-4521", "PMID" : "24275727", "abstract" : "BACKGROUND Chlamydia and gonorrhea infections can lead to serious and costly sequelae in women, but sequelae in men are rare. In accordance with the Centers for Disease Control and Prevention guidelines, female jail inmates in Maricopa County (Phoenix area), Arizona, are screened for these infections. Owing to lack of evidence of screening benefits in men, male inmates are tested and treated based on symptoms only. METHODS We developed a probabilistic simulation model to simulate chlamydia and gonorrhea infections in Maricopa County jail male inmates and transmissions to female partners per year. We estimated the cost-effectiveness of screening as the cost per infection averted. Costs were estimated from the perspective of the Maricopa County Department of Public Health and the Correctional Health Services. RESULTS Compared with symptom-based testing and treating strategy, screening male arrestees of all ages and only those 35 years or younger yielded the following results: averted approximately 556 and 491 cases of infection in women at a cost of approximately US $1240 and $860 per case averted, respectively, if screened during physical examination (between days 8 and 14 from entry to jail), and averted approximately 1100 and 995 cases of infections averted at a cost of US $1030 and $710 per infection averted, respectively, if screened early, within 2 to 3 days from entry to jail. CONCLUSIONS Screening of male inmates incurs a modest cost per infection averted in women compared with symptom-based testing. Screening in correctional settings can be used by public health programs to reduce disease burden, sequelae, and associated costs.", "author" : [ { "dropping-particle" : "", "family" : "Gopalappa", "given" : "Chaitra", "non-dropping-particle" : "", "parse-names" : false, "suffix" : "" }, { "dropping-particle" : "", "family" : "Huang", "given" : "Ya-Lin A", "non-dropping-particle" : "", "parse-names" : false, "suffix" : "" }, { "dropping-particle" : "", "family" : "Gift", "given" : "Thomas L", "non-dropping-particle" : "", "parse-names" : false, "suffix" : "" }, { "dropping-particle" : "", "family" : "Owusu-Edusei", "given" : "Kwame", "non-dropping-particle" : "", "parse-names" : false, "suffix" : "" }, { "dropping-particle" : "", "family" : "Taylor", "given" : "Melanie", "non-dropping-particle" : "", "parse-names" : false, "suffix" : "" }, { "dropping-particle" : "", "family" : "Gales", "given" : "Vincent", "non-dropping-particle" : "", "parse-names" : false, "suffix" : "" } ], "container-title" : "Sex Transm Dis", "id" : "ITEM-3", "issue" : "10", "issued" : { "date-parts" : [ [ "2013", "10" ] ] }, "page" : "776-83", "title" : "Cost-effectiveness of screening men in Maricopa County jails for chlamydia and gonorrhea to avert infections in women.", "type" : "article-journal", "volume" : "40" }, "uris" : [ "http://www.mendeley.com/documents/?uuid=ffb1178c-a6e8-4076-8f5b-4bfe4e98d860" ] } ], "mendeley" : { "formattedCitation" : "&lt;sup&gt;5,55,58&lt;/sup&gt;", "plainTextFormattedCitation" : "5,55,58", "previouslyFormattedCitation" : "&lt;sup&gt;5,55,58&lt;/sup&gt;"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5,55,58</w:t>
            </w:r>
            <w:r>
              <w:rPr>
                <w:rFonts w:ascii="Garamond" w:eastAsia="Times New Roman" w:hAnsi="Garamond" w:cs="Calibri"/>
                <w:color w:val="000000"/>
                <w:sz w:val="20"/>
                <w:szCs w:val="20"/>
              </w:rPr>
              <w:fldChar w:fldCharType="end"/>
            </w:r>
          </w:p>
        </w:tc>
      </w:tr>
      <w:tr w:rsidR="00887EBC" w:rsidRPr="001B6BD3" w14:paraId="2B022458" w14:textId="77777777" w:rsidTr="00522C8D">
        <w:trPr>
          <w:trHeight w:val="315"/>
        </w:trPr>
        <w:tc>
          <w:tcPr>
            <w:tcW w:w="3820" w:type="dxa"/>
            <w:tcBorders>
              <w:top w:val="nil"/>
              <w:left w:val="nil"/>
              <w:bottom w:val="nil"/>
              <w:right w:val="nil"/>
            </w:tcBorders>
            <w:shd w:val="clear" w:color="000000" w:fill="FFFFFF"/>
            <w:noWrap/>
            <w:vAlign w:val="center"/>
            <w:hideMark/>
          </w:tcPr>
          <w:p w14:paraId="6AAEB2BF" w14:textId="48BAD23C" w:rsidR="00887EBC" w:rsidRPr="001B6BD3" w:rsidRDefault="00887EBC" w:rsidP="005D2711">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 xml:space="preserve">HIV </w:t>
            </w:r>
            <w:r w:rsidR="005D2711">
              <w:rPr>
                <w:rFonts w:ascii="Garamond" w:eastAsia="Times New Roman" w:hAnsi="Garamond" w:cs="Calibri"/>
                <w:i/>
                <w:iCs/>
                <w:color w:val="000000"/>
                <w:sz w:val="20"/>
                <w:szCs w:val="20"/>
              </w:rPr>
              <w:t>acquisition</w:t>
            </w:r>
            <w:r w:rsidR="005D2711" w:rsidRPr="001B6BD3">
              <w:rPr>
                <w:rFonts w:ascii="Garamond" w:eastAsia="Times New Roman" w:hAnsi="Garamond" w:cs="Calibri"/>
                <w:i/>
                <w:iCs/>
                <w:color w:val="000000"/>
                <w:sz w:val="20"/>
                <w:szCs w:val="20"/>
              </w:rPr>
              <w:t xml:space="preserve"> </w:t>
            </w:r>
            <w:r w:rsidRPr="001B6BD3">
              <w:rPr>
                <w:rFonts w:ascii="Garamond" w:eastAsia="Times New Roman" w:hAnsi="Garamond" w:cs="Calibri"/>
                <w:i/>
                <w:iCs/>
                <w:color w:val="000000"/>
                <w:sz w:val="20"/>
                <w:szCs w:val="20"/>
              </w:rPr>
              <w:t>risk ratio multiplier</w:t>
            </w:r>
          </w:p>
        </w:tc>
        <w:tc>
          <w:tcPr>
            <w:tcW w:w="1104" w:type="dxa"/>
            <w:tcBorders>
              <w:top w:val="nil"/>
              <w:left w:val="nil"/>
              <w:bottom w:val="nil"/>
              <w:right w:val="nil"/>
            </w:tcBorders>
            <w:shd w:val="clear" w:color="000000" w:fill="FFFFFF"/>
            <w:noWrap/>
            <w:vAlign w:val="center"/>
            <w:hideMark/>
          </w:tcPr>
          <w:p w14:paraId="4B0C43F8" w14:textId="77777777" w:rsidR="00887EBC" w:rsidRPr="001B6BD3" w:rsidRDefault="00887EBC" w:rsidP="00887EBC">
            <w:pPr>
              <w:rPr>
                <w:rFonts w:ascii="Garamond" w:eastAsia="Times New Roman" w:hAnsi="Garamond" w:cs="Calibri"/>
                <w:sz w:val="20"/>
                <w:szCs w:val="20"/>
              </w:rPr>
            </w:pPr>
            <w:r w:rsidRPr="001B6BD3">
              <w:rPr>
                <w:rFonts w:ascii="Garamond" w:eastAsia="Times New Roman" w:hAnsi="Garamond" w:cs="Calibri"/>
                <w:sz w:val="20"/>
                <w:szCs w:val="20"/>
              </w:rPr>
              <w:t> </w:t>
            </w:r>
          </w:p>
        </w:tc>
        <w:tc>
          <w:tcPr>
            <w:tcW w:w="1474" w:type="dxa"/>
            <w:tcBorders>
              <w:top w:val="nil"/>
              <w:left w:val="nil"/>
              <w:bottom w:val="nil"/>
              <w:right w:val="nil"/>
            </w:tcBorders>
            <w:shd w:val="clear" w:color="000000" w:fill="FFFFFF"/>
            <w:noWrap/>
            <w:vAlign w:val="center"/>
            <w:hideMark/>
          </w:tcPr>
          <w:p w14:paraId="3098613A"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60D6C9A2"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3A2421A1" w14:textId="77777777" w:rsidTr="00522C8D">
        <w:trPr>
          <w:trHeight w:val="315"/>
        </w:trPr>
        <w:tc>
          <w:tcPr>
            <w:tcW w:w="3820" w:type="dxa"/>
            <w:tcBorders>
              <w:top w:val="nil"/>
              <w:left w:val="nil"/>
              <w:bottom w:val="nil"/>
              <w:right w:val="nil"/>
            </w:tcBorders>
            <w:shd w:val="clear" w:color="000000" w:fill="FFFFFF"/>
            <w:noWrap/>
            <w:vAlign w:val="center"/>
            <w:hideMark/>
          </w:tcPr>
          <w:p w14:paraId="0C390B4E"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Rectal STI Infection</w:t>
            </w:r>
          </w:p>
        </w:tc>
        <w:tc>
          <w:tcPr>
            <w:tcW w:w="1104" w:type="dxa"/>
            <w:tcBorders>
              <w:top w:val="nil"/>
              <w:left w:val="nil"/>
              <w:bottom w:val="nil"/>
              <w:right w:val="nil"/>
            </w:tcBorders>
            <w:shd w:val="clear" w:color="000000" w:fill="FFFFFF"/>
            <w:noWrap/>
            <w:vAlign w:val="center"/>
            <w:hideMark/>
          </w:tcPr>
          <w:p w14:paraId="03735FD2" w14:textId="0E3CC81F"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1.</w:t>
            </w:r>
            <w:r w:rsidR="00DA7A2E">
              <w:rPr>
                <w:rFonts w:ascii="Garamond" w:eastAsia="Times New Roman" w:hAnsi="Garamond" w:cs="Calibri"/>
                <w:color w:val="000000"/>
                <w:sz w:val="20"/>
                <w:szCs w:val="20"/>
              </w:rPr>
              <w:t>97</w:t>
            </w:r>
            <w:r w:rsidR="00DA7A2E" w:rsidRPr="001B6BD3">
              <w:rPr>
                <w:rFonts w:ascii="Garamond" w:eastAsia="Times New Roman" w:hAnsi="Garamond" w:cs="Calibri"/>
                <w:color w:val="000000"/>
                <w:sz w:val="20"/>
                <w:szCs w:val="20"/>
              </w:rPr>
              <w:t>00</w:t>
            </w:r>
          </w:p>
        </w:tc>
        <w:tc>
          <w:tcPr>
            <w:tcW w:w="1474" w:type="dxa"/>
            <w:tcBorders>
              <w:top w:val="nil"/>
              <w:left w:val="nil"/>
              <w:bottom w:val="nil"/>
              <w:right w:val="nil"/>
            </w:tcBorders>
            <w:shd w:val="clear" w:color="000000" w:fill="FFFFFF"/>
            <w:noWrap/>
            <w:vAlign w:val="center"/>
            <w:hideMark/>
          </w:tcPr>
          <w:p w14:paraId="7C2F9C67"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1.50 – 3.00</w:t>
            </w:r>
          </w:p>
        </w:tc>
        <w:tc>
          <w:tcPr>
            <w:tcW w:w="4782" w:type="dxa"/>
            <w:tcBorders>
              <w:top w:val="nil"/>
              <w:left w:val="nil"/>
              <w:bottom w:val="nil"/>
              <w:right w:val="nil"/>
            </w:tcBorders>
            <w:shd w:val="clear" w:color="000000" w:fill="FFFFFF"/>
            <w:vAlign w:val="center"/>
            <w:hideMark/>
          </w:tcPr>
          <w:p w14:paraId="4990268F" w14:textId="7CBF4954" w:rsidR="00887EBC" w:rsidRPr="001B6BD3" w:rsidRDefault="00887EBC" w:rsidP="00887EBC">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Pr>
                <w:rFonts w:ascii="Garamond" w:eastAsia="Times New Roman" w:hAnsi="Garamond" w:cs="Calibri"/>
                <w:color w:val="000000"/>
                <w:sz w:val="20"/>
                <w:szCs w:val="20"/>
              </w:rPr>
              <w:instrText>ADDIN CSL_CITATION { "citationItems" : [ { "id" : "ITEM-1", "itemData" : { "abstract" : "Exploring causal associations in HIV research requires careful consideration of numerous epidemiologic limitations. First, a primary cause of HIV, unprotected anal intercourse (UAI), is time-varying and, if it is also associated with an exposure of interest, may be on a confounding path. Second, HIV is a rare outcome, even in high-risk populations. Finally, for most causal, non-preventive exposures, a randomized trial is impossible. In order to address these limitations and provide a practical illustration of efficient statistical control via propensity-score weighting, we examine the causal association between rectal STI and HIV acquisition in the InvolveMENt study, a cohort of Atlanta-area men who have sex with men (MSM). We hypothesized that, after controlling for potentially confounding behavioral and demographic factors, the significant STI-HIV association would attenuate, but yield an estimate of the causal effect. The exposure of interest was incident rectal gonorrhea or chlamydia infection; the outcome was incident HIV infection. To adjust for behavioral confounding, while accounting for limited HIV infections, we used an inverse probability of treatment weighted (IPTW) Cox proportional hazards (PH) model for incident HIV. Weights were derived from propensity score modeling of the probability of incident rectal STI as a function of potential confounders, including UAI in the interval of rectal STI acquisition/censoring. Of 556 HIV-negative MSM at baseline, 552 (99%) men were included in this analysis. 79 men were diagnosed with an incident rectal STI and 26 with HIV. 6 HIV-infected men were previously diagnosed with a rectal STI. In unadjusted analysis, incident rectal STI was significantly associated with subsequent incident HIV (HR (95%CI): 3.6 (1.4-9.2)). In the final weighted and adjusted model, the association was attenuated and more precise (HR (95% CI): 2.7 (1.2-6.4)). We found that, controlling for time-varying risk behaviors and time-invariant demographic factors, diagnosis with HIV was significantly associated with prior diagnosis of rectal CT or GC. Our analysis lends support to the causal effect of incident rectal STI on HIV diagnosis and provides a framework for similar analyses of HIV incidence.", "author" : [ { "dropping-particle" : "", "family" : "Vaughan", "given" : "Adam S", "non-dropping-particle" : "", "parse-names" : false, "suffix" : "" }, { "dropping-particle" : "", "family" : "Kelley", "given" : "Colleen F", "non-dropping-particle" : "", "parse-names" : false, "suffix" : "" }, { "dropping-particle" : "", "family" : "Luisi", "given" : "Nicole",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"dropping-particle" : "", "family" : "Mayer", "given" : "KH", "non-dropping-particle" : "", "parse-names" : false, "suffix" : "" }, { "dropping-particle" : "", "family" : "Venkatesh", "given" : "KK", "non-dropping-particle" : "", "parse-names" : false, "suffix" : "" }, { "dropping-particle" : "", "family" : "Howards", "given" : "PP", "non-dropping-particle" : "", "parse-names" : false, "suffix" : "" }, { "dropping-particle" : "", "family" : "Schisterman", "given" : "EF", "non-dropping-particle" : "", "parse-names" : false, "suffix" : "" }, { "dropping-particle" : "", "family" : "Poole", "given" : "C", "non-dropping-particle" : "", "parse-names" : false, "suffix" : "" }, { "dropping-particle" : "", "family" : "Kaufman", "given" : "JS", "non-dropping-particle" : "", "parse-names" : false, "suffix" : "" }, { "dropping-particle" : "", "family" : "Weinberg", "given" : "CR", "non-dropping-particle" : "", "parse-names" : false, "suffix" : "" }, { "dropping-particle" : "", "family" : "Solomon", "given" : "MM", "non-dropping-particle" : "", "parse-names" : false, "suffix" : "" }, { "dropping-particle" : "", "family" : "Mayer", "given" : "KH", "non-dropping-particle" : "", "parse-names" : false, "suffix" : "" }, { "dropping-particle" : "", "family" : "Glidden", "given" : "DV", "non-dropping-particle" : "", "parse-names" : false, "suffix" : "" }, { "dropping-particle" : "", "family" : "Liu", "given" : "AY", "non-dropping-particle" : "", "parse-names" : false, "suffix" : "" }, { "dropping-particle" : "", "family" : "McMahan", "given" : "VM", "non-dropping-particle" : "", "parse-names" : false, "suffix" : "" }, { "dropping-particle" : "", "family" : "Guanira", "given" : "JV", "non-dropping-particle" : "", "parse-names" : false, "suffix" : "" }, { "dropping-particle" : "", "family" : "Bernstein", "given" : "KT", "non-dropping-particle" : "", "parse-names" : false, "suffix" : "" }, { "dropping-particle" : "", "family" : "Marcus", "given" : "JL", "non-dropping-particle" : "", "parse-names" : false, "suffix" : "" }, { "dropping-particle" : "", "family" : "Nieri", "given" : "G", "non-dropping-particle" : "", "parse-names" : false, "suffix" : "" }, { "dropping-particle" : "", "family" : "Philip", "given" : "SS", "non-dropping-particle" : "", "parse-names" : false, "suffix" : "" }, { "dropping-particle" : "", "family" : "Klausner", "given" : "JD", "non-dropping-particle" : "", "parse-names" : false, "suffix" : "" }, { "dropping-particle" : "", "family" : "Buchbinder", "given" : "SP", "non-dropping-particle" : "", "parse-names" : false, "suffix" : "" }, { "dropping-particle" : "", "family" : "Glidden", "given" : "DV", "non-dropping-particle" : "", "parse-names" : false, "suffix" : "" }, { "dropping-particle" : "", "family" : "Liu", "given" : "AY", "non-dropping-particle" : "", "parse-names" : false, "suffix" : "" }, { "dropping-particle" : "", "family" : "McMahan", "given" : "V", "non-dropping-particle" : "", "parse-names" : false, "suffix" : "" }, { "dropping-particle" : "", "family" : "Guanira", "given" : "JV", "non-dropping-particle" : "", "parse-names" : false, "suffix" : "" }, { "dropping-particle" : "", "family" : "Mayer", "given" : "KH", "non-dropping-particle" : "", "parse-names" : false, "suffix" : "" }, { "dropping-particle" : "", "family" : "Jin", "given" : "F", "non-dropping-particle" : "", "parse-names" : false, "suffix" : "" }, { "dropping-particle" : "", "family" : "Prestage", "given" : "GP", "non-dropping-particle" : "", "parse-names" : false, "suffix" : "" }, { "dropping-particle" : "", "family" : "Imrie", "given" : "J", "non-dropping-particle" : "", "parse-names" : false, "suffix" : "" }, { "dropping-particle" : "", "family" : "Kippax", "given" : "SC", "non-dropping-particle" : "", "parse-names" : false, "suffix" : "" }, { "dropping-particle" : "", "family" : "Donovan", "given" : "B", "non-dropping-particle" : "", "parse-names" : false, "suffix" : "" }, { "dropping-particle" : "", "family" : "Templeton", "given" : "DJ", "non-dropping-particle" : "", "parse-names" : false, "suffix" : "" }, { "dropping-particle" : "", "family" : "Pathela", "given" : "P", "non-dropping-particle" : "", "parse-names" : false, "suffix" : "" }, { "dropping-particle" : "", "family" : "Braunstein", "given" : "SL", "non-dropping-particle" : "", "parse-names" : false, "suffix" : "" }, { "dropping-particle" : "", "family" : "Blank", "given" : "S", "non-dropping-particle" : "", "parse-names" : false, "suffix" : "" }, { "dropping-particle" : "", "family" : "Schillinger", "given" : "JA", "non-dropping-particle" : "", "parse-names" : false, "suffix" : "" }, { "dropping-particle" : "", "family" : "Austin", "given" : "PC", "non-dropping-particle" : "", "parse-names" : false, "suffix" : "" }, { "dropping-particle" : "", "family" : "R\u00f8ttingen", "given" : "J-A", "non-dropping-particle" : "", "parse-names" : false, "suffix" : "" }, { "dropping-particle" : "", "family" : "Cameron", "given" : "DW", "non-dropping-particle" : "", "parse-names" : false, "suffix" : "" }, { "dropping-particle" : "", "family" : "Garnett", "given" : "GP", "non-dropping-particle" : "", "parse-names" : false, "suffix" : "" }, { "dropping-particle" : "", "family" : "Sexton", "given" : "J", "non-dropping-particle" : "", "parse-names" : false, "suffix" : "" }, { "dropping-particle" : "", "family" : "Garnett", "given" : "G", "non-dropping-particle" : "", "parse-names" : false, "suffix" : "" }, { "dropping-particle" : "", "family" : "R\u00f8ttingen", "given" : "J-A", "non-dropping-particle" : "", "parse-names" : false, "suffix" : "" }, { "dropping-particle" : "", "family" : "Payn", "given" : "B", "non-dropping-particle" : "", "parse-names" : false, "suffix" : "" }, { "dropping-particle" : "", "family" : "Tanfer", "given" : "K", "non-dropping-particle" : "", "parse-names" : false, "suffix" : "" }, { "dropping-particle" : "", "family" : "Billy", "given" : "JOG", "non-dropping-particle" : "", "parse-names" : false, "suffix" : "" }, { "dropping-particle" : "", "family" : "Grady", "given" : "WR", "non-dropping-particle" : "", "parse-names" : false, "suffix" : "" }, { "dropping-particle" : "", "family" : "Fox", "given" : "J", "non-dropping-particle" : "", "parse-names" : false, "suffix" : "" }, { "dropping-particle" : "", "family" : "White", "given" : "PJ", "non-dropping-particle" : "", "parse-names" : false, "suffix" : "" }, { "dropping-particle" : "", "family" : "Macdonald", "given" : "N", "non-dropping-particle" : "", "parse-names" : false, "suffix" : "" }, { "dropping-particle" : "", "family" : "Weber", "given" : "J", "non-dropping-particle" : "", "parse-names" : false, "suffix" : "" }, { "dropping-particle" : "", "family" : "McClure", "given" : "M", "non-dropping-particle" : "", "parse-names" : false, "suffix" : "" }, { "dropping-particle" : "", "family" : "Fidler", "given" : "S", "non-dropping-particle" : "", "parse-names" : false, "suffix" : "" }, { "dropping-particle" : "", "family" : "Fortenberry", "given" : "JD", "non-dropping-particle" : "", "parse-names" : false, "suffix" : "" }, { "dropping-particle" : "", "family" : "Sullivan", "given" : "PS", "non-dropping-particle" : "", "parse-names" : false, "suffix" : "" }, { "dropping-particle" : "", "family" : "Peterson", "given" : "J", "non-dropping-particle" : "", "parse-names" : false, "suffix" : "" }, { "dropping-particle" : "", "family" : "Rosenberg", "given" : "ES", "non-dropping-particle" : "", "parse-names" : false, "suffix" : "" }, { "dropping-particle" : "", "family" : "Kelley", "given" : "CF", "non-dropping-particle" : "", "parse-names" : false, "suffix" : "" }, { "dropping-particle" : "", "family" : "Cooper", "given" : "H", "non-dropping-particle" : "", "parse-names" : false, "suffix" : "" }, { "dropping-particle" : "", "family" : "Vaughan", "given" : "AS", "non-dropping-particle" : "", "parse-names" : false, "suffix" : "" }, { "dropping-particle" : "", "family" : "Portnoy", "given" : "J", "non-dropping-particle" : "", "parse-names" : false, "suffix" : "" }, { "dropping-particle" : "", "family" : "Garson", "given" : "W", "non-dropping-particle" : "", "parse-names" : false, "suffix" : "" }, { "dropping-particle" : "", "family" : "Smith", "given" : "CA", "non-dropping-particle" : "", "parse-names" : false, "suffix" : "" }, { "dropping-particle" : "", "family" : "Pol", "given" : "B", "non-dropping-particle" : "", "parse-names" : false, "suffix" : "" }, { "dropping-particle" : "", "family" : "Ferrero", "given" : "DV", "non-dropping-particle" : "", "parse-names" : false, "suffix" : "" }, { "dropping-particle" : "", "family" : "Buck-Barrington", "given" : "L", "non-dropping-particle" : "", "parse-names" : false, "suffix" : "" }, { "dropping-particle" : "", "family" : "Hook", "given" : "E", "non-dropping-particle" : "", "parse-names" : false, "suffix" : "" }, { "dropping-particle" : "", "family" : "Lenderman", "given" : "C", "non-dropping-particle" : "", "parse-names" : false, "suffix" : "" }, { "dropping-particle" : "", "family" : "Quinn", "given" : "T", "non-dropping-particle" : "", "parse-names" : false, "suffix" : "" }, { "dropping-particle" : "", "family" : "Rosenberg", "given" : "ES", "non-dropping-particle" : "", "parse-names" : false, "suffix" : "" }, { "dropping-particle" : "", "family" : "Sullivan", "given" : "PS", "non-dropping-particle" : "", "parse-names" : false, "suffix" : "" }, { "dropping-particle" : "", "family" : "Kelley", "given" : "CF", "non-dropping-particle" : "", "parse-names" : false, "suffix" : "" }, { "dropping-particle" : "", "family" : "Sanchez", "given" : "TH", "non-dropping-particle" : "", "parse-names" : false, "suffix" : "" }, { "dropping-particle" : "", "family" : "Luisi", "given" : "N", "non-dropping-particle" : "", "parse-names" : false, "suffix" : "" }, { "dropping-particle" : "", "family" : "Rio", "given" : "C", "non-dropping-particle" : "", "parse-names" : false, "suffix" : "" }, { "dropping-particle" : "", "family" : "Robins", "given" : "JM", "non-dropping-particle" : "", "parse-names" : false, "suffix" : "" }, { "dropping-particle" : "", "family" : "Hern\u00e1n", "given" : "M\u00c1", "non-dropping-particle" : "", "parse-names" : false, "suffix" : "" }, { "dropping-particle" : "", "family" : "Brumback", "given" : "B", "non-dropping-particle" : "", "parse-names" : false, "suffix" : "" }, { "dropping-particle" : "", "family" : "Williamson", "given" : "EJ", "non-dropping-particle" : "", "parse-names" : false, "suffix" : "" }, { "dropping-particle" : "", "family" : "Forbes", "given" : "A", "non-dropping-particle" : "", "parse-names" : false, "suffix" : "" }, { "dropping-particle" : "", "family" : "White", "given" : "IR", "non-dropping-particle" : "", "parse-names" : false, "suffix" : "" }, { "dropping-particle" : "", "family" : "Austin", "given" : "PC", "non-dropping-particle" : "", "parse-names" : false, "suffix" : "" }, { "dropping-particle" : "", "family" : "Harder", "given" : "VS", "non-dropping-particle" : "", "parse-names" : false, "suffix" : "" }, { "dropping-particle" : "", "family" : "Stuart", "given" : "EA", "non-dropping-particle" : "", "parse-names" : false, "suffix" : "" }, { "dropping-particle" : "", "family" : "Anthony", "given" : "JC", "non-dropping-particle" : "", "parse-names" : false, "suffix" : "" }, { "dropping-particle" : "", "family" : "Hern\u00e1n", "given" : "M\u00c1", "non-dropping-particle" : "", "parse-names" : false, "suffix" : "" }, { "dropping-particle" : "", "family" : "Robins", "given" : "JM", "non-dropping-particle" : "", "parse-names" : false, "suffix" : "" }, { "dropping-particle" : "", "family" : "Ho", "given" : "DE", "non-dropping-particle" : "", "parse-names" : false, "suffix" : "" }, { "dropping-particle" : "", "family" : "Imai", "given" : "K", "non-dropping-particle" : "", "parse-names" : false, "suffix" : "" }, { "dropping-particle" : "", "family" : "King", "given" : "G", "non-dropping-particle" : "", "parse-names" : false, "suffix" : "" }, { "dropping-particle" : "", "family" : "Stuart", "given" : "EA", "non-dropping-particle" : "", "parse-names" : false, "suffix" : "" }, { "dropping-particle" : "", "family" : "Normand", "given" : "ST", "non-dropping-particle" : "", "parse-names" : false, "suffix" : "" }, { "dropping-particle" : "", "family" : "Landrum", "given" : "MB", "non-dropping-particle" : "", "parse-names" : false, "suffix" : "" }, { "dropping-particle" : "", "family" : "Guadagnoli", "given" : "E", "non-dropping-particle" : "", "parse-names" : false, "suffix" : "" }, { "dropping-particle" : "", "family" : "Ayanian", "given" : "JZ", "non-dropping-particle" : "", "parse-names" : false, "suffix" : "" }, { "dropping-particle" : "", "family" : "Ryan", "given" : "TJ", "non-dropping-particle" : "", "parse-names" : false, "suffix" : "" }, { "dropping-particle" : "", "family" : "Cleary", "given" : "PD", "non-dropping-particle" : "", "parse-names" : false, "suffix" : "" }, { "dropping-particle" : "", "family" : "Imai", "given" : "K", "non-dropping-particle" : "", "parse-names" : false, "suffix" : "" }, { "dropping-particle" : "", "family" : "King", "given" : "G", "non-dropping-particle" : "", "parse-names" : false, "suffix" : "" }, { "dropping-particle" : "", "family" : "Stuart", "given" : "EA", "non-dropping-particle" : "", "parse-names" : false, "suffix" : "" }, { "dropping-particle" : "", "family" : "Austin", "given" : "PC", "non-dropping-particle" : "", "parse-names" : false, "suffix" : "" }, { "dropping-particle" : "", "family" : "Kelley", "given" : "CF", "non-dropping-particle" : "", "parse-names" : false, "suffix" : "" }, { "dropping-particle" : "", "family" : "Rosenberg", "given" : "ES", "non-dropping-particle" : "", "parse-names" : false, "suffix" : "" }, { "dropping-particle" : "", "family" : "O\u2019Hara", "given" : "BM", "non-dropping-particle" : "", "parse-names" : false, "suffix" : "" }, { "dropping-particle" : "", "family" : "Frew", "given" : "PM", "non-dropping-particle" : "", "parse-names" : false, "suffix" : "" }, { "dropping-particle" : "", "family" : "Sanchez", "given" : "TH", "non-dropping-particle" : "", "parse-names" : false, "suffix" : "" }, { "dropping-particle" : "", "family" : "Peterson", "given" : "JL", "non-dropping-particle" : "", "parse-names" : false, "suffix" : "" }, { "dropping-particle" : "", "family" : "Newcomb", "given" : "ME", "non-dropping-particle" : "", "parse-names" : false, "suffix" : "" }, { "dropping-particle" : "", "family" : "Mustanski", "given" : "B", "non-dropping-particle" : "", "parse-names" : false, "suffix" : "" }, { "dropping-particle" : "", "family" : "Millett", "given" : "GA", "non-dropping-particle" : "", "parse-names" : false, "suffix" : "" }, { "dropping-particle" : "", "family" : "Peterson", "given" : "JL", "non-dropping-particle" : "", "parse-names" : false, "suffix" : "" }, { "dropping-particle" : "", "family" : "Flores", "given" : "SA", "non-dropping-particle" : "", "parse-names" : false, "suffix" : "" }, { "dropping-particle" : "", "family" : "Hart", "given" : "TA", "non-dropping-particle" : "", "parse-names" : false, "suffix" : "" }, { "dropping-particle" : "", "family" : "Jeffries", "given" : "WL", "non-dropping-particle" : "", "parse-names" : false, "suffix" : "" }, { "dropping-particle" : "", "family" : "Wilson", "given" : "PA", "non-dropping-particle" : "", "parse-names" : false, "suffix" : "" }, { "dropping-particle" : "", "family" : "Morgan", "given" : "SL", "non-dropping-particle" : "", "parse-names" : false, "suffix" : "" }, { "dropping-particle" : "", "family" : "Todd", "given" : "JJ", "non-dropping-particle" : "", "parse-names" : false, "suffix" : "" }, { "dropping-particle" : "", "family" : "Flury", "given" : "BK", "non-dropping-particle" : "", "parse-names" : false, "suffix" : "" }, { "dropping-particle" : "", "family" : "Riedwyl", "given" : "H", "non-dropping-particle" : "", "parse-names" : false, "suffix" : "" }, { "dropping-particle" : "", "family" : "Robins", "given" : "JM", "non-dropping-particle" : "", "parse-names" : false, "suffix" : "" }, { "dropping-particle" : "", "family" : "Kleinbaum", "given" : "DG", "non-dropping-particle" : "", "parse-names" : false, "suffix" : "" }, { "dropping-particle" : "", "family" : "Klein", "given" : "M", "non-dropping-particle" : "", "parse-names" : false, "suffix" : "" }, { "dropping-particle" : "", "family" : "Cole", "given" : "SR", "non-dropping-particle" : "", "parse-names" : false, "suffix" : "" }, { "dropping-particle" : "", "family" : "Hern\u00e1n", "given" : "M\u00c1", "non-dropping-particle" : "", "parse-names" : false, "suffix" : "" }, { "dropping-particle" : "", "family" : "Lanehart", "given" : "RE", "non-dropping-particle" : "", "parse-names" : false, "suffix" : "" }, { "dropping-particle" : "", "family" : "Gil", "given" : "PR", "non-dropping-particle" : "", "parse-names" : false, "suffix" : "" }, { "dropping-particle" : "", "family" : "Kim", "given" : "ES", "non-dropping-particle" : "", "parse-names" : false, "suffix" : "" }, { "dropping-particle" : "", "family" : "Bellara", "given" : "AP", "non-dropping-particle" : "", "parse-names" : false, "suffix" : "" }, { "dropping-particle" : "", "family" : "Kromrey", "given" : "JD", "non-dropping-particle" : "", "parse-names" : false, "suffix" : "" }, { "dropping-particle" : "", "family" : "Lee", "given" : "RS", "non-dropping-particle" : "", "parse-names" : false, "suffix" : "" }, { "dropping-particle" : "", "family" : "Peduzzi", "given" : "P", "non-dropping-particle" : "", "parse-names" : false, "suffix" : "" }, { "dropping-particle" : "", "family" : "Concato", "given" : "J", "non-dropping-particle" : "", "parse-names" : false, "suffix" : "" }, { "dropping-particle" : "", "family" : "Feinstein", "given" : "A", "non-dropping-particle" : "", "parse-names" : false, "suffix" : "" }, { "dropping-particle" : "", "family" : "Holford", "given" : "T", "non-dropping-particle" : "", "parse-names" : false, "suffix" : "" }, { "dropping-particle" : "", "family" : "Jansen", "given" : "IAV", "non-dropping-particle" : "", "parse-names" : false, "suffix" : "" }, { "dropping-particle" : "", "family" : "Geskus", "given" : "RB", "non-dropping-particle" : "", "parse-names" : false, "suffix" : "" }, { "dropping-particle" : "", "family" : "Davidovich", "given" : "U", "non-dropping-particle" : "", "parse-names" : false, "suffix" : "" }, { "dropping-particle" : "", "family" : "Jurriaans", "given" : "S", "non-dropping-particle" : "", "parse-names" : false, "suffix" : "" }, { "dropping-particle" : "", "family" : "Coutinho", "given" : "RA", "non-dropping-particle" : "", "parse-names" : false, "suffix" : "" }, { "dropping-particle" : "", "family" : "Prins", "given" : "M", "non-dropping-particle" : "", "parse-names" : false, "suffix" : "" }, { "dropping-particle" : "", "family" : "Anderson", "given" : "C", "non-dropping-particle" : "", "parse-names" : false, "suffix" : "" }, { "dropping-particle" : "", "family" : "Gallo", "given" : "MF", "non-dropping-particle" : "", "parse-names" : false, "suffix" : "" }, { "dropping-particle" : "", "family" : "Hylton-Kong", "given" : "T", "non-dropping-particle" : "", "parse-names" : false, "suffix" : "" }, { "dropping-particle" : "", "family" : "Steiner", "given" : "MJ", "non-dropping-particle" : "", "parse-names" : false, "suffix" : "" }, { "dropping-particle" : "", "family" : "Hobbs", "given" : "MM", "non-dropping-particle" : "", "parse-names" : false, "suffix" : "" }, { "dropping-particle" : "", "family" : "Macaluso", "given" : "M", "non-dropping-particle" : "", "parse-names" : false, "suffix" : "" }, { "dropping-particle" : "", "family" : "Mayer", "given" : "KH", "non-dropping-particle" : "", "parse-names" : false, "suffix" : "" }, { "dropping-particle" : "", "family" : "Wang", "given" : "L", "non-dropping-particle" : "", "parse-names" : false, "suffix" : "" }, { "dropping-particle" : "", "family" : "Koblin", "given" : "B", "non-dropping-particle" : "", "parse-names" : false, "suffix" : "" }, { "dropping-particle" : "", "family" : "Mannheimer", "given" : "S", "non-dropping-particle" : "", "parse-names" : false, "suffix" : "" }, { "dropping-particle" : "", "family" : "Magnus", "given" : "M", "non-dropping-particle" : "", "parse-names" : false, "suffix" : "" }, { "dropping-particle" : "", "family" : "Rio", "given" : "C", "non-dropping-particle" : "", "parse-names" : false, "suffix" : "" }, { "dropping-particle" : "", "family" : "Sanders", "given" : "EJ", "non-dropping-particle" : "", "parse-names" : false, "suffix" : "" }, { "dropping-particle" : "", "family" : "Okuku", "given" : "HS", "non-dropping-particle" : "", "parse-names" : false, "suffix" : "" }, { "dropping-particle" : "", "family" : "Smith", "given" : "AD", "non-dropping-particle" : "", "parse-names" : false, "suffix" : "" }, { "dropping-particle" : "", "family" : "Mwangome", "given" : "M", "non-dropping-particle" : "", "parse-names" : false, "suffix" : "" }, { "dropping-particle" : "", "family" : "Wahome", "given" : "E", "non-dropping-particle" : "", "parse-names" : false, "suffix" : "" }, { "dropping-particle" : "", "family" : "Fegan", "given" : "G", "non-dropping-particle" : "", "parse-names" : false, "suffix" : "" }, { "dropping-particle" : "", "family" : "Sullivan", "given" : "PS", "non-dropping-particle" : "", "parse-names" : false, "suffix" : "" }, { "dropping-particle" : "", "family" : "Carballo-Di\u00e9guez", "given" : "A", "non-dropping-particle" : "", "parse-names" : false, "suffix" : "" }, { "dropping-particle" : "", "family" : "Coates", "given" : "T", "non-dropping-particle" : "", "parse-names" : false, "suffix" : "" }, { "dropping-particle" : "", "family" : "Goodreau", "given" : "SM", "non-dropping-particle" : "", "parse-names" : false, "suffix" : "" }, { "dropping-particle" : "", "family" : "McGowan", "given" : "I", "non-dropping-particle" : "", "parse-names" : false, "suffix" : "" }, { "dropping-particle" : "", "family" : "Sanders", "given" : "EJ", "non-dropping-particle" : "", "parse-names" : false, "suffix" : "" } ], "container-title" : "BMC Medical Research Methodology", "id" : "ITEM-1", "issue" : "1", "issued" : { "date-parts" : [ [ "2015", "12", "21" ] ] }, "page" : "25", "publisher" : "BioMed Central", "title" : "An application of propensity score weighting to quantify the causal effect of rectal sexually transmitted infections on incident HIV among men who have sex with men", "type" : "article-journal", "volume" : "15" }, "uris" : [ "http://www.mendeley.com/documents/?uuid=9f838d7d-4b58-42fe-9721-31df93595fb5" ] }, { "id" : "ITEM-2", "itemData" : { "DOI" : "10.1093/cid/cit437", "ISSN" : "1058-4838", "author" : [ { "dropping-particle" : "", "family" : "Pathela", "given" : "P.", "non-dropping-particle" : "", "parse-names" : false, "suffix" : "" }, { "dropping-particle" : "", "family" : "Braunstein", "given" : "S. L.", "non-dropping-particle" : "", "parse-names" : false, "suffix" : "" }, { "dropping-particle" : "", "family" : "Blank", "given" : "S.", "non-dropping-particle" : "", "parse-names" : false, "suffix" : "" }, { "dropping-particle" : "", "family" : "Schillinger", "given" : "J. A.", "non-dropping-particle" : "", "parse-names" : false, "suffix" : "" } ], "container-title" : "Clinical Infectious Diseases", "id" : "ITEM-2", "issue" : "8", "issued" : { "date-parts" : [ [ "2013", "10", "15" ] ] }, "page" : "1203-1209", "title" : "HIV Incidence Among Men With and Those Without Sexually Transmitted Rectal Infections: Estimates From Matching Against an HIV Case Registry", "type" : "article-journal", "volume" : "57" }, "uris" : [ "http://www.mendeley.com/documents/?uuid=87277f1b-c1a4-31c6-aee7-216703185ac9" ] } ], "mendeley" : { "formattedCitation" : "&lt;sup&gt;36,37&lt;/sup&gt;", "plainTextFormattedCitation" : "36,37", "previouslyFormattedCitation" : "&lt;sup&gt;36,37&lt;/sup&gt;"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Pr="00CC7025">
              <w:rPr>
                <w:rFonts w:ascii="Garamond" w:eastAsia="Times New Roman" w:hAnsi="Garamond" w:cs="Calibri"/>
                <w:noProof/>
                <w:color w:val="000000"/>
                <w:sz w:val="20"/>
                <w:szCs w:val="20"/>
                <w:vertAlign w:val="superscript"/>
              </w:rPr>
              <w:t>36,37</w:t>
            </w:r>
            <w:r>
              <w:rPr>
                <w:rFonts w:ascii="Garamond" w:eastAsia="Times New Roman" w:hAnsi="Garamond" w:cs="Calibri"/>
                <w:color w:val="000000"/>
                <w:sz w:val="20"/>
                <w:szCs w:val="20"/>
              </w:rPr>
              <w:fldChar w:fldCharType="end"/>
            </w:r>
          </w:p>
        </w:tc>
      </w:tr>
      <w:tr w:rsidR="00887EBC" w:rsidRPr="001B6BD3" w14:paraId="792DC43A" w14:textId="77777777" w:rsidTr="00522C8D">
        <w:trPr>
          <w:trHeight w:val="315"/>
        </w:trPr>
        <w:tc>
          <w:tcPr>
            <w:tcW w:w="3820" w:type="dxa"/>
            <w:tcBorders>
              <w:top w:val="nil"/>
              <w:left w:val="nil"/>
              <w:bottom w:val="nil"/>
              <w:right w:val="nil"/>
            </w:tcBorders>
            <w:shd w:val="clear" w:color="000000" w:fill="FFFFFF"/>
            <w:noWrap/>
            <w:vAlign w:val="center"/>
            <w:hideMark/>
          </w:tcPr>
          <w:p w14:paraId="172AE3A0"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Urethral STI Infection</w:t>
            </w:r>
          </w:p>
        </w:tc>
        <w:tc>
          <w:tcPr>
            <w:tcW w:w="1104" w:type="dxa"/>
            <w:tcBorders>
              <w:top w:val="nil"/>
              <w:left w:val="nil"/>
              <w:bottom w:val="nil"/>
              <w:right w:val="nil"/>
            </w:tcBorders>
            <w:shd w:val="clear" w:color="000000" w:fill="FFFFFF"/>
            <w:noWrap/>
            <w:vAlign w:val="center"/>
            <w:hideMark/>
          </w:tcPr>
          <w:p w14:paraId="636B2533" w14:textId="7D04FB8A"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1.</w:t>
            </w:r>
            <w:r w:rsidR="00DA7A2E">
              <w:rPr>
                <w:rFonts w:ascii="Garamond" w:eastAsia="Times New Roman" w:hAnsi="Garamond" w:cs="Calibri"/>
                <w:color w:val="000000"/>
                <w:sz w:val="20"/>
                <w:szCs w:val="20"/>
              </w:rPr>
              <w:t>48</w:t>
            </w:r>
            <w:r w:rsidR="00DA7A2E" w:rsidRPr="001B6BD3">
              <w:rPr>
                <w:rFonts w:ascii="Garamond" w:eastAsia="Times New Roman" w:hAnsi="Garamond" w:cs="Calibri"/>
                <w:color w:val="000000"/>
                <w:sz w:val="20"/>
                <w:szCs w:val="20"/>
              </w:rPr>
              <w:t>00</w:t>
            </w:r>
          </w:p>
        </w:tc>
        <w:tc>
          <w:tcPr>
            <w:tcW w:w="1474" w:type="dxa"/>
            <w:tcBorders>
              <w:top w:val="nil"/>
              <w:left w:val="nil"/>
              <w:bottom w:val="nil"/>
              <w:right w:val="nil"/>
            </w:tcBorders>
            <w:shd w:val="clear" w:color="000000" w:fill="FFFFFF"/>
            <w:noWrap/>
            <w:vAlign w:val="center"/>
            <w:hideMark/>
          </w:tcPr>
          <w:p w14:paraId="207EF896"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1.00 – 2.50</w:t>
            </w:r>
          </w:p>
        </w:tc>
        <w:tc>
          <w:tcPr>
            <w:tcW w:w="4782" w:type="dxa"/>
            <w:tcBorders>
              <w:top w:val="nil"/>
              <w:left w:val="nil"/>
              <w:bottom w:val="nil"/>
              <w:right w:val="nil"/>
            </w:tcBorders>
            <w:shd w:val="clear" w:color="000000" w:fill="FFFFFF"/>
            <w:vAlign w:val="center"/>
            <w:hideMark/>
          </w:tcPr>
          <w:p w14:paraId="42134AEA" w14:textId="696E9AB4" w:rsidR="00887EBC" w:rsidRPr="001B6BD3" w:rsidRDefault="00887EBC" w:rsidP="00887EBC">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Pr>
                <w:rFonts w:ascii="Garamond" w:eastAsia="Times New Roman" w:hAnsi="Garamond" w:cs="Calibri"/>
                <w:color w:val="000000"/>
                <w:sz w:val="20"/>
                <w:szCs w:val="20"/>
              </w:rPr>
              <w:instrText>ADDIN CSL_CITATION { "citationItems" : [ { "id" : "ITEM-1", "itemData" : { "ISSN" : "1537-4521", "PMID" : "23588125", "abstract" : "BACKGROUND Men who have sex with men (MSM) who have a current or recent history of rectal Chlamydia trachomatis (CT) and Neisseria gonorrhoeae (GC) infection are at greater risk for HIV than MSM with no history of rectal infection. Screening and treating MSM for rectal CT/GC infection may help reduce any increased biological susceptibility to HIV infection. METHODS We used 2 versions of a Markov state-transition model to examine the impact and cost-effectiveness of screening MSM for rectal CT/GC infection in San Francisco: a static version that included only the benefits to those screened and a dynamic version that accounted for population-level impacts of screening. HIV prevention through reduced susceptibility to HIV was the only potential benefit of rectal CT/GC screening that we included in our analysis. Parameter values were based on San Francisco program data and the literature. RESULTS In the base case, the cost per quality-adjusted life year gained through screening MSM for rectal CT/GC infection was $16,300 in the static version of the model. In the dynamic model, the cost per quality-adjusted life year gained was less than $0, meaning that rectal screening was cost-saving. The impact of rectal CT/GC infection on the risk of HIV acquisition was the most influential model parameter. CONCLUSIONS Although more information is needed regarding the impact of rectal CT/GC screening on HIV incidence, rectal CT/GC screening of MSM can potentially be a cost-effective, scalable intervention targeted to at-risk MSM in certain urban settings such as San Francisco.", "author" : [ { "dropping-particle" : "", "family" : "Chesson", "given" : "Harrell W", "non-dropping-particle" : "", "parse-names" : false, "suffix" : "" }, { "dropping-particle" : "", "family" : "Bernstein", "given" : "Kyle T", "non-dropping-particle" : "", "parse-names" : false, "suffix" : "" }, { "dropping-particle" : "", "family" : "Gift", "given" : "Thomas L", "non-dropping-particle" : "", "parse-names" : false, "suffix" : "" }, { "dropping-particle" : "", "family" : "Marcus", "given" : "Julia L", "non-dropping-particle" : "", "parse-names" : false, "suffix" : "" }, { "dropping-particle" : "", "family" : "Pipkin", "given" : "Sharon", "non-dropping-particle" : "", "parse-names" : false, "suffix" : "" }, { "dropping-particle" : "", "family" : "Kent", "given" : "Charlotte K", "non-dropping-particle" : "", "parse-names" : false, "suffix" : "" } ], "container-title" : "Sex Transm Dis", "id" : "ITEM-1", "issue" : "5", "issued" : { "date-parts" : [ [ "2013", "5" ] ] }, "page" : "366-71", "title" : "The cost-effectiveness of screening men who have sex with men for rectal chlamydial and gonococcal infection to prevent HIV Infection.", "type" : "article-journal", "volume" : "40" }, "uris" : [ "http://www.mendeley.com/documents/?uuid=a4be3bae-bc0b-4f41-8839-b77815413a6f" ] } ], "mendeley" : { "formattedCitation" : "&lt;sup&gt;38&lt;/sup&gt;", "plainTextFormattedCitation" : "38", "previouslyFormattedCitation" : "&lt;sup&gt;38&lt;/sup&gt;"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Pr="00CC7025">
              <w:rPr>
                <w:rFonts w:ascii="Garamond" w:eastAsia="Times New Roman" w:hAnsi="Garamond" w:cs="Calibri"/>
                <w:noProof/>
                <w:color w:val="000000"/>
                <w:sz w:val="20"/>
                <w:szCs w:val="20"/>
                <w:vertAlign w:val="superscript"/>
              </w:rPr>
              <w:t>38</w:t>
            </w:r>
            <w:r>
              <w:rPr>
                <w:rFonts w:ascii="Garamond" w:eastAsia="Times New Roman" w:hAnsi="Garamond" w:cs="Calibri"/>
                <w:color w:val="000000"/>
                <w:sz w:val="20"/>
                <w:szCs w:val="20"/>
              </w:rPr>
              <w:fldChar w:fldCharType="end"/>
            </w:r>
          </w:p>
        </w:tc>
      </w:tr>
      <w:tr w:rsidR="00887EBC" w:rsidRPr="001B6BD3" w14:paraId="4F331C61" w14:textId="77777777" w:rsidTr="00522C8D">
        <w:trPr>
          <w:trHeight w:val="315"/>
        </w:trPr>
        <w:tc>
          <w:tcPr>
            <w:tcW w:w="3820" w:type="dxa"/>
            <w:tcBorders>
              <w:top w:val="nil"/>
              <w:left w:val="nil"/>
              <w:bottom w:val="nil"/>
              <w:right w:val="nil"/>
            </w:tcBorders>
            <w:shd w:val="clear" w:color="000000" w:fill="FFFFFF"/>
            <w:noWrap/>
            <w:vAlign w:val="center"/>
            <w:hideMark/>
          </w:tcPr>
          <w:p w14:paraId="5123CB0E" w14:textId="77777777"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STI transmission multipliers</w:t>
            </w:r>
          </w:p>
        </w:tc>
        <w:tc>
          <w:tcPr>
            <w:tcW w:w="1104" w:type="dxa"/>
            <w:tcBorders>
              <w:top w:val="nil"/>
              <w:left w:val="nil"/>
              <w:bottom w:val="nil"/>
              <w:right w:val="nil"/>
            </w:tcBorders>
            <w:shd w:val="clear" w:color="000000" w:fill="FFFFFF"/>
            <w:vAlign w:val="center"/>
            <w:hideMark/>
          </w:tcPr>
          <w:p w14:paraId="6531A5C9"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1474" w:type="dxa"/>
            <w:tcBorders>
              <w:top w:val="nil"/>
              <w:left w:val="nil"/>
              <w:bottom w:val="nil"/>
              <w:right w:val="nil"/>
            </w:tcBorders>
            <w:shd w:val="clear" w:color="000000" w:fill="FFFFFF"/>
            <w:noWrap/>
            <w:vAlign w:val="center"/>
            <w:hideMark/>
          </w:tcPr>
          <w:p w14:paraId="3CB1F7B9"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127936AC"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2407373B" w14:textId="77777777" w:rsidTr="00522C8D">
        <w:trPr>
          <w:trHeight w:val="315"/>
        </w:trPr>
        <w:tc>
          <w:tcPr>
            <w:tcW w:w="3820" w:type="dxa"/>
            <w:tcBorders>
              <w:top w:val="nil"/>
              <w:left w:val="nil"/>
              <w:bottom w:val="nil"/>
              <w:right w:val="nil"/>
            </w:tcBorders>
            <w:shd w:val="clear" w:color="000000" w:fill="FFFFFF"/>
            <w:noWrap/>
            <w:vAlign w:val="center"/>
            <w:hideMark/>
          </w:tcPr>
          <w:p w14:paraId="76D4A268"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Condom use</w:t>
            </w:r>
          </w:p>
        </w:tc>
        <w:tc>
          <w:tcPr>
            <w:tcW w:w="1104" w:type="dxa"/>
            <w:tcBorders>
              <w:top w:val="nil"/>
              <w:left w:val="nil"/>
              <w:bottom w:val="nil"/>
              <w:right w:val="nil"/>
            </w:tcBorders>
            <w:shd w:val="clear" w:color="000000" w:fill="FFFFFF"/>
            <w:vAlign w:val="center"/>
            <w:hideMark/>
          </w:tcPr>
          <w:p w14:paraId="56676292"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0.3000</w:t>
            </w:r>
          </w:p>
        </w:tc>
        <w:tc>
          <w:tcPr>
            <w:tcW w:w="1474" w:type="dxa"/>
            <w:tcBorders>
              <w:top w:val="nil"/>
              <w:left w:val="nil"/>
              <w:bottom w:val="nil"/>
              <w:right w:val="nil"/>
            </w:tcBorders>
            <w:shd w:val="clear" w:color="000000" w:fill="FFFFFF"/>
            <w:vAlign w:val="center"/>
            <w:hideMark/>
          </w:tcPr>
          <w:p w14:paraId="573D5F5E" w14:textId="2D9B3B05" w:rsidR="00887EBC" w:rsidRPr="001B6BD3" w:rsidRDefault="00887EBC" w:rsidP="00887EBC">
            <w:pPr>
              <w:rPr>
                <w:rFonts w:ascii="Garamond" w:eastAsia="Times New Roman" w:hAnsi="Garamond" w:cs="Calibri"/>
                <w:color w:val="000000"/>
                <w:sz w:val="20"/>
                <w:szCs w:val="20"/>
              </w:rPr>
            </w:pPr>
            <w:r>
              <w:rPr>
                <w:rFonts w:ascii="Garamond" w:eastAsia="Times New Roman" w:hAnsi="Garamond" w:cs="Calibri"/>
                <w:color w:val="000000"/>
                <w:sz w:val="20"/>
                <w:szCs w:val="20"/>
              </w:rPr>
              <w:t>N/A</w:t>
            </w:r>
          </w:p>
        </w:tc>
        <w:tc>
          <w:tcPr>
            <w:tcW w:w="4782" w:type="dxa"/>
            <w:tcBorders>
              <w:top w:val="nil"/>
              <w:left w:val="nil"/>
              <w:bottom w:val="nil"/>
              <w:right w:val="nil"/>
            </w:tcBorders>
            <w:shd w:val="clear" w:color="000000" w:fill="FFFFFF"/>
            <w:vAlign w:val="center"/>
            <w:hideMark/>
          </w:tcPr>
          <w:p w14:paraId="68807B4D" w14:textId="46850711"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"PMID" : "2554516", "abstract" : "In vitro evidence strongly suggests that latex condoms provide an impenetrable barrier for the passage of infectious agents, but few have studied the use-effectiveness of condoms in preventing sexually transmitted diseases. In 1971, a prospective evaluation of the condom failed to demonstrate efficacy against infections with gonorrhea because users were exposed to infectious secretions before the condom was used. An ongoing multicenter study of female prostitutes in the United States shows that none of 22 women who always use condoms with all male partners has antibody to human immunodeficiency virus (HIV), but differences in HIV antibody status by patterns of condom use are not statistically significant. An educational campaign to promote the proper and consistent use of condoms as prophylactics is needed to stop the spread of gonorrhea, infections with HIV, and other sexually transmitted diseases. Despite in vitro evidence of the effectiveness of latex condoms in preventing the passage of infectious agents, there have been few studies of condom's use-effectiveness in terms of the transmission of sexually transmitted diseases (STDs). The Sacramento (California) Special Study sought to address this research gap through a survey of all patients presenting to the County Health Department from May 24-August 13, 1971. Patients were asked to complete a questionnaire and given a coupon that could be exchanged for 3 regular and 3 lubricated condoms. Of the 2045 individuals who visited the clinic during the study period, 557 (27%) accepted condoms. These acceptors were significantly more likely to be male, Black, or Hispanic and to have histories of both previous condom use (43%) and gonococcal infection (31%). Of the 122 patients who returned to the clinic for follow-up and had sexual intercourse since the last visit, 91 (75%) had not used a condom at any time in this period, 21 (17%) had used a condom at least once, and 10 (8%) had used a condom at each sexual exposure. There was no significant difference between users and nonusers in terms of whether they were diagnosed with nongonococcal urethritis, gonorrhea, and other STDs at the follow-up visit. However, questioning of condom users who presented with reinfection with gonorrhea indicated that, in some cases, the condom was not put on until the man had already been exposed to vaginal fluids. This suggests a need for thorough education on proper condom use, including avoidance of all exposure to infectious \u2026", "author" : [ { "dropping-particle" : "", "family" : "Darrow", "given" : "W W", "non-dropping-particle" : "", "parse-names" : false, "suffix" : "" } ], "container-title" : "Sexually Transmitted Diseases", "id" : "ITEM-1", "issue" : "3", "issued" : { "date-parts" : [ [ "1989" ] ] }, "page" : "157-60", "title" : "Condom use and use-effectiveness in high-risk populations.", "type" : "article-journal", "volume" : "16" }, "uris" : [ "http://www.mendeley.com/documents/?uuid=c69c7dd6-67e5-4636-9ebb-a121036e9008" ] }, { "id" : "ITEM-2", "itemData" : { "PMID" : "9292347", "abstract" : "Sex workers and their clients as core groups of high frequency transmitters play a dominant role in the transmission of HIV and other sexually transmitted diseases (STDs). In Surabaya, Indonesia, little is known about the prevalence of STDs in various sex establishments. We conducted an STD prevalence survey of 1873 female sex workers in Surabaya, Indonesia. We did not find any sex workers with HIV infection. Prevalence rates of other STDs (chlamydia, gonorrhoea, serological test for syphilis positive, and/or trichomoniasis) in female sex workers were 48% in brothels (n = 696), 42% on the streets (n = 192), 16% in massage parlours (n = 344), 25% in barber shops (n = 150), 17% at call-girl houses (n = 73), and 10% in nightclubs (n = 418). Sex workers from the brothels had the highest prevalence rates of gonorrhoea (24%) and trichomoniasis (8%), while sex workers from the streets and the barber shop had the highest rates of serological test for syphilis (STS) positive (30%) and chlamydia (18%). STD rates decreased with an increase in age (except for STS positive), an increase in education, a decrease in the number of sex partners, and condom use in the previous week. Condom use in the previous week was universally low among sex workers, especially among sex workers from the brothels (14%). Sex workers from the brothels had STD rates about 4 times higher than sex workers from the nightclubs (adjusted odds ratio of 4.4). Although the HIV seroprevalence rate is currently low, widespread prostitution and high rates of STDs in sex workers warrant programmes to avert a potential explosion of HIV transmission. Because sex workers from the brothels in Surabaya have high rates of STDs and low use of condoms but good cooperation with local authorities, STD preventive measures should focus on this group. A sexually transmitted disease (STD) prevalence survey of 1873 female sex workers recruited from six types of sex establishments in Surabaya, Indonesia, in 1992-93 failed to reveal any cases of HIV. The prevalence rates of the other STDs included in the study (chlamydia, gonorrhea, syphilis, and trichomoniasis), by setting, were as follows: brothels (n = 696), 48%; streets (n = 192), 42%; massage parlors (n = 344), 16%; barber shops (n = 150), 25%; call-girl houses (n = 73), 17%; and nightclubs (n = 418), 10%. Sex workers based in brothels and on the streets had the lowest socioeconomic status, while nightclub and call-girl house workers had the highest status. Brot\u2026", "author" : [ { "dropping-particle" : "", "family" : "Joesoef", "given" : "M R", "non-dropping-particle" : "", "parse-names" : false, "suffix" : "" }, { "dropping-particle" : "", "family" : "Linnan", "given" : "M", "non-dropping-particle" : "", "parse-names" : false, "suffix" : "" }, { "dropping-particle" : "", "family" : "Barakbah", "given" : "Y", "non-dropping-particle" : "", "parse-names" : false, "suffix" : "" }, { "dropping-particle" : "", "family" : "Idajadi", "given" : "A", "non-dropping-particle" : "", "parse-names" : false, "suffix" : "" }, { "dropping-particle" : "", "family" : "Kambodji", "given" : "A", "non-dropping-particle" : "", "parse-names" : false, "suffix" : "" }, { "dropping-particle" : "", "family" : "Schulz", "given" : "K", "non-dropping-particle" : "", "parse-names" : false, "suffix" : "" } ], "container-title" : "International Journal of STD &amp; AIDS", "id" : "ITEM-2", "issue" : "9", "issued" : { "date-parts" : [ [ "1997", "9" ] ] }, "page" : "576-80", "title" : "Patterns of sexually transmitted diseases in female sex workers in Surabaya, Indonesia.", "type" : "article-journal", "volume" : "8" }, "uris" : [ "http://www.mendeley.com/documents/?uuid=91d8f22b-d8b2-4d8f-aceb-a967d0304952" ] } ], "mendeley" : { "formattedCitation" : "&lt;sup&gt;74,75&lt;/sup&gt;", "plainTextFormattedCitation" : "74,75", "previouslyFormattedCitation" : "&lt;sup&gt;74,75&lt;/sup&gt;"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74,75</w:t>
            </w:r>
            <w:r>
              <w:rPr>
                <w:rFonts w:ascii="Garamond" w:eastAsia="Times New Roman" w:hAnsi="Garamond" w:cs="Calibri"/>
                <w:color w:val="000000"/>
                <w:sz w:val="20"/>
                <w:szCs w:val="20"/>
              </w:rPr>
              <w:fldChar w:fldCharType="end"/>
            </w:r>
          </w:p>
        </w:tc>
      </w:tr>
      <w:tr w:rsidR="00887EBC" w:rsidRPr="001B6BD3" w14:paraId="753C2418" w14:textId="77777777" w:rsidTr="00522C8D">
        <w:trPr>
          <w:trHeight w:val="315"/>
        </w:trPr>
        <w:tc>
          <w:tcPr>
            <w:tcW w:w="3820" w:type="dxa"/>
            <w:tcBorders>
              <w:top w:val="nil"/>
              <w:left w:val="nil"/>
              <w:bottom w:val="nil"/>
              <w:right w:val="nil"/>
            </w:tcBorders>
            <w:shd w:val="clear" w:color="000000" w:fill="FFFFFF"/>
            <w:noWrap/>
            <w:vAlign w:val="center"/>
            <w:hideMark/>
          </w:tcPr>
          <w:p w14:paraId="43DE8862" w14:textId="13F51A1E"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 xml:space="preserve">Probability of treatment </w:t>
            </w:r>
            <w:r>
              <w:rPr>
                <w:rFonts w:ascii="Garamond" w:eastAsia="Times New Roman" w:hAnsi="Garamond" w:cs="Calibri"/>
                <w:i/>
                <w:iCs/>
                <w:color w:val="000000"/>
                <w:sz w:val="20"/>
                <w:szCs w:val="20"/>
              </w:rPr>
              <w:t>given</w:t>
            </w:r>
            <w:r w:rsidRPr="001B6BD3">
              <w:rPr>
                <w:rFonts w:ascii="Garamond" w:eastAsia="Times New Roman" w:hAnsi="Garamond" w:cs="Calibri"/>
                <w:i/>
                <w:iCs/>
                <w:color w:val="000000"/>
                <w:sz w:val="20"/>
                <w:szCs w:val="20"/>
              </w:rPr>
              <w:t xml:space="preserve"> symptomatic infection</w:t>
            </w:r>
          </w:p>
        </w:tc>
        <w:tc>
          <w:tcPr>
            <w:tcW w:w="1104" w:type="dxa"/>
            <w:tcBorders>
              <w:top w:val="nil"/>
              <w:left w:val="nil"/>
              <w:bottom w:val="nil"/>
              <w:right w:val="nil"/>
            </w:tcBorders>
            <w:shd w:val="clear" w:color="000000" w:fill="FFFFFF"/>
            <w:vAlign w:val="center"/>
            <w:hideMark/>
          </w:tcPr>
          <w:p w14:paraId="4B22E90C"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1474" w:type="dxa"/>
            <w:tcBorders>
              <w:top w:val="nil"/>
              <w:left w:val="nil"/>
              <w:bottom w:val="nil"/>
              <w:right w:val="nil"/>
            </w:tcBorders>
            <w:shd w:val="clear" w:color="000000" w:fill="FFFFFF"/>
            <w:vAlign w:val="center"/>
            <w:hideMark/>
          </w:tcPr>
          <w:p w14:paraId="15535C36"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3A0537D8"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24ACBB57" w14:textId="77777777" w:rsidTr="00522C8D">
        <w:trPr>
          <w:trHeight w:val="315"/>
        </w:trPr>
        <w:tc>
          <w:tcPr>
            <w:tcW w:w="3820" w:type="dxa"/>
            <w:tcBorders>
              <w:top w:val="nil"/>
              <w:left w:val="nil"/>
              <w:bottom w:val="nil"/>
              <w:right w:val="nil"/>
            </w:tcBorders>
            <w:shd w:val="clear" w:color="000000" w:fill="FFFFFF"/>
            <w:noWrap/>
            <w:vAlign w:val="center"/>
            <w:hideMark/>
          </w:tcPr>
          <w:p w14:paraId="1F41A9A0"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Gonorrhea</w:t>
            </w:r>
          </w:p>
        </w:tc>
        <w:tc>
          <w:tcPr>
            <w:tcW w:w="1104" w:type="dxa"/>
            <w:tcBorders>
              <w:top w:val="nil"/>
              <w:left w:val="nil"/>
              <w:bottom w:val="nil"/>
              <w:right w:val="nil"/>
            </w:tcBorders>
            <w:shd w:val="clear" w:color="000000" w:fill="FFFFFF"/>
            <w:noWrap/>
            <w:vAlign w:val="center"/>
            <w:hideMark/>
          </w:tcPr>
          <w:p w14:paraId="3515312C"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0.9000</w:t>
            </w:r>
          </w:p>
        </w:tc>
        <w:tc>
          <w:tcPr>
            <w:tcW w:w="1474" w:type="dxa"/>
            <w:tcBorders>
              <w:top w:val="nil"/>
              <w:left w:val="nil"/>
              <w:bottom w:val="nil"/>
              <w:right w:val="nil"/>
            </w:tcBorders>
            <w:shd w:val="clear" w:color="000000" w:fill="FFFFFF"/>
            <w:noWrap/>
            <w:vAlign w:val="center"/>
            <w:hideMark/>
          </w:tcPr>
          <w:p w14:paraId="090C3ADB"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w:t>
            </w:r>
          </w:p>
        </w:tc>
        <w:tc>
          <w:tcPr>
            <w:tcW w:w="4782" w:type="dxa"/>
            <w:tcBorders>
              <w:top w:val="nil"/>
              <w:left w:val="nil"/>
              <w:bottom w:val="nil"/>
              <w:right w:val="nil"/>
            </w:tcBorders>
            <w:shd w:val="clear" w:color="000000" w:fill="FFFFFF"/>
            <w:vAlign w:val="center"/>
            <w:hideMark/>
          </w:tcPr>
          <w:p w14:paraId="353A9D2E" w14:textId="4E1FE0C5"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"ITEM-2", "itemData" : { "PMID" : "12649059", "abstract" : "BACKGROUND The United States has the highest prevalence of sexually transmitted diseases in the developed world. Control strategies should address the most frequent reasons why curable sexually transmitted diseases are not treated. METHODS We approached 1,631 persons ages 18-29 in various sites and offered them screening for gonorrhea and chlamydial infection and surveys regarding past genitourinary symptoms. For those with past symptoms we abstracted medical records or conducted additional interviews. From these data we estimated the total number of persons who had gonorrhea or chlamydial infections in the previous year, the proportion treated, and the primary reasons for nontreatment. RESULTS The prevalence of gonorrhea was 2.3% and that of chlamydial infection was 10.1%. We estimate that 45 and 77% of all cases of gonorrhea and chlamydial infection, respectively, were never symptomatic and that 86 and 95% of untreated cases of gonorrhea and chlamydial infection, respectively, were untreated because they were never symptomatic. The remaining 14 and 5% of untreated cases of gonorrhea and chlamydia, respectively, were not treated because persons did not receive medical care for symptoms. CONCLUSIONS The primary reason that gonorrhea and chlamydial infections are untreated is that infected persons never have symptoms. The most effective method to control these sexually transmitted diseases is routine screening at high-volume sites.", "author" : [ { "dropping-particle" : "", "family" : "Farley", "given" : "Thomas A", "non-dropping-particle" : "", "parse-names" : false, "suffix" : "" }, { "dropping-particle" : "", "family" : "Cohen", "given" : "Deborah A", "non-dropping-particle" : "", "parse-names" : false, "suffix" : "" }, { "dropping-particle" : "", "family" : "Elkins", "given" : "Whitney", "non-dropping-particle" : "", "parse-names" : false, "suffix" : "" } ], "container-title" : "Preventive Medicine", "id" : "ITEM-2", "issue" : "4", "issued" : { "date-parts" : [ [ "2003", "4" ] ] }, "page" : "502-9", "title" : "Asymptomatic sexually transmitted diseases: The case for screening.", "type" : "article-journal", "volume" : "36" }, "uris" : [ "http://www.mendeley.com/documents/?uuid=e989fc63-4be0-42c0-8dac-482d0edf0142" ] }, { "id" : "ITEM-3", "itemData" : { "ISSN" : "1537-6591", "PMID" : "15937765", "abstract" : "BACKGROUND: The Centers for Disease Control and Prevention developed screening and diagnostic testing guidelines for chlamydia and gonorrhea at urethral, rectal, and pharyngeal sites for men who have sex with men (MSM). However, in most clinical settings, rectal chlamydial testing is not performed for MSM, and primarily sexually transmitted disease (STD) clinics alone perform routine rectal and pharyngeal gonorrhea screening for asymptomatic men. METHODS: We evaluated the prevalence of rectal, urethral, and pharyngeal chlamydial and gonococcal infections among MSM seen at the municipal STD clinic and the gay men's community health center. We also determined the proportion of asymptomatic rectal infections, described the patterns of single and multiple anatomic sites of infection, and evaluated the proportion of chlamydial infections that would be missed and not treated if MSM were not routinely tested for chlamydia. We tested specimens using previously validated nucleic acid amplification tests (NAATs). RESULTS: The prevalence of infection varied by anatomic site (chlamydia: rectal, 7.9%; urethral, 5.2%; and pharyngeal, 1.4%; for gonorrhea, rectal, 6.9%; urethral, 6.0%; and pharyngeal, 9.2%). Approximately 85% of rectal infections were asymptomatic supporting the need for routine screening. Because 53% of chlamydial infections and 64% of gonococcal infections were at nonurethral sites, these infections would be missed and not treated if only urethral screening was performed. In addition, &gt;70% of chlamydial infections would be missed and not treated if MSM were tested only for gonorrhea. CONCLUSIONS: Because these infections enhance both HIV transmission and susceptibility, clinical settings serving MSM should evaluate the prevalence of chlamydial and gonococcal infections by anatomic site using validated NAATs.", "author" : [ { "dropping-particle" : "", "family" : "Kent", "given" : "Charlotte K", "non-dropping-particle" : "", "parse-names" : false, "suffix" : "" }, { "dropping-particle" : "", "family" : "Chaw", "given" : "Janice K", "non-dropping-particle" : "", "parse-names" : false, "suffix" : "" }, { "dropping-particle" : "", "family" : "Wong", "given" : "William", "non-dropping-particle" : "", "parse-names" : false, "suffix" : "" }, { "dropping-particle" : "", "family" : "Liska", "given" : "Sally", "non-dropping-particle" : "", "parse-names" : false, "suffix" : "" }, { "dropping-particle" : "", "family" : "Gibson", "given" : "Steven", "non-dropping-particle" : "", "parse-names" : false, "suffix" : "" }, { "dropping-particle" : "", "family" : "Hubbard", "given" : "Gregory", "non-dropping-particle" : "", "parse-names" : false, "suffix" : "" }, { "dropping-particle" : "", "family" : "Klausner", "given" : "Jeffrey D", "non-dropping-particle" : "", "parse-names" : false, "suffix" : "" } ], "container-title" : "Clin Infect Dis", "id" : "ITEM-3", "issue" : "1", "issued" : { "date-parts" : [ [ "2005", "7" ] ] }, "page" : "67-74", "title" : "Prevalence of rectal, urethral, and pharyngeal chlamydia and gonorrhea detected in 2 clinical settings among men who have sex with men: San Francisco, California, 2003.", "type" : "article-journal", "volume" : "41" }, "uris" : [ "http://www.mendeley.com/documents/?uuid=ac78ab87-47aa-43f8-8ea6-83eabe6a5918" ] } ], "mendeley" : { "formattedCitation" : "&lt;sup&gt;72,96,97&lt;/sup&gt;", "plainTextFormattedCitation" : "72,96,97", "previouslyFormattedCitation" : "&lt;sup&gt;72,96,97&lt;/sup&gt;"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72,96,97</w:t>
            </w:r>
            <w:r>
              <w:rPr>
                <w:rFonts w:ascii="Garamond" w:eastAsia="Times New Roman" w:hAnsi="Garamond" w:cs="Calibri"/>
                <w:color w:val="000000"/>
                <w:sz w:val="20"/>
                <w:szCs w:val="20"/>
              </w:rPr>
              <w:fldChar w:fldCharType="end"/>
            </w:r>
          </w:p>
        </w:tc>
      </w:tr>
      <w:tr w:rsidR="00887EBC" w:rsidRPr="001B6BD3" w14:paraId="0995A4CB" w14:textId="77777777" w:rsidTr="00522C8D">
        <w:trPr>
          <w:trHeight w:val="315"/>
        </w:trPr>
        <w:tc>
          <w:tcPr>
            <w:tcW w:w="3820" w:type="dxa"/>
            <w:tcBorders>
              <w:top w:val="nil"/>
              <w:left w:val="nil"/>
              <w:bottom w:val="nil"/>
              <w:right w:val="nil"/>
            </w:tcBorders>
            <w:shd w:val="clear" w:color="000000" w:fill="FFFFFF"/>
            <w:noWrap/>
            <w:vAlign w:val="center"/>
            <w:hideMark/>
          </w:tcPr>
          <w:p w14:paraId="119BB2FA"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Chlamydia</w:t>
            </w:r>
          </w:p>
        </w:tc>
        <w:tc>
          <w:tcPr>
            <w:tcW w:w="1104" w:type="dxa"/>
            <w:tcBorders>
              <w:top w:val="nil"/>
              <w:left w:val="nil"/>
              <w:bottom w:val="nil"/>
              <w:right w:val="nil"/>
            </w:tcBorders>
            <w:shd w:val="clear" w:color="000000" w:fill="FFFFFF"/>
            <w:noWrap/>
            <w:vAlign w:val="center"/>
            <w:hideMark/>
          </w:tcPr>
          <w:p w14:paraId="1D2DE768"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0.8500</w:t>
            </w:r>
          </w:p>
        </w:tc>
        <w:tc>
          <w:tcPr>
            <w:tcW w:w="1474" w:type="dxa"/>
            <w:tcBorders>
              <w:top w:val="nil"/>
              <w:left w:val="nil"/>
              <w:bottom w:val="nil"/>
              <w:right w:val="nil"/>
            </w:tcBorders>
            <w:shd w:val="clear" w:color="000000" w:fill="FFFFFF"/>
            <w:noWrap/>
            <w:vAlign w:val="center"/>
            <w:hideMark/>
          </w:tcPr>
          <w:p w14:paraId="0513384F"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w:t>
            </w:r>
          </w:p>
        </w:tc>
        <w:tc>
          <w:tcPr>
            <w:tcW w:w="4782" w:type="dxa"/>
            <w:tcBorders>
              <w:top w:val="nil"/>
              <w:left w:val="nil"/>
              <w:bottom w:val="nil"/>
              <w:right w:val="nil"/>
            </w:tcBorders>
            <w:shd w:val="clear" w:color="000000" w:fill="FFFFFF"/>
            <w:vAlign w:val="center"/>
            <w:hideMark/>
          </w:tcPr>
          <w:p w14:paraId="4D63D2AA" w14:textId="77318137" w:rsidR="00887EBC" w:rsidRPr="001B6BD3" w:rsidRDefault="00887EBC" w:rsidP="00721A10">
            <w:pPr>
              <w:rPr>
                <w:rFonts w:ascii="Garamond" w:eastAsia="Times New Roman" w:hAnsi="Garamond" w:cs="Calibri"/>
                <w:color w:val="000000"/>
                <w:sz w:val="20"/>
                <w:szCs w:val="20"/>
              </w:rPr>
            </w:pPr>
            <w:r>
              <w:rPr>
                <w:rFonts w:ascii="Garamond" w:eastAsia="Times New Roman" w:hAnsi="Garamond" w:cs="Calibri"/>
                <w:color w:val="000000"/>
                <w:sz w:val="20"/>
                <w:szCs w:val="20"/>
              </w:rPr>
              <w:fldChar w:fldCharType="begin" w:fldLock="1"/>
            </w:r>
            <w:r w:rsidR="002E5A1F">
              <w:rPr>
                <w:rFonts w:ascii="Garamond" w:eastAsia="Times New Roman" w:hAnsi="Garamond" w:cs="Calibri"/>
                <w:color w:val="000000"/>
                <w:sz w:val="20"/>
                <w:szCs w:val="20"/>
              </w:rPr>
              <w:instrText>ADDIN CSL_CITATION { "citationItems" : [ { "id" : "ITEM-1", "itemData" : { "ISSN" : "1944-7884", "PMID" : "26102448", "abstract" : "OBJECTIVE Young men who have sex with men (YMSM) in the United States have a high HIV incidence with substantial racial disparities that are poorly understood. We use a data-driven simulation model to understand the impact of network-level mechanisms and sexually transmitted infections on the spread of HIV among YMSM. METHODS We designed and parameterized a stochastic agent-based network simulation model using results of a longitudinal cohort study of YMSM in Chicago. Within this model, YMSM formed and dissolved partnerships over time, and partnership types were stratified by length of partnership, sex, and age of the partner. In each partnership, HIV, gonorrhea, and chlamydia could be transmitted. Counterfactual scenarios were run to examine drivers of HIV. RESULTS Over a 15-year simulation, the HIV epidemic among YMSM continued to rise, with Latino/white YMSM facing a steeper increase in the HIV burden compared with black YMSM. YMSM in partnerships with older MSM, in particular black YMSM with older black MSM, were at highest risk for HIV, and 1 infection prevented with an older partner would prevent 0.8 additional infections among YMSM. Additionally, racial disparities in HIV were driven by differences in the HIV prevalence of YMSM partners. Finally, of all HIV infections among YMSM, 14.6% were attributable to NG and CT infections. CONCLUSION Network-level mechanisms and sexually transmitted infections play a significant role in the spread of HIV and in racial disparities among YMSM. HIV prevention efforts should target YMSM across race, and interventions focusing on YMSM partnerships with older MSM might be highly effective.", "author" : [ { "dropping-particle" : "", "family" : "Beck", "given" : "Ekkehard C", "non-dropping-particle" : "", "parse-names" : false, "suffix" : "" }, { "dropping-particle" : "", "family" : "Birkett", "given" : "Michelle", "non-dropping-particle" : "", "parse-names" : false, "suffix" : "" }, { "dropping-particle" : "", "family" : "Armbruster", "given" : "Benjamin", "non-dropping-particle" : "", "parse-names" : false, "suffix" : "" }, { "dropping-particle" : "", "family" : "Mustanski", "given" : "Brian", "non-dropping-particle" : "", "parse-names" : false, "suffix" : "" } ], "container-title" : "J Acquir Immune Defic Syndr", "id" : "ITEM-1", "issue" : "2", "issued" : { "date-parts" : [ [ "2015", "10", "1" ] ] }, "page" : "186-94", "title" : "A data-driven simulation of HIV spread among young men who have sex with men: Role of age and race mixing and STIs", "type" : "article-journal", "volume" : "70" }, "uris" : [ "http://www.mendeley.com/documents/?uuid=cce0386d-0de1-4180-8bc8-5bad7d021421" ] }, { "id" : "ITEM-2", "itemData" : { "PMID" : "12649059", "abstract" : "BACKGROUND The United States has the highest prevalence of sexually transmitted diseases in the developed world. Control strategies should address the most frequent reasons why curable sexually transmitted diseases are not treated. METHODS We approached 1,631 persons ages 18-29 in various sites and offered them screening for gonorrhea and chlamydial infection and surveys regarding past genitourinary symptoms. For those with past symptoms we abstracted medical records or conducted additional interviews. From these data we estimated the total number of persons who had gonorrhea or chlamydial infections in the previous year, the proportion treated, and the primary reasons for nontreatment. RESULTS The prevalence of gonorrhea was 2.3% and that of chlamydial infection was 10.1%. We estimate that 45 and 77% of all cases of gonorrhea and chlamydial infection, respectively, were never symptomatic and that 86 and 95% of untreated cases of gonorrhea and chlamydial infection, respectively, were untreated because they were never symptomatic. The remaining 14 and 5% of untreated cases of gonorrhea and chlamydia, respectively, were not treated because persons did not receive medical care for symptoms. CONCLUSIONS The primary reason that gonorrhea and chlamydial infections are untreated is that infected persons never have symptoms. The most effective method to control these sexually transmitted diseases is routine screening at high-volume sites.", "author" : [ { "dropping-particle" : "", "family" : "Farley", "given" : "Thomas A", "non-dropping-particle" : "", "parse-names" : false, "suffix" : "" }, { "dropping-particle" : "", "family" : "Cohen", "given" : "Deborah A", "non-dropping-particle" : "", "parse-names" : false, "suffix" : "" }, { "dropping-particle" : "", "family" : "Elkins", "given" : "Whitney", "non-dropping-particle" : "", "parse-names" : false, "suffix" : "" } ], "container-title" : "Preventive Medicine", "id" : "ITEM-2", "issue" : "4", "issued" : { "date-parts" : [ [ "2003", "4" ] ] }, "page" : "502-9", "title" : "Asymptomatic sexually transmitted diseases: The case for screening.", "type" : "article-journal", "volume" : "36" }, "uris" : [ "http://www.mendeley.com/documents/?uuid=e989fc63-4be0-42c0-8dac-482d0edf0142" ] }, { "id" : "ITEM-3", "itemData" : { "ISSN" : "1537-6591", "PMID" : "15937765", "abstract" : "BACKGROUND: The Centers for Disease Control and Prevention developed screening and diagnostic testing guidelines for chlamydia and gonorrhea at urethral, rectal, and pharyngeal sites for men who have sex with men (MSM). However, in most clinical settings, rectal chlamydial testing is not performed for MSM, and primarily sexually transmitted disease (STD) clinics alone perform routine rectal and pharyngeal gonorrhea screening for asymptomatic men. METHODS: We evaluated the prevalence of rectal, urethral, and pharyngeal chlamydial and gonococcal infections among MSM seen at the municipal STD clinic and the gay men's community health center. We also determined the proportion of asymptomatic rectal infections, described the patterns of single and multiple anatomic sites of infection, and evaluated the proportion of chlamydial infections that would be missed and not treated if MSM were not routinely tested for chlamydia. We tested specimens using previously validated nucleic acid amplification tests (NAATs). RESULTS: The prevalence of infection varied by anatomic site (chlamydia: rectal, 7.9%; urethral, 5.2%; and pharyngeal, 1.4%; for gonorrhea, rectal, 6.9%; urethral, 6.0%; and pharyngeal, 9.2%). Approximately 85% of rectal infections were asymptomatic supporting the need for routine screening. Because 53% of chlamydial infections and 64% of gonococcal infections were at nonurethral sites, these infections would be missed and not treated if only urethral screening was performed. In addition, &gt;70% of chlamydial infections would be missed and not treated if MSM were tested only for gonorrhea. CONCLUSIONS: Because these infections enhance both HIV transmission and susceptibility, clinical settings serving MSM should evaluate the prevalence of chlamydial and gonococcal infections by anatomic site using validated NAATs.", "author" : [ { "dropping-particle" : "", "family" : "Kent", "given" : "Charlotte K", "non-dropping-particle" : "", "parse-names" : false, "suffix" : "" }, { "dropping-particle" : "", "family" : "Chaw", "given" : "Janice K", "non-dropping-particle" : "", "parse-names" : false, "suffix" : "" }, { "dropping-particle" : "", "family" : "Wong", "given" : "William", "non-dropping-particle" : "", "parse-names" : false, "suffix" : "" }, { "dropping-particle" : "", "family" : "Liska", "given" : "Sally", "non-dropping-particle" : "", "parse-names" : false, "suffix" : "" }, { "dropping-particle" : "", "family" : "Gibson", "given" : "Steven", "non-dropping-particle" : "", "parse-names" : false, "suffix" : "" }, { "dropping-particle" : "", "family" : "Hubbard", "given" : "Gregory", "non-dropping-particle" : "", "parse-names" : false, "suffix" : "" }, { "dropping-particle" : "", "family" : "Klausner", "given" : "Jeffrey D", "non-dropping-particle" : "", "parse-names" : false, "suffix" : "" } ], "container-title" : "Clin Infect Dis", "id" : "ITEM-3", "issue" : "1", "issued" : { "date-parts" : [ [ "2005", "7" ] ] }, "page" : "67-74", "title" : "Prevalence of rectal, urethral, and pharyngeal chlamydia and gonorrhea detected in 2 clinical settings among men who have sex with men: San Francisco, California, 2003.", "type" : "article-journal", "volume" : "41" }, "uris" : [ "http://www.mendeley.com/documents/?uuid=ac78ab87-47aa-43f8-8ea6-83eabe6a5918" ] } ], "mendeley" : { "formattedCitation" : "&lt;sup&gt;72,96,97&lt;/sup&gt;", "plainTextFormattedCitation" : "72,96,97", "previouslyFormattedCitation" : "&lt;sup&gt;72,96,97&lt;/sup&gt;" }, "properties" : { "noteIndex" : 0 }, "schema" : "https://github.com/citation-style-language/schema/raw/master/csl-citation.json" }</w:instrText>
            </w:r>
            <w:r>
              <w:rPr>
                <w:rFonts w:ascii="Garamond" w:eastAsia="Times New Roman" w:hAnsi="Garamond" w:cs="Calibri"/>
                <w:color w:val="000000"/>
                <w:sz w:val="20"/>
                <w:szCs w:val="20"/>
              </w:rPr>
              <w:fldChar w:fldCharType="separate"/>
            </w:r>
            <w:r w:rsidR="00721A10" w:rsidRPr="00721A10">
              <w:rPr>
                <w:rFonts w:ascii="Garamond" w:eastAsia="Times New Roman" w:hAnsi="Garamond" w:cs="Calibri"/>
                <w:noProof/>
                <w:color w:val="000000"/>
                <w:sz w:val="20"/>
                <w:szCs w:val="20"/>
                <w:vertAlign w:val="superscript"/>
              </w:rPr>
              <w:t>72,96,97</w:t>
            </w:r>
            <w:r>
              <w:rPr>
                <w:rFonts w:ascii="Garamond" w:eastAsia="Times New Roman" w:hAnsi="Garamond" w:cs="Calibri"/>
                <w:color w:val="000000"/>
                <w:sz w:val="20"/>
                <w:szCs w:val="20"/>
              </w:rPr>
              <w:fldChar w:fldCharType="end"/>
            </w:r>
          </w:p>
        </w:tc>
      </w:tr>
      <w:tr w:rsidR="00887EBC" w:rsidRPr="001B6BD3" w14:paraId="42F8DBE8" w14:textId="77777777" w:rsidTr="00522C8D">
        <w:trPr>
          <w:trHeight w:val="259"/>
        </w:trPr>
        <w:tc>
          <w:tcPr>
            <w:tcW w:w="3820" w:type="dxa"/>
            <w:tcBorders>
              <w:top w:val="nil"/>
              <w:left w:val="nil"/>
              <w:bottom w:val="nil"/>
              <w:right w:val="nil"/>
            </w:tcBorders>
            <w:shd w:val="clear" w:color="000000" w:fill="FFFFFF"/>
            <w:noWrap/>
            <w:vAlign w:val="center"/>
            <w:hideMark/>
          </w:tcPr>
          <w:p w14:paraId="69EC59E9" w14:textId="77777777" w:rsidR="00887EBC" w:rsidRPr="001B6BD3" w:rsidRDefault="00887EBC" w:rsidP="00887EBC">
            <w:pPr>
              <w:rPr>
                <w:rFonts w:ascii="Garamond" w:eastAsia="Times New Roman" w:hAnsi="Garamond" w:cs="Calibri"/>
                <w:i/>
                <w:iCs/>
                <w:color w:val="000000"/>
                <w:sz w:val="20"/>
                <w:szCs w:val="20"/>
              </w:rPr>
            </w:pPr>
            <w:r w:rsidRPr="001B6BD3">
              <w:rPr>
                <w:rFonts w:ascii="Garamond" w:eastAsia="Times New Roman" w:hAnsi="Garamond" w:cs="Calibri"/>
                <w:i/>
                <w:iCs/>
                <w:color w:val="000000"/>
                <w:sz w:val="20"/>
                <w:szCs w:val="20"/>
              </w:rPr>
              <w:t>Duration of complete recovery (days)</w:t>
            </w:r>
          </w:p>
        </w:tc>
        <w:tc>
          <w:tcPr>
            <w:tcW w:w="1104" w:type="dxa"/>
            <w:tcBorders>
              <w:top w:val="nil"/>
              <w:left w:val="nil"/>
              <w:bottom w:val="nil"/>
              <w:right w:val="nil"/>
            </w:tcBorders>
            <w:shd w:val="clear" w:color="000000" w:fill="FFFFFF"/>
            <w:noWrap/>
            <w:vAlign w:val="center"/>
            <w:hideMark/>
          </w:tcPr>
          <w:p w14:paraId="2B423176"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1474" w:type="dxa"/>
            <w:tcBorders>
              <w:top w:val="nil"/>
              <w:left w:val="nil"/>
              <w:bottom w:val="nil"/>
              <w:right w:val="nil"/>
            </w:tcBorders>
            <w:shd w:val="clear" w:color="000000" w:fill="FFFFFF"/>
            <w:noWrap/>
            <w:vAlign w:val="center"/>
            <w:hideMark/>
          </w:tcPr>
          <w:p w14:paraId="25705256"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c>
          <w:tcPr>
            <w:tcW w:w="4782" w:type="dxa"/>
            <w:tcBorders>
              <w:top w:val="nil"/>
              <w:left w:val="nil"/>
              <w:bottom w:val="nil"/>
              <w:right w:val="nil"/>
            </w:tcBorders>
            <w:shd w:val="clear" w:color="000000" w:fill="FFFFFF"/>
            <w:vAlign w:val="center"/>
            <w:hideMark/>
          </w:tcPr>
          <w:p w14:paraId="6113783E" w14:textId="77777777" w:rsidR="00887EBC" w:rsidRPr="001B6BD3" w:rsidRDefault="00887EBC" w:rsidP="00887EBC">
            <w:pPr>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 </w:t>
            </w:r>
          </w:p>
        </w:tc>
      </w:tr>
      <w:tr w:rsidR="00887EBC" w:rsidRPr="001B6BD3" w14:paraId="3C58AAB7" w14:textId="77777777" w:rsidTr="00522C8D">
        <w:trPr>
          <w:trHeight w:val="315"/>
        </w:trPr>
        <w:tc>
          <w:tcPr>
            <w:tcW w:w="3820" w:type="dxa"/>
            <w:tcBorders>
              <w:top w:val="nil"/>
              <w:left w:val="nil"/>
              <w:right w:val="nil"/>
            </w:tcBorders>
            <w:shd w:val="clear" w:color="000000" w:fill="FFFFFF"/>
            <w:noWrap/>
            <w:vAlign w:val="center"/>
            <w:hideMark/>
          </w:tcPr>
          <w:p w14:paraId="60193702"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Gonorrhea</w:t>
            </w:r>
          </w:p>
        </w:tc>
        <w:tc>
          <w:tcPr>
            <w:tcW w:w="1104" w:type="dxa"/>
            <w:tcBorders>
              <w:top w:val="nil"/>
              <w:left w:val="nil"/>
              <w:right w:val="nil"/>
            </w:tcBorders>
            <w:shd w:val="clear" w:color="000000" w:fill="FFFFFF"/>
            <w:noWrap/>
            <w:vAlign w:val="center"/>
            <w:hideMark/>
          </w:tcPr>
          <w:p w14:paraId="42603EDD" w14:textId="62B2918B" w:rsidR="00887EBC" w:rsidRPr="001B6BD3" w:rsidRDefault="00C36921" w:rsidP="00887EBC">
            <w:pPr>
              <w:rPr>
                <w:rFonts w:ascii="Garamond" w:eastAsia="Times New Roman" w:hAnsi="Garamond" w:cs="Calibri"/>
                <w:color w:val="000000"/>
                <w:sz w:val="20"/>
                <w:szCs w:val="20"/>
              </w:rPr>
            </w:pPr>
            <w:r>
              <w:rPr>
                <w:rFonts w:ascii="Garamond" w:eastAsia="Times New Roman" w:hAnsi="Garamond" w:cs="Calibri"/>
                <w:color w:val="000000"/>
                <w:sz w:val="20"/>
                <w:szCs w:val="20"/>
              </w:rPr>
              <w:t>7</w:t>
            </w:r>
            <w:r w:rsidR="00887EBC" w:rsidRPr="001B6BD3">
              <w:rPr>
                <w:rFonts w:ascii="Garamond" w:eastAsia="Times New Roman" w:hAnsi="Garamond" w:cs="Calibri"/>
                <w:color w:val="000000"/>
                <w:sz w:val="20"/>
                <w:szCs w:val="20"/>
              </w:rPr>
              <w:t>.0000</w:t>
            </w:r>
          </w:p>
        </w:tc>
        <w:tc>
          <w:tcPr>
            <w:tcW w:w="1474" w:type="dxa"/>
            <w:tcBorders>
              <w:top w:val="nil"/>
              <w:left w:val="nil"/>
              <w:right w:val="nil"/>
            </w:tcBorders>
            <w:shd w:val="clear" w:color="000000" w:fill="FFFFFF"/>
            <w:noWrap/>
            <w:hideMark/>
          </w:tcPr>
          <w:p w14:paraId="015876C9" w14:textId="514A895A" w:rsidR="00887EBC" w:rsidRPr="001B6BD3" w:rsidRDefault="00887EBC" w:rsidP="00887EBC">
            <w:pPr>
              <w:rPr>
                <w:rFonts w:ascii="Garamond" w:eastAsia="Times New Roman" w:hAnsi="Garamond" w:cs="Calibri"/>
                <w:color w:val="000000"/>
                <w:sz w:val="20"/>
                <w:szCs w:val="20"/>
              </w:rPr>
            </w:pPr>
            <w:r w:rsidRPr="000D19B2">
              <w:rPr>
                <w:rFonts w:ascii="Garamond" w:eastAsia="Times New Roman" w:hAnsi="Garamond" w:cs="Calibri"/>
                <w:color w:val="000000"/>
                <w:sz w:val="20"/>
                <w:szCs w:val="20"/>
              </w:rPr>
              <w:t>N/A</w:t>
            </w:r>
          </w:p>
        </w:tc>
        <w:tc>
          <w:tcPr>
            <w:tcW w:w="4782" w:type="dxa"/>
            <w:tcBorders>
              <w:top w:val="nil"/>
              <w:left w:val="nil"/>
              <w:right w:val="nil"/>
            </w:tcBorders>
            <w:shd w:val="clear" w:color="000000" w:fill="FFFFFF"/>
            <w:vAlign w:val="center"/>
            <w:hideMark/>
          </w:tcPr>
          <w:p w14:paraId="39D1AFF9" w14:textId="6072D4A8" w:rsidR="00887EBC" w:rsidRPr="001B6BD3" w:rsidRDefault="00CC4E2C" w:rsidP="00C9047D">
            <w:pPr>
              <w:rPr>
                <w:rFonts w:ascii="Garamond" w:eastAsia="Times New Roman" w:hAnsi="Garamond" w:cs="Calibri"/>
                <w:color w:val="000000"/>
                <w:sz w:val="20"/>
                <w:szCs w:val="20"/>
              </w:rPr>
            </w:pPr>
            <w:r>
              <w:rPr>
                <w:rFonts w:ascii="Garamond" w:eastAsia="Times New Roman" w:hAnsi="Garamond" w:cs="Calibri"/>
                <w:color w:val="000000"/>
                <w:sz w:val="20"/>
                <w:szCs w:val="20"/>
              </w:rPr>
              <w:t>Assumption</w:t>
            </w:r>
          </w:p>
        </w:tc>
      </w:tr>
      <w:tr w:rsidR="00887EBC" w:rsidRPr="001B6BD3" w14:paraId="2F3EEB06" w14:textId="77777777" w:rsidTr="00522C8D">
        <w:trPr>
          <w:trHeight w:val="315"/>
        </w:trPr>
        <w:tc>
          <w:tcPr>
            <w:tcW w:w="3820" w:type="dxa"/>
            <w:tcBorders>
              <w:top w:val="nil"/>
              <w:left w:val="nil"/>
              <w:bottom w:val="single" w:sz="4" w:space="0" w:color="auto"/>
              <w:right w:val="nil"/>
            </w:tcBorders>
            <w:shd w:val="clear" w:color="000000" w:fill="FFFFFF"/>
            <w:noWrap/>
            <w:vAlign w:val="center"/>
            <w:hideMark/>
          </w:tcPr>
          <w:p w14:paraId="309A09D2" w14:textId="77777777" w:rsidR="00887EBC" w:rsidRPr="001B6BD3" w:rsidRDefault="00887EBC" w:rsidP="00887EBC">
            <w:pPr>
              <w:ind w:firstLineChars="100" w:firstLine="200"/>
              <w:rPr>
                <w:rFonts w:ascii="Garamond" w:eastAsia="Times New Roman" w:hAnsi="Garamond" w:cs="Calibri"/>
                <w:color w:val="000000"/>
                <w:sz w:val="20"/>
                <w:szCs w:val="20"/>
              </w:rPr>
            </w:pPr>
            <w:r w:rsidRPr="001B6BD3">
              <w:rPr>
                <w:rFonts w:ascii="Garamond" w:eastAsia="Times New Roman" w:hAnsi="Garamond" w:cs="Calibri"/>
                <w:color w:val="000000"/>
                <w:sz w:val="20"/>
                <w:szCs w:val="20"/>
              </w:rPr>
              <w:t>Chlamydia</w:t>
            </w:r>
          </w:p>
        </w:tc>
        <w:tc>
          <w:tcPr>
            <w:tcW w:w="1104" w:type="dxa"/>
            <w:tcBorders>
              <w:top w:val="nil"/>
              <w:left w:val="nil"/>
              <w:bottom w:val="single" w:sz="4" w:space="0" w:color="auto"/>
              <w:right w:val="nil"/>
            </w:tcBorders>
            <w:shd w:val="clear" w:color="000000" w:fill="FFFFFF"/>
            <w:noWrap/>
            <w:vAlign w:val="center"/>
            <w:hideMark/>
          </w:tcPr>
          <w:p w14:paraId="207780E0" w14:textId="1F9FF385" w:rsidR="00887EBC" w:rsidRPr="001B6BD3" w:rsidRDefault="00C36921" w:rsidP="00887EBC">
            <w:pPr>
              <w:rPr>
                <w:rFonts w:ascii="Garamond" w:eastAsia="Times New Roman" w:hAnsi="Garamond" w:cs="Calibri"/>
                <w:color w:val="000000"/>
                <w:sz w:val="20"/>
                <w:szCs w:val="20"/>
              </w:rPr>
            </w:pPr>
            <w:r>
              <w:rPr>
                <w:rFonts w:ascii="Garamond" w:eastAsia="Times New Roman" w:hAnsi="Garamond" w:cs="Calibri"/>
                <w:color w:val="000000"/>
                <w:sz w:val="20"/>
                <w:szCs w:val="20"/>
              </w:rPr>
              <w:t>7</w:t>
            </w:r>
            <w:r w:rsidR="00887EBC" w:rsidRPr="001B6BD3">
              <w:rPr>
                <w:rFonts w:ascii="Garamond" w:eastAsia="Times New Roman" w:hAnsi="Garamond" w:cs="Calibri"/>
                <w:color w:val="000000"/>
                <w:sz w:val="20"/>
                <w:szCs w:val="20"/>
              </w:rPr>
              <w:t>.0000</w:t>
            </w:r>
          </w:p>
        </w:tc>
        <w:tc>
          <w:tcPr>
            <w:tcW w:w="1474" w:type="dxa"/>
            <w:tcBorders>
              <w:top w:val="nil"/>
              <w:left w:val="nil"/>
              <w:bottom w:val="single" w:sz="4" w:space="0" w:color="auto"/>
              <w:right w:val="nil"/>
            </w:tcBorders>
            <w:shd w:val="clear" w:color="000000" w:fill="FFFFFF"/>
            <w:noWrap/>
            <w:hideMark/>
          </w:tcPr>
          <w:p w14:paraId="2397E512" w14:textId="6FB95613" w:rsidR="00887EBC" w:rsidRPr="001B6BD3" w:rsidRDefault="00887EBC" w:rsidP="00887EBC">
            <w:pPr>
              <w:rPr>
                <w:rFonts w:ascii="Garamond" w:eastAsia="Times New Roman" w:hAnsi="Garamond" w:cs="Calibri"/>
                <w:color w:val="000000"/>
                <w:sz w:val="20"/>
                <w:szCs w:val="20"/>
              </w:rPr>
            </w:pPr>
            <w:r w:rsidRPr="000D19B2">
              <w:rPr>
                <w:rFonts w:ascii="Garamond" w:eastAsia="Times New Roman" w:hAnsi="Garamond" w:cs="Calibri"/>
                <w:color w:val="000000"/>
                <w:sz w:val="20"/>
                <w:szCs w:val="20"/>
              </w:rPr>
              <w:t>N/A</w:t>
            </w:r>
          </w:p>
        </w:tc>
        <w:tc>
          <w:tcPr>
            <w:tcW w:w="4782" w:type="dxa"/>
            <w:tcBorders>
              <w:top w:val="nil"/>
              <w:left w:val="nil"/>
              <w:bottom w:val="single" w:sz="4" w:space="0" w:color="auto"/>
              <w:right w:val="nil"/>
            </w:tcBorders>
            <w:shd w:val="clear" w:color="000000" w:fill="FFFFFF"/>
            <w:vAlign w:val="center"/>
            <w:hideMark/>
          </w:tcPr>
          <w:p w14:paraId="153BB943" w14:textId="6F53C908" w:rsidR="00887EBC" w:rsidRPr="001B6BD3" w:rsidRDefault="00CC4E2C" w:rsidP="00C9047D">
            <w:pPr>
              <w:rPr>
                <w:rFonts w:ascii="Garamond" w:eastAsia="Times New Roman" w:hAnsi="Garamond" w:cs="Calibri"/>
                <w:color w:val="000000"/>
                <w:sz w:val="20"/>
                <w:szCs w:val="20"/>
              </w:rPr>
            </w:pPr>
            <w:r>
              <w:rPr>
                <w:rFonts w:ascii="Garamond" w:eastAsia="Times New Roman" w:hAnsi="Garamond" w:cs="Calibri"/>
                <w:color w:val="000000"/>
                <w:sz w:val="20"/>
                <w:szCs w:val="20"/>
              </w:rPr>
              <w:t>Assumption</w:t>
            </w:r>
          </w:p>
        </w:tc>
      </w:tr>
      <w:tr w:rsidR="00887EBC" w:rsidRPr="001B6BD3" w14:paraId="7A09D698" w14:textId="77777777" w:rsidTr="00522C8D">
        <w:trPr>
          <w:trHeight w:val="259"/>
        </w:trPr>
        <w:tc>
          <w:tcPr>
            <w:tcW w:w="3820" w:type="dxa"/>
            <w:tcBorders>
              <w:top w:val="nil"/>
              <w:left w:val="nil"/>
              <w:bottom w:val="nil"/>
              <w:right w:val="nil"/>
            </w:tcBorders>
            <w:shd w:val="clear" w:color="auto" w:fill="auto"/>
            <w:noWrap/>
            <w:vAlign w:val="center"/>
            <w:hideMark/>
          </w:tcPr>
          <w:p w14:paraId="71BB558F" w14:textId="77777777" w:rsidR="00887EBC" w:rsidRPr="001B6BD3" w:rsidRDefault="00887EBC" w:rsidP="00887EBC">
            <w:pPr>
              <w:rPr>
                <w:rFonts w:ascii="Garamond" w:eastAsia="Times New Roman" w:hAnsi="Garamond" w:cs="Calibri"/>
                <w:color w:val="000000"/>
                <w:sz w:val="20"/>
                <w:szCs w:val="20"/>
              </w:rPr>
            </w:pPr>
          </w:p>
        </w:tc>
        <w:tc>
          <w:tcPr>
            <w:tcW w:w="1104" w:type="dxa"/>
            <w:tcBorders>
              <w:top w:val="nil"/>
              <w:left w:val="nil"/>
              <w:bottom w:val="nil"/>
              <w:right w:val="nil"/>
            </w:tcBorders>
            <w:shd w:val="clear" w:color="auto" w:fill="auto"/>
            <w:noWrap/>
            <w:vAlign w:val="center"/>
            <w:hideMark/>
          </w:tcPr>
          <w:p w14:paraId="3ACE4842" w14:textId="77777777" w:rsidR="00887EBC" w:rsidRPr="001B6BD3" w:rsidRDefault="00887EBC" w:rsidP="00887EBC">
            <w:pPr>
              <w:rPr>
                <w:rFonts w:ascii="Times New Roman" w:eastAsia="Times New Roman" w:hAnsi="Times New Roman" w:cs="Times New Roman"/>
                <w:sz w:val="20"/>
                <w:szCs w:val="20"/>
              </w:rPr>
            </w:pPr>
          </w:p>
        </w:tc>
        <w:tc>
          <w:tcPr>
            <w:tcW w:w="1474" w:type="dxa"/>
            <w:tcBorders>
              <w:top w:val="nil"/>
              <w:left w:val="nil"/>
              <w:bottom w:val="nil"/>
              <w:right w:val="nil"/>
            </w:tcBorders>
            <w:shd w:val="clear" w:color="auto" w:fill="auto"/>
            <w:noWrap/>
            <w:vAlign w:val="center"/>
            <w:hideMark/>
          </w:tcPr>
          <w:p w14:paraId="16B6E8D1" w14:textId="77777777" w:rsidR="00887EBC" w:rsidRPr="001B6BD3" w:rsidRDefault="00887EBC" w:rsidP="00887EBC">
            <w:pPr>
              <w:rPr>
                <w:rFonts w:ascii="Times New Roman" w:eastAsia="Times New Roman" w:hAnsi="Times New Roman" w:cs="Times New Roman"/>
                <w:sz w:val="20"/>
                <w:szCs w:val="20"/>
              </w:rPr>
            </w:pPr>
          </w:p>
        </w:tc>
        <w:tc>
          <w:tcPr>
            <w:tcW w:w="4782" w:type="dxa"/>
            <w:tcBorders>
              <w:top w:val="nil"/>
              <w:left w:val="nil"/>
              <w:bottom w:val="nil"/>
              <w:right w:val="nil"/>
            </w:tcBorders>
            <w:shd w:val="clear" w:color="auto" w:fill="auto"/>
            <w:vAlign w:val="center"/>
            <w:hideMark/>
          </w:tcPr>
          <w:p w14:paraId="020E4F6E" w14:textId="77777777" w:rsidR="00887EBC" w:rsidRPr="001B6BD3" w:rsidRDefault="00887EBC" w:rsidP="00887EBC">
            <w:pPr>
              <w:rPr>
                <w:rFonts w:ascii="Times New Roman" w:eastAsia="Times New Roman" w:hAnsi="Times New Roman" w:cs="Times New Roman"/>
                <w:sz w:val="20"/>
                <w:szCs w:val="20"/>
              </w:rPr>
            </w:pPr>
          </w:p>
        </w:tc>
      </w:tr>
    </w:tbl>
    <w:p w14:paraId="737C1B50" w14:textId="77158D4B" w:rsidR="00651277" w:rsidRDefault="007751E4" w:rsidP="00651277">
      <w:pPr>
        <w:tabs>
          <w:tab w:val="left" w:pos="540"/>
        </w:tabs>
        <w:spacing w:before="120" w:line="360" w:lineRule="auto"/>
        <w:rPr>
          <w:rFonts w:ascii="Helvetica Neue" w:hAnsi="Helvetica Neue"/>
        </w:rPr>
      </w:pPr>
      <w:r w:rsidRPr="0024409C">
        <w:rPr>
          <w:rFonts w:ascii="Helvetica Neue" w:hAnsi="Helvetica Neue"/>
        </w:rPr>
        <w:t xml:space="preserve">The targeted </w:t>
      </w:r>
      <w:r w:rsidR="00651277">
        <w:rPr>
          <w:rFonts w:ascii="Helvetica Neue" w:hAnsi="Helvetica Neue"/>
        </w:rPr>
        <w:t>NG</w:t>
      </w:r>
      <w:r w:rsidR="00B65948">
        <w:rPr>
          <w:rFonts w:ascii="Helvetica Neue" w:hAnsi="Helvetica Neue"/>
        </w:rPr>
        <w:t xml:space="preserve"> and </w:t>
      </w:r>
      <w:r w:rsidR="00651277">
        <w:rPr>
          <w:rFonts w:ascii="Helvetica Neue" w:hAnsi="Helvetica Neue"/>
        </w:rPr>
        <w:t xml:space="preserve">CT </w:t>
      </w:r>
      <w:r w:rsidRPr="0024409C">
        <w:rPr>
          <w:rFonts w:ascii="Helvetica Neue" w:hAnsi="Helvetica Neue"/>
        </w:rPr>
        <w:t>incidence</w:t>
      </w:r>
      <w:r w:rsidR="003D13FF">
        <w:rPr>
          <w:rFonts w:ascii="Helvetica Neue" w:hAnsi="Helvetica Neue"/>
        </w:rPr>
        <w:t xml:space="preserve"> rates</w:t>
      </w:r>
      <w:r w:rsidR="00651277">
        <w:rPr>
          <w:rFonts w:ascii="Helvetica Neue" w:hAnsi="Helvetica Neue"/>
        </w:rPr>
        <w:t xml:space="preserve"> were based on results from a HIV and STI incidence cohort of both black and white Atlanta MSM</w:t>
      </w:r>
      <w:r w:rsidR="00651277" w:rsidRPr="0024409C">
        <w:rPr>
          <w:rFonts w:ascii="Helvetica Neue" w:hAnsi="Helvetica Neue"/>
        </w:rPr>
        <w:t>.</w:t>
      </w:r>
      <w:r w:rsidR="00651277" w:rsidRPr="0024409C">
        <w:rPr>
          <w:rFonts w:ascii="Helvetica Neue" w:hAnsi="Helvetica Neue"/>
        </w:rPr>
        <w:fldChar w:fldCharType="begin" w:fldLock="1"/>
      </w:r>
      <w:r w:rsidR="002E5A1F">
        <w:rPr>
          <w:rFonts w:ascii="Helvetica Neue" w:hAnsi="Helvetica Neue"/>
        </w:rPr>
        <w:instrText>ADDIN CSL_CITATION { "citationItems" : [ { "id" : "ITEM-1", "itemData" : { "PMID" : "25719950", "abstract" : "Data reporting sexually transmitted infection (STI) incidence rates among HIV-negative U.S. men who have sex with men (MSM) are lacking. In addition, it is difficult to analyze the effect of STI on HIV acquisition given that sexual risk behaviors confound the relationship between bacterial STIs and incident HIV. The InvolveMENt study was a longitudinal cohort of black and white HIV-negative, sexually active MSM in Atlanta who underwent routine screening for STI and HIV and completed behavioral questionnaires. Age-adjusted incidence rates were calculated for urethral and rectal Chlamydia (CT), gonorrhea (GC), and syphilis, stratified by race. Propensity-score-weighted Cox proportional hazards models were used to estimate the effect of STI on HIV incidence and calculate the population attributable fraction (PAF) for STI. We included 562 HIV-negative MSM with 843 person-years of follow-up in this analysis. High incidence rates were documented for all STIs, particularly among black MSM. Having a rectal STI was significantly associated with subsequent HIV incidence in adjusted analyses (aHR 2.7; 95% CI 1.2, 6.4) that controlled for behavioral risk factors associated with STI and HIV using propensity score weights. The PAF for rectal STI was 14.6 (95% CI 6.8, 31.4). The high incidence of STIs among Atlanta MSM and the association of rectal STI with HIV acquisition after controlling for behavioral risk underscore the importance of routine screening and treatment for STIs among sexually active MSM. Our data support targeting intensive HIV prevention interventions, such as preexposure chemoprophylaxis (PrEP), for Atlanta MSM diagnosed with rectal STIs.", "author" : [ { "dropping-particle" : "", "family" : "Kelley", "given" : "Colleen F", "non-dropping-particle" : "", "parse-names" : false, "suffix" : "" }, { "dropping-particle" : "", "family" : "Vaughan", "given" : "Adam S", "non-dropping-particle" : "", "parse-names" : false, "suffix" : "" }, { "dropping-particle" : "", "family" : "Luisi", "given" : "Nicole", "non-dropping-particle" : "", "parse-names" : false, "suffix" : "" }, { "dropping-particle" : "", "family" : "Sanchez", "given" : "Travis H", "non-dropping-particle" : "", "parse-names" : false, "suffix" : "" }, { "dropping-particle" : "", "family" : "Salazar", "given" : "Laura F", "non-dropping-particle" : "", "parse-names" : false, "suffix" : "" }, { "dropping-particle" : "", "family" : "Frew", "given" : "Paula M", "non-dropping-particle" : "", "parse-names" : false, "suffix" : "" }, { "dropping-particle" : "", "family" : "Cooper", "given" : "Hannah L F", "non-dropping-particle" : "", "parse-names" : false, "suffix" : "" }, { "dropping-particle" : "", "family" : "Diclemente", "given" : "Ralph",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"container-title" : "AIDS Res Hum Retroviruses", "id" : "ITEM-1", "issue" : "6", "issued" : { "date-parts" : [ [ "2015", "6" ] ] }, "page" : "587-92", "title" : "The effect of high rates of bacterial sexually transmitted infections on HIV incidence in a cohort of black and white men who have sex with men in Atlanta, Georgia.", "type" : "article-journal", "volume" : "31" }, "uris" : [ "http://www.mendeley.com/documents/?uuid=9a4d96f1-ac24-4340-b64e-7e2df162dc60" ] }, { "id" : "ITEM-2", "itemData" : { "ISSN" : "1537-4521", "PMID" : "26267877", "abstract" : "BACKGROUND Studying the heterogeneity and correlates of HIV risk in the sexual networks of black and white men who have sex with men (MSM) may help explain racial disparities in HIV-infection. METHODS Black and white MSM were recruited as seeds using venue-based time sampling and provided data regarding their recent sex partners. We used chain referral methods to enroll seeds' recent sex partners; newly enrolled partners in turn provided data on their recent sex partners, some of whom later enrolled. Data about unenrolled recent sex partners obtained from seeds and enrolled participants were also analyzed. We estimated the prevalence of HIV in sexual networks of MSM and assessed differential patterns of network HIV risk by the race of the seed. RESULTS The mean network prevalence of HIV in sexual networks of black MSM (n = 117) was 36% compared with 4% in networks of white MSM (n = 78; P &lt; 0.0001). Sexual networks of unemployed black MSM had a higher prevalence of HIV than their employed counterparts (51% vs. 29%, P = 0.007). The networks of HIV-negative black MSM seeds aged 18 to 24 years had a network prevalence of 9% compared with 2% among those aged 30 years or older. In networks originating from a black HIV-positive seed, the prevalence ranged from 63% among those aged 18 to 24 years to 80% among those 30 years or older. CONCLUSIONS The high prevalence of HIV in the networks of HIV-negative young black MSM demonstrates a mechanism for the increased HIV incidence observed in this age group. More research is needed into how age and socioeconomic factors shape sexual networks and HIV risk.", "author" : [ { "dropping-particle" : "", "family" : "Hern\u00e1ndez-Romieu", "given" : "Alfonso C", "non-dropping-particle" : "", "parse-names" : false, "suffix" : "" }, { "dropping-particle" : "", "family" : "Sullivan", "given" : "Patrick S", "non-dropping-particle" : "", "parse-names" : false, "suffix" : "" }, { "dropping-particle" : "", "family" : "Rothenberg", "given" : "Richard", "non-dropping-particle" : "", "parse-names" : false, "suffix" : "" }, { "dropping-particle" : "", "family" : "Grey", "given" : "Jeremy", "non-dropping-particle" : "", "parse-names" : false, "suffix" : "" }, { "dropping-particle" : "", "family" : "Luisi", "given" : "Nicole", "non-dropping-particle" : "", "parse-names" : false, "suffix" : "" }, { "dropping-particle" : "", "family" : "Kelley", "given" : "Colleen F", "non-dropping-particle" : "", "parse-names" : false, "suffix" : "" }, { "dropping-particle" : "", "family" : "Rosenberg", "given" : "Eli S", "non-dropping-particle" : "", "parse-names" : false, "suffix" : "" } ], "container-title" : "Sex Transm Dis", "id" : "ITEM-2", "issue" : "9", "issued" : { "date-parts" : [ [ "2015", "9" ] ] }, "page" : "505-12", "title" : "Heterogeneity of HIV prevalence among the sexual networks of black and white men who have sex with men in Atlanta: Illuminating a mechanism for increased HIV risk for young black men who have sex with men.", "type" : "article-journal", "volume" : "42" }, "uris" : [ "http://www.mendeley.com/documents/?uuid=6e4624eb-137a-49c4-9725-b20a62e58693" ] } ], "mendeley" : { "formattedCitation" : "&lt;sup&gt;109,110&lt;/sup&gt;", "plainTextFormattedCitation" : "109,110", "previouslyFormattedCitation" : "&lt;sup&gt;109,110&lt;/sup&gt;" }, "properties" : { "noteIndex" : 0 }, "schema" : "https://github.com/citation-style-language/schema/raw/master/csl-citation.json" }</w:instrText>
      </w:r>
      <w:r w:rsidR="00651277" w:rsidRPr="0024409C">
        <w:rPr>
          <w:rFonts w:ascii="Helvetica Neue" w:hAnsi="Helvetica Neue"/>
        </w:rPr>
        <w:fldChar w:fldCharType="separate"/>
      </w:r>
      <w:r w:rsidR="002E5A1F" w:rsidRPr="002E5A1F">
        <w:rPr>
          <w:rFonts w:ascii="Helvetica Neue" w:hAnsi="Helvetica Neue"/>
          <w:noProof/>
          <w:vertAlign w:val="superscript"/>
        </w:rPr>
        <w:t>109,110</w:t>
      </w:r>
      <w:r w:rsidR="00651277" w:rsidRPr="0024409C">
        <w:rPr>
          <w:rFonts w:ascii="Helvetica Neue" w:hAnsi="Helvetica Neue"/>
        </w:rPr>
        <w:fldChar w:fldCharType="end"/>
      </w:r>
      <w:r w:rsidR="00651277">
        <w:rPr>
          <w:rFonts w:ascii="Helvetica Neue" w:hAnsi="Helvetica Neue"/>
        </w:rPr>
        <w:t xml:space="preserve"> </w:t>
      </w:r>
      <w:r w:rsidR="000236BC">
        <w:rPr>
          <w:rFonts w:ascii="Helvetica Neue" w:hAnsi="Helvetica Neue"/>
        </w:rPr>
        <w:t xml:space="preserve">NG incidence rates were complemented by an estimate of incidence among MSM attending STD clinics that were part of the STD </w:t>
      </w:r>
      <w:r w:rsidR="000236BC">
        <w:rPr>
          <w:rFonts w:ascii="Helvetica Neue" w:hAnsi="Helvetica Neue"/>
        </w:rPr>
        <w:lastRenderedPageBreak/>
        <w:t>Surveillance Network (</w:t>
      </w:r>
      <w:proofErr w:type="spellStart"/>
      <w:r w:rsidR="000236BC">
        <w:rPr>
          <w:rFonts w:ascii="Helvetica Neue" w:hAnsi="Helvetica Neue"/>
        </w:rPr>
        <w:t>SSuN</w:t>
      </w:r>
      <w:proofErr w:type="spellEnd"/>
      <w:r w:rsidR="000236BC">
        <w:rPr>
          <w:rFonts w:ascii="Helvetica Neue" w:hAnsi="Helvetica Neue"/>
        </w:rPr>
        <w:t>).</w:t>
      </w:r>
      <w:r w:rsidR="000236BC">
        <w:rPr>
          <w:rFonts w:ascii="Helvetica Neue" w:hAnsi="Helvetica Neue"/>
        </w:rPr>
        <w:fldChar w:fldCharType="begin" w:fldLock="1"/>
      </w:r>
      <w:r w:rsidR="002E5A1F">
        <w:rPr>
          <w:rFonts w:ascii="Helvetica Neue" w:hAnsi="Helvetica Neue"/>
        </w:rPr>
        <w:instrText>ADDIN CSL_CITATION { "citationItems" : [ { "id" : "ITEM-1", "itemData" : { "author" : [ { "dropping-particle" : "", "family" : "Stenger", "given" : "Mark R.", "non-dropping-particle" : "", "parse-names" : false, "suffix" : "" }, { "dropping-particle" : "", "family" : "Pathela", "given" : "Preeti", "non-dropping-particle" : "", "parse-names" : false, "suffix" : "" }, { "dropping-particle" : "", "family" : "Anschuetz", "given" : "Greta", "non-dropping-particle" : "", "parse-names" : false, "suffix" : "" }, { "dropping-particle" : "", "family" : "Bauer", "given" : "Heidi", "non-dropping-particle" : "", "parse-names" : false, "suffix" : "" }, { "dropping-particle" : "", "family" : "Simon", "given" : "Julieann", "non-dropping-particle" : "", "parse-names" : false, "suffix" : "" }, { "dropping-particle" : "", "family" : "Kohn", "given" : "Robert", "non-dropping-particle" : "", "parse-names" : false, "suffix" : "" }, { "dropping-particle" : "", "family" : "Schumacher", "given" : "Christina", "non-dropping-particle" : "", "parse-names" : false, "suffix" : "" }, { "dropping-particle" : "", "family" : "Torrone", "given" : "Elizabeth", "non-dropping-particle" : "", "parse-names" : false, "suffix" : "" } ], "container-title" : "Sexually Transmitted Diseases", "id" : "ITEM-1", "issue" : "7", "issued" : { "date-parts" : [ [ "2017", "7" ] ] }, "page" : "393-397", "title" : "Increases in the Rate of Neisseria gonorrhoeae Among Gay, Bisexual and Other Men Who Have Sex With Men: Findings From the Sexually Transmitted Disease Surveillance Network 2010-2015", "type" : "article-journal", "volume" : "44" }, "uris" : [ "http://www.mendeley.com/documents/?uuid=d7ae6d18-a865-3360-be34-61916fc0e824" ] } ], "mendeley" : { "formattedCitation" : "&lt;sup&gt;112&lt;/sup&gt;", "plainTextFormattedCitation" : "112", "previouslyFormattedCitation" : "&lt;sup&gt;112&lt;/sup&gt;" }, "properties" : { "noteIndex" : 0 }, "schema" : "https://github.com/citation-style-language/schema/raw/master/csl-citation.json" }</w:instrText>
      </w:r>
      <w:r w:rsidR="000236BC">
        <w:rPr>
          <w:rFonts w:ascii="Helvetica Neue" w:hAnsi="Helvetica Neue"/>
        </w:rPr>
        <w:fldChar w:fldCharType="separate"/>
      </w:r>
      <w:r w:rsidR="002E5A1F" w:rsidRPr="002E5A1F">
        <w:rPr>
          <w:rFonts w:ascii="Helvetica Neue" w:hAnsi="Helvetica Neue"/>
          <w:noProof/>
          <w:vertAlign w:val="superscript"/>
        </w:rPr>
        <w:t>112</w:t>
      </w:r>
      <w:r w:rsidR="000236BC">
        <w:rPr>
          <w:rFonts w:ascii="Helvetica Neue" w:hAnsi="Helvetica Neue"/>
        </w:rPr>
        <w:fldChar w:fldCharType="end"/>
      </w:r>
      <w:r w:rsidR="000236BC">
        <w:rPr>
          <w:rFonts w:ascii="Helvetica Neue" w:hAnsi="Helvetica Neue"/>
        </w:rPr>
        <w:t xml:space="preserve"> An HIV prevalence target of 15% was extracted from a published analysis of rates of prevalent infection which combined MSM population size estimates with public HIV surveillance data.</w:t>
      </w:r>
      <w:r w:rsidR="000236BC">
        <w:rPr>
          <w:rFonts w:ascii="Helvetica Neue" w:hAnsi="Helvetica Neue"/>
        </w:rPr>
        <w:fldChar w:fldCharType="begin" w:fldLock="1"/>
      </w:r>
      <w:r w:rsidR="002E5A1F">
        <w:rPr>
          <w:rFonts w:ascii="Helvetica Neue" w:hAnsi="Helvetica Neue"/>
        </w:rPr>
        <w:instrText>ADDIN CSL_CITATION { "citationItems" : [ { "id" : "ITEM-1", "itemData" : { "DOI" : "10.2196/publichealth.5684", "ISSN" : "2369-2960", "PMID" : "27244769", "abstract" : "BACKGROUND In the United States, men who have sex with men (MSM) increasingly represent the majority of people living with and acquiring human immunodeficiency virus (HIV) infection. Local and federal surveillance programs estimate the number of persons living with an HIV diagnosis, persons living with HIV infection, and new diagnoses. Given the absence of population-based estimates of the number of MSM for US states, metropolitan statistical areas (MSAs), or counties, it is not possible to accurately estimate rates using these indicators at these levels, inhibiting the ability to understand HIV burden and to direct prevention efforts. OBJECTIVE To synthesize recently published estimates of MSM population size with publicly available HIV surveillance data, in order to estimate the prevalence of HIV diagnosis and infection and the rate of new diagnoses, at the national, state, MSA, and county levels. METHODS The number of MSM living with HIV infection in 2012 (prevalence), living with an HIV diagnosis in 2012 (diagnosed prevalence), and newly diagnosed with HIV infection in 2013 (new diagnosis), at state, MSA, and county levels, were obtained from publicly available data from AIDSVu.org and the US Centers for Disease Control and Prevention. The estimated number of MSM living in every US county was calculated using recently published methodology that utilized data from the National Health and Nutrition Examination Survey and American Community Survey. Estimated county-level MSM counts were aggregated to form MSA- and state-level totals. From this, we estimated HIV prevalence, diagnosed prevalence, and new diagnosis rates. RESULTS The estimated HIV prevalence among MSM in the United States in 2012 was 15.0% (666,900/4,452,772), the diagnosed HIV prevalence in 2012 was 11.1% (493,453/4,452,772), and the new diagnosis rate for 2013 was 0.7 per 100 MSM. For diagnosed prevalence at the state level, 6 states had both &lt;15,000 cases and diagnosed prevalence rates of \u226515%, all in the South. Five highly populated states had \u226515,000 cases and rates between 10% and 15%. Georgia was the only state with \u226515,000 cases and \u226515% diagnosed prevalence rate. Of the 25 MSAs with the highest diagnosed prevalence rates in the United States, 21 were in the South and 6 had diagnosed prevalence of \u226525%. County-level data showed high diagnosed prevalence rates in both urban and rural counties of the South. CONCLUSIONS HIV infection is hyperendemic among MSM in many areas of the Uni\u2026", "author" : [ { "dropping-particle" : "", "family" : "Rosenberg", "given" : "Eli Samuel", "non-dropping-particle" : "", "parse-names" : false, "suffix" : "" }, { "dropping-particle" : "", "family" : "Grey", "given" : "Jeremy Alexander", "non-dropping-particle" : "", "parse-names" : false, "suffix" : "" }, { "dropping-particle" : "", "family" : "Sanchez", "given" : "Travis Howard", "non-dropping-particle" : "", "parse-names" : false, "suffix" : "" }, { "dropping-particle" : "", "family" : "Sullivan", "given" : "Patrick Sean", "non-dropping-particle" : "", "parse-names" : false, "suffix" : "" } ], "container-title" : "JMIR public health and surveillance", "id" : "ITEM-1", "issue" : "1", "issued" : { "date-parts" : [ [ "2016", "5", "17" ] ] }, "page" : "e22", "publisher" : "JMIR Publications Inc.", "title" : "Rates of Prevalent HIV Infection, Prevalent Diagnoses, and New Diagnoses Among Men Who Have Sex With Men in US States, Metropolitan Statistical Areas, and Counties, 2012-2013.", "type" : "article-journal", "volume" : "2" }, "uris" : [ "http://www.mendeley.com/documents/?uuid=a7682f51-17cb-399a-952c-2a3b32233767" ] } ], "mendeley" : { "formattedCitation" : "&lt;sup&gt;108&lt;/sup&gt;", "plainTextFormattedCitation" : "108", "previouslyFormattedCitation" : "&lt;sup&gt;108&lt;/sup&gt;" }, "properties" : { "noteIndex" : 0 }, "schema" : "https://github.com/citation-style-language/schema/raw/master/csl-citation.json" }</w:instrText>
      </w:r>
      <w:r w:rsidR="000236BC">
        <w:rPr>
          <w:rFonts w:ascii="Helvetica Neue" w:hAnsi="Helvetica Neue"/>
        </w:rPr>
        <w:fldChar w:fldCharType="separate"/>
      </w:r>
      <w:r w:rsidR="002E5A1F" w:rsidRPr="002E5A1F">
        <w:rPr>
          <w:rFonts w:ascii="Helvetica Neue" w:hAnsi="Helvetica Neue"/>
          <w:noProof/>
          <w:vertAlign w:val="superscript"/>
        </w:rPr>
        <w:t>108</w:t>
      </w:r>
      <w:r w:rsidR="000236BC">
        <w:rPr>
          <w:rFonts w:ascii="Helvetica Neue" w:hAnsi="Helvetica Neue"/>
        </w:rPr>
        <w:fldChar w:fldCharType="end"/>
      </w:r>
    </w:p>
    <w:p w14:paraId="4F59385E" w14:textId="77777777" w:rsidR="000236BC" w:rsidRDefault="000236BC" w:rsidP="00651277">
      <w:pPr>
        <w:tabs>
          <w:tab w:val="left" w:pos="540"/>
        </w:tabs>
        <w:spacing w:before="120" w:line="360" w:lineRule="auto"/>
        <w:rPr>
          <w:rFonts w:ascii="Helvetica Neue" w:hAnsi="Helvetica Neue"/>
        </w:rPr>
      </w:pPr>
    </w:p>
    <w:tbl>
      <w:tblPr>
        <w:tblStyle w:val="TableGrid"/>
        <w:tblW w:w="0" w:type="auto"/>
        <w:tblLook w:val="04A0" w:firstRow="1" w:lastRow="0" w:firstColumn="1" w:lastColumn="0" w:noHBand="0" w:noVBand="1"/>
      </w:tblPr>
      <w:tblGrid>
        <w:gridCol w:w="1563"/>
        <w:gridCol w:w="1596"/>
        <w:gridCol w:w="1595"/>
        <w:gridCol w:w="1401"/>
      </w:tblGrid>
      <w:tr w:rsidR="003B5B8F" w14:paraId="57EDE3F8" w14:textId="77777777" w:rsidTr="003B5B8F">
        <w:tc>
          <w:tcPr>
            <w:tcW w:w="6155" w:type="dxa"/>
            <w:gridSpan w:val="4"/>
            <w:shd w:val="clear" w:color="auto" w:fill="F2F2F2" w:themeFill="background1" w:themeFillShade="F2"/>
          </w:tcPr>
          <w:p w14:paraId="5108C156" w14:textId="6923D1AF" w:rsidR="003B5B8F" w:rsidRDefault="003B5B8F" w:rsidP="00651277">
            <w:pPr>
              <w:tabs>
                <w:tab w:val="left" w:pos="540"/>
              </w:tabs>
              <w:spacing w:line="360" w:lineRule="auto"/>
              <w:rPr>
                <w:rFonts w:ascii="Helvetica Neue" w:hAnsi="Helvetica Neue"/>
              </w:rPr>
            </w:pPr>
            <w:r>
              <w:rPr>
                <w:rFonts w:ascii="Helvetica Neue" w:hAnsi="Helvetica Neue"/>
              </w:rPr>
              <w:t>Table S3: Epidemiological targets for calibration</w:t>
            </w:r>
          </w:p>
        </w:tc>
      </w:tr>
      <w:tr w:rsidR="003B5B8F" w14:paraId="12C8E3BA" w14:textId="77777777" w:rsidTr="003B5B8F">
        <w:tc>
          <w:tcPr>
            <w:tcW w:w="1563" w:type="dxa"/>
          </w:tcPr>
          <w:p w14:paraId="4B1CB578"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Statistic</w:t>
            </w:r>
          </w:p>
        </w:tc>
        <w:tc>
          <w:tcPr>
            <w:tcW w:w="1596" w:type="dxa"/>
          </w:tcPr>
          <w:p w14:paraId="3E8198DA"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Gonorrhea incidence</w:t>
            </w:r>
          </w:p>
        </w:tc>
        <w:tc>
          <w:tcPr>
            <w:tcW w:w="1595" w:type="dxa"/>
          </w:tcPr>
          <w:p w14:paraId="0CD1B0D3"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Chlamydia incidence</w:t>
            </w:r>
          </w:p>
        </w:tc>
        <w:tc>
          <w:tcPr>
            <w:tcW w:w="1401" w:type="dxa"/>
          </w:tcPr>
          <w:p w14:paraId="3EF331C3"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HIV prevalence</w:t>
            </w:r>
          </w:p>
        </w:tc>
      </w:tr>
      <w:tr w:rsidR="003B5B8F" w14:paraId="417268AD" w14:textId="77777777" w:rsidTr="003B5B8F">
        <w:tc>
          <w:tcPr>
            <w:tcW w:w="1563" w:type="dxa"/>
          </w:tcPr>
          <w:p w14:paraId="3FD520E6" w14:textId="77777777" w:rsidR="003B5B8F" w:rsidRPr="00E34A42" w:rsidRDefault="003B5B8F" w:rsidP="00651277">
            <w:pPr>
              <w:tabs>
                <w:tab w:val="left" w:pos="540"/>
              </w:tabs>
              <w:spacing w:line="360" w:lineRule="auto"/>
              <w:rPr>
                <w:rFonts w:ascii="Helvetica Neue" w:hAnsi="Helvetica Neue"/>
              </w:rPr>
            </w:pPr>
            <w:r w:rsidRPr="00E34A42">
              <w:rPr>
                <w:rFonts w:ascii="Helvetica Neue" w:hAnsi="Helvetica Neue"/>
              </w:rPr>
              <w:t>Target</w:t>
            </w:r>
          </w:p>
        </w:tc>
        <w:tc>
          <w:tcPr>
            <w:tcW w:w="1596" w:type="dxa"/>
          </w:tcPr>
          <w:p w14:paraId="595C74F2"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3.5 cases / 100 person-years</w:t>
            </w:r>
          </w:p>
        </w:tc>
        <w:tc>
          <w:tcPr>
            <w:tcW w:w="1595" w:type="dxa"/>
          </w:tcPr>
          <w:p w14:paraId="4AFF5BD4" w14:textId="77777777" w:rsidR="003B5B8F" w:rsidRPr="00E34A42" w:rsidRDefault="003B5B8F" w:rsidP="00651277">
            <w:pPr>
              <w:tabs>
                <w:tab w:val="left" w:pos="540"/>
              </w:tabs>
              <w:spacing w:line="360" w:lineRule="auto"/>
              <w:rPr>
                <w:rFonts w:ascii="Helvetica Neue" w:hAnsi="Helvetica Neue"/>
              </w:rPr>
            </w:pPr>
            <w:r>
              <w:rPr>
                <w:rFonts w:ascii="Helvetica Neue" w:hAnsi="Helvetica Neue"/>
              </w:rPr>
              <w:t>5.6 cases/ 100 person-years</w:t>
            </w:r>
          </w:p>
        </w:tc>
        <w:tc>
          <w:tcPr>
            <w:tcW w:w="1401" w:type="dxa"/>
          </w:tcPr>
          <w:p w14:paraId="725852EE" w14:textId="77777777" w:rsidR="003B5B8F" w:rsidRDefault="003B5B8F" w:rsidP="00651277">
            <w:pPr>
              <w:tabs>
                <w:tab w:val="left" w:pos="540"/>
              </w:tabs>
              <w:spacing w:line="360" w:lineRule="auto"/>
              <w:rPr>
                <w:rFonts w:ascii="Helvetica Neue" w:hAnsi="Helvetica Neue"/>
              </w:rPr>
            </w:pPr>
            <w:r>
              <w:rPr>
                <w:rFonts w:ascii="Helvetica Neue" w:hAnsi="Helvetica Neue"/>
              </w:rPr>
              <w:t>15%</w:t>
            </w:r>
          </w:p>
        </w:tc>
      </w:tr>
      <w:tr w:rsidR="003B5B8F" w14:paraId="2A9CE1D0" w14:textId="77777777" w:rsidTr="003B5B8F">
        <w:tc>
          <w:tcPr>
            <w:tcW w:w="1563" w:type="dxa"/>
          </w:tcPr>
          <w:p w14:paraId="5D268432" w14:textId="77777777" w:rsidR="003B5B8F" w:rsidRPr="00E34A42" w:rsidRDefault="003B5B8F" w:rsidP="00651277">
            <w:pPr>
              <w:tabs>
                <w:tab w:val="left" w:pos="540"/>
              </w:tabs>
              <w:spacing w:line="360" w:lineRule="auto"/>
              <w:rPr>
                <w:rFonts w:ascii="Helvetica Neue" w:hAnsi="Helvetica Neue"/>
              </w:rPr>
            </w:pPr>
            <w:r w:rsidRPr="00E34A42">
              <w:rPr>
                <w:rFonts w:ascii="Helvetica Neue" w:hAnsi="Helvetica Neue"/>
              </w:rPr>
              <w:t>Source</w:t>
            </w:r>
          </w:p>
        </w:tc>
        <w:tc>
          <w:tcPr>
            <w:tcW w:w="1596" w:type="dxa"/>
          </w:tcPr>
          <w:p w14:paraId="07409C5F" w14:textId="35665DB8" w:rsidR="003B5B8F" w:rsidRPr="00E34A42" w:rsidRDefault="003B5B8F" w:rsidP="002E5A1F">
            <w:pPr>
              <w:tabs>
                <w:tab w:val="left" w:pos="540"/>
              </w:tabs>
              <w:spacing w:line="360" w:lineRule="auto"/>
              <w:rPr>
                <w:rFonts w:ascii="Helvetica Neue" w:hAnsi="Helvetica Neue"/>
              </w:rPr>
            </w:pPr>
            <w:r>
              <w:rPr>
                <w:rFonts w:ascii="Helvetica Neue" w:hAnsi="Helvetica Neue"/>
              </w:rPr>
              <w:fldChar w:fldCharType="begin" w:fldLock="1"/>
            </w:r>
            <w:r w:rsidR="002E5A1F">
              <w:rPr>
                <w:rFonts w:ascii="Helvetica Neue" w:hAnsi="Helvetica Neue"/>
              </w:rPr>
              <w:instrText>ADDIN CSL_CITATION { "citationItems" : [ { "id" : "ITEM-1", "itemData" : { "PMID" : "25719950", "abstract" : "Data reporting sexually transmitted infection (STI) incidence rates among HIV-negative U.S. men who have sex with men (MSM) are lacking. In addition, it is difficult to analyze the effect of STI on HIV acquisition given that sexual risk behaviors confound the relationship between bacterial STIs and incident HIV. The InvolveMENt study was a longitudinal cohort of black and white HIV-negative, sexually active MSM in Atlanta who underwent routine screening for STI and HIV and completed behavioral questionnaires. Age-adjusted incidence rates were calculated for urethral and rectal Chlamydia (CT), gonorrhea (GC), and syphilis, stratified by race. Propensity-score-weighted Cox proportional hazards models were used to estimate the effect of STI on HIV incidence and calculate the population attributable fraction (PAF) for STI. We included 562 HIV-negative MSM with 843 person-years of follow-up in this analysis. High incidence rates were documented for all STIs, particularly among black MSM. Having a rectal STI was significantly associated with subsequent HIV incidence in adjusted analyses (aHR 2.7; 95% CI 1.2, 6.4) that controlled for behavioral risk factors associated with STI and HIV using propensity score weights. The PAF for rectal STI was 14.6 (95% CI 6.8, 31.4). The high incidence of STIs among Atlanta MSM and the association of rectal STI with HIV acquisition after controlling for behavioral risk underscore the importance of routine screening and treatment for STIs among sexually active MSM. Our data support targeting intensive HIV prevention interventions, such as preexposure chemoprophylaxis (PrEP), for Atlanta MSM diagnosed with rectal STIs.", "author" : [ { "dropping-particle" : "", "family" : "Kelley", "given" : "Colleen F", "non-dropping-particle" : "", "parse-names" : false, "suffix" : "" }, { "dropping-particle" : "", "family" : "Vaughan", "given" : "Adam S", "non-dropping-particle" : "", "parse-names" : false, "suffix" : "" }, { "dropping-particle" : "", "family" : "Luisi", "given" : "Nicole", "non-dropping-particle" : "", "parse-names" : false, "suffix" : "" }, { "dropping-particle" : "", "family" : "Sanchez", "given" : "Travis H", "non-dropping-particle" : "", "parse-names" : false, "suffix" : "" }, { "dropping-particle" : "", "family" : "Salazar", "given" : "Laura F", "non-dropping-particle" : "", "parse-names" : false, "suffix" : "" }, { "dropping-particle" : "", "family" : "Frew", "given" : "Paula M", "non-dropping-particle" : "", "parse-names" : false, "suffix" : "" }, { "dropping-particle" : "", "family" : "Cooper", "given" : "Hannah L F", "non-dropping-particle" : "", "parse-names" : false, "suffix" : "" }, { "dropping-particle" : "", "family" : "Diclemente", "given" : "Ralph",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"container-title" : "AIDS Res Hum Retroviruses", "id" : "ITEM-1", "issue" : "6", "issued" : { "date-parts" : [ [ "2015", "6" ] ] }, "page" : "587-92", "title" : "The effect of high rates of bacterial sexually transmitted infections on HIV incidence in a cohort of black and white men who have sex with men in Atlanta, Georgia.", "type" : "article-journal", "volume" : "31" }, "uris" : [ "http://www.mendeley.com/documents/?uuid=9a4d96f1-ac24-4340-b64e-7e2df162dc60" ] }, { "id" : "ITEM-2", "itemData" : { "author" : [ { "dropping-particle" : "", "family" : "Stenger", "given" : "Mark R.", "non-dropping-particle" : "", "parse-names" : false, "suffix" : "" }, { "dropping-particle" : "", "family" : "Pathela", "given" : "Preeti", "non-dropping-particle" : "", "parse-names" : false, "suffix" : "" }, { "dropping-particle" : "", "family" : "Anschuetz", "given" : "Greta", "non-dropping-particle" : "", "parse-names" : false, "suffix" : "" }, { "dropping-particle" : "", "family" : "Bauer", "given" : "Heidi", "non-dropping-particle" : "", "parse-names" : false, "suffix" : "" }, { "dropping-particle" : "", "family" : "Simon", "given" : "Julieann", "non-dropping-particle" : "", "parse-names" : false, "suffix" : "" }, { "dropping-particle" : "", "family" : "Kohn", "given" : "Robert", "non-dropping-particle" : "", "parse-names" : false, "suffix" : "" }, { "dropping-particle" : "", "family" : "Schumacher", "given" : "Christina", "non-dropping-particle" : "", "parse-names" : false, "suffix" : "" }, { "dropping-particle" : "", "family" : "Torrone", "given" : "Elizabeth", "non-dropping-particle" : "", "parse-names" : false, "suffix" : "" } ], "container-title" : "Sexually Transmitted Diseases", "id" : "ITEM-2", "issue" : "7", "issued" : { "date-parts" : [ [ "2017", "7" ] ] }, "page" : "393-397", "title" : "Increases in the Rate of Neisseria gonorrhoeae Among Gay, Bisexual and Other Men Who Have Sex With Men: Findings From the Sexually Transmitted Disease Surveillance Network 2010-2015", "type" : "article-journal", "volume" : "44" }, "uris" : [ "http://www.mendeley.com/documents/?uuid=d7ae6d18-a865-3360-be34-61916fc0e824" ] } ], "mendeley" : { "formattedCitation" : "&lt;sup&gt;109,112&lt;/sup&gt;", "plainTextFormattedCitation" : "109,112", "previouslyFormattedCitation" : "&lt;sup&gt;109,112&lt;/sup&gt;" }, "properties" : { "noteIndex" : 0 }, "schema" : "https://github.com/citation-style-language/schema/raw/master/csl-citation.json" }</w:instrText>
            </w:r>
            <w:r>
              <w:rPr>
                <w:rFonts w:ascii="Helvetica Neue" w:hAnsi="Helvetica Neue"/>
              </w:rPr>
              <w:fldChar w:fldCharType="separate"/>
            </w:r>
            <w:r w:rsidR="002E5A1F" w:rsidRPr="002E5A1F">
              <w:rPr>
                <w:rFonts w:ascii="Helvetica Neue" w:hAnsi="Helvetica Neue"/>
                <w:noProof/>
                <w:vertAlign w:val="superscript"/>
              </w:rPr>
              <w:t>109,112</w:t>
            </w:r>
            <w:r>
              <w:rPr>
                <w:rFonts w:ascii="Helvetica Neue" w:hAnsi="Helvetica Neue"/>
              </w:rPr>
              <w:fldChar w:fldCharType="end"/>
            </w:r>
          </w:p>
        </w:tc>
        <w:tc>
          <w:tcPr>
            <w:tcW w:w="1595" w:type="dxa"/>
          </w:tcPr>
          <w:p w14:paraId="54BBA8A6" w14:textId="334C5424" w:rsidR="003B5B8F" w:rsidRPr="00E34A42" w:rsidRDefault="003B5B8F" w:rsidP="002E5A1F">
            <w:pPr>
              <w:tabs>
                <w:tab w:val="left" w:pos="540"/>
              </w:tabs>
              <w:spacing w:line="360" w:lineRule="auto"/>
              <w:rPr>
                <w:rFonts w:ascii="Helvetica Neue" w:hAnsi="Helvetica Neue"/>
              </w:rPr>
            </w:pPr>
            <w:r>
              <w:rPr>
                <w:rFonts w:ascii="Helvetica Neue" w:hAnsi="Helvetica Neue"/>
              </w:rPr>
              <w:fldChar w:fldCharType="begin" w:fldLock="1"/>
            </w:r>
            <w:r w:rsidR="002E5A1F">
              <w:rPr>
                <w:rFonts w:ascii="Helvetica Neue" w:hAnsi="Helvetica Neue"/>
              </w:rPr>
              <w:instrText>ADDIN CSL_CITATION { "citationItems" : [ { "id" : "ITEM-1", "itemData" : { "PMID" : "25719950", "abstract" : "Data reporting sexually transmitted infection (STI) incidence rates among HIV-negative U.S. men who have sex with men (MSM) are lacking. In addition, it is difficult to analyze the effect of STI on HIV acquisition given that sexual risk behaviors confound the relationship between bacterial STIs and incident HIV. The InvolveMENt study was a longitudinal cohort of black and white HIV-negative, sexually active MSM in Atlanta who underwent routine screening for STI and HIV and completed behavioral questionnaires. Age-adjusted incidence rates were calculated for urethral and rectal Chlamydia (CT), gonorrhea (GC), and syphilis, stratified by race. Propensity-score-weighted Cox proportional hazards models were used to estimate the effect of STI on HIV incidence and calculate the population attributable fraction (PAF) for STI. We included 562 HIV-negative MSM with 843 person-years of follow-up in this analysis. High incidence rates were documented for all STIs, particularly among black MSM. Having a rectal STI was significantly associated with subsequent HIV incidence in adjusted analyses (aHR 2.7; 95% CI 1.2, 6.4) that controlled for behavioral risk factors associated with STI and HIV using propensity score weights. The PAF for rectal STI was 14.6 (95% CI 6.8, 31.4). The high incidence of STIs among Atlanta MSM and the association of rectal STI with HIV acquisition after controlling for behavioral risk underscore the importance of routine screening and treatment for STIs among sexually active MSM. Our data support targeting intensive HIV prevention interventions, such as preexposure chemoprophylaxis (PrEP), for Atlanta MSM diagnosed with rectal STIs.", "author" : [ { "dropping-particle" : "", "family" : "Kelley", "given" : "Colleen F", "non-dropping-particle" : "", "parse-names" : false, "suffix" : "" }, { "dropping-particle" : "", "family" : "Vaughan", "given" : "Adam S", "non-dropping-particle" : "", "parse-names" : false, "suffix" : "" }, { "dropping-particle" : "", "family" : "Luisi", "given" : "Nicole", "non-dropping-particle" : "", "parse-names" : false, "suffix" : "" }, { "dropping-particle" : "", "family" : "Sanchez", "given" : "Travis H", "non-dropping-particle" : "", "parse-names" : false, "suffix" : "" }, { "dropping-particle" : "", "family" : "Salazar", "given" : "Laura F", "non-dropping-particle" : "", "parse-names" : false, "suffix" : "" }, { "dropping-particle" : "", "family" : "Frew", "given" : "Paula M", "non-dropping-particle" : "", "parse-names" : false, "suffix" : "" }, { "dropping-particle" : "", "family" : "Cooper", "given" : "Hannah L F", "non-dropping-particle" : "", "parse-names" : false, "suffix" : "" }, { "dropping-particle" : "", "family" : "Diclemente", "given" : "Ralph", "non-dropping-particle" : "", "parse-names" : false, "suffix" : "" }, { "dropping-particle" : "", "family" : "Rio", "given" : "Carlos", "non-dropping-particle" : "del", "parse-names" : false, "suffix" : "" }, { "dropping-particle" : "", "family" : "Sullivan", "given" : "Patrick S", "non-dropping-particle" : "", "parse-names" : false, "suffix" : "" }, { "dropping-particle" : "", "family" : "Rosenberg", "given" : "Eli S", "non-dropping-particle" : "", "parse-names" : false, "suffix" : "" } ], "container-title" : "AIDS Res Hum Retroviruses", "id" : "ITEM-1", "issue" : "6", "issued" : { "date-parts" : [ [ "2015", "6" ] ] }, "page" : "587-92", "title" : "The effect of high rates of bacterial sexually transmitted infections on HIV incidence in a cohort of black and white men who have sex with men in Atlanta, Georgia.", "type" : "article-journal", "volume" : "31" }, "uris" : [ "http://www.mendeley.com/documents/?uuid=9a4d96f1-ac24-4340-b64e-7e2df162dc60" ] } ], "mendeley" : { "formattedCitation" : "&lt;sup&gt;109&lt;/sup&gt;", "plainTextFormattedCitation" : "109", "previouslyFormattedCitation" : "&lt;sup&gt;109&lt;/sup&gt;" }, "properties" : { "noteIndex" : 0 }, "schema" : "https://github.com/citation-style-language/schema/raw/master/csl-citation.json" }</w:instrText>
            </w:r>
            <w:r>
              <w:rPr>
                <w:rFonts w:ascii="Helvetica Neue" w:hAnsi="Helvetica Neue"/>
              </w:rPr>
              <w:fldChar w:fldCharType="separate"/>
            </w:r>
            <w:r w:rsidR="002E5A1F" w:rsidRPr="002E5A1F">
              <w:rPr>
                <w:rFonts w:ascii="Helvetica Neue" w:hAnsi="Helvetica Neue"/>
                <w:noProof/>
                <w:vertAlign w:val="superscript"/>
              </w:rPr>
              <w:t>109</w:t>
            </w:r>
            <w:r>
              <w:rPr>
                <w:rFonts w:ascii="Helvetica Neue" w:hAnsi="Helvetica Neue"/>
              </w:rPr>
              <w:fldChar w:fldCharType="end"/>
            </w:r>
          </w:p>
        </w:tc>
        <w:tc>
          <w:tcPr>
            <w:tcW w:w="1401" w:type="dxa"/>
          </w:tcPr>
          <w:p w14:paraId="7E8AB709" w14:textId="1523E687" w:rsidR="003B5B8F" w:rsidRPr="00E34A42" w:rsidRDefault="003B5B8F" w:rsidP="002E5A1F">
            <w:pPr>
              <w:tabs>
                <w:tab w:val="left" w:pos="540"/>
              </w:tabs>
              <w:spacing w:line="360" w:lineRule="auto"/>
              <w:rPr>
                <w:rFonts w:ascii="Helvetica Neue" w:hAnsi="Helvetica Neue"/>
              </w:rPr>
            </w:pPr>
            <w:r>
              <w:rPr>
                <w:rFonts w:ascii="Helvetica Neue" w:hAnsi="Helvetica Neue"/>
              </w:rPr>
              <w:fldChar w:fldCharType="begin" w:fldLock="1"/>
            </w:r>
            <w:r w:rsidR="002E5A1F">
              <w:rPr>
                <w:rFonts w:ascii="Helvetica Neue" w:hAnsi="Helvetica Neue"/>
              </w:rPr>
              <w:instrText>ADDIN CSL_CITATION { "citationItems" : [ { "id" : "ITEM-1", "itemData" : { "DOI" : "10.2196/publichealth.5684", "ISSN" : "2369-2960", "PMID" : "27244769", "abstract" : "BACKGROUND In the United States, men who have sex with men (MSM) increasingly represent the majority of people living with and acquiring human immunodeficiency virus (HIV) infection. Local and federal surveillance programs estimate the number of persons living with an HIV diagnosis, persons living with HIV infection, and new diagnoses. Given the absence of population-based estimates of the number of MSM for US states, metropolitan statistical areas (MSAs), or counties, it is not possible to accurately estimate rates using these indicators at these levels, inhibiting the ability to understand HIV burden and to direct prevention efforts. OBJECTIVE To synthesize recently published estimates of MSM population size with publicly available HIV surveillance data, in order to estimate the prevalence of HIV diagnosis and infection and the rate of new diagnoses, at the national, state, MSA, and county levels. METHODS The number of MSM living with HIV infection in 2012 (prevalence), living with an HIV diagnosis in 2012 (diagnosed prevalence), and newly diagnosed with HIV infection in 2013 (new diagnosis), at state, MSA, and county levels, were obtained from publicly available data from AIDSVu.org and the US Centers for Disease Control and Prevention. The estimated number of MSM living in every US county was calculated using recently published methodology that utilized data from the National Health and Nutrition Examination Survey and American Community Survey. Estimated county-level MSM counts were aggregated to form MSA- and state-level totals. From this, we estimated HIV prevalence, diagnosed prevalence, and new diagnosis rates. RESULTS The estimated HIV prevalence among MSM in the United States in 2012 was 15.0% (666,900/4,452,772), the diagnosed HIV prevalence in 2012 was 11.1% (493,453/4,452,772), and the new diagnosis rate for 2013 was 0.7 per 100 MSM. For diagnosed prevalence at the state level, 6 states had both &lt;15,000 cases and diagnosed prevalence rates of \u226515%, all in the South. Five highly populated states had \u226515,000 cases and rates between 10% and 15%. Georgia was the only state with \u226515,000 cases and \u226515% diagnosed prevalence rate. Of the 25 MSAs with the highest diagnosed prevalence rates in the United States, 21 were in the South and 6 had diagnosed prevalence of \u226525%. County-level data showed high diagnosed prevalence rates in both urban and rural counties of the South. CONCLUSIONS HIV infection is hyperendemic among MSM in many areas of the Uni\u2026", "author" : [ { "dropping-particle" : "", "family" : "Rosenberg", "given" : "Eli Samuel", "non-dropping-particle" : "", "parse-names" : false, "suffix" : "" }, { "dropping-particle" : "", "family" : "Grey", "given" : "Jeremy Alexander", "non-dropping-particle" : "", "parse-names" : false, "suffix" : "" }, { "dropping-particle" : "", "family" : "Sanchez", "given" : "Travis Howard", "non-dropping-particle" : "", "parse-names" : false, "suffix" : "" }, { "dropping-particle" : "", "family" : "Sullivan", "given" : "Patrick Sean", "non-dropping-particle" : "", "parse-names" : false, "suffix" : "" } ], "container-title" : "JMIR public health and surveillance", "id" : "ITEM-1", "issue" : "1", "issued" : { "date-parts" : [ [ "2016", "5", "17" ] ] }, "page" : "e22", "publisher" : "JMIR Publications Inc.", "title" : "Rates of Prevalent HIV Infection, Prevalent Diagnoses, and New Diagnoses Among Men Who Have Sex With Men in US States, Metropolitan Statistical Areas, and Counties, 2012-2013.", "type" : "article-journal", "volume" : "2" }, "uris" : [ "http://www.mendeley.com/documents/?uuid=a7682f51-17cb-399a-952c-2a3b32233767" ] } ], "mendeley" : { "formattedCitation" : "&lt;sup&gt;108&lt;/sup&gt;", "plainTextFormattedCitation" : "108", "previouslyFormattedCitation" : "&lt;sup&gt;108&lt;/sup&gt;" }, "properties" : { "noteIndex" : 0 }, "schema" : "https://github.com/citation-style-language/schema/raw/master/csl-citation.json" }</w:instrText>
            </w:r>
            <w:r>
              <w:rPr>
                <w:rFonts w:ascii="Helvetica Neue" w:hAnsi="Helvetica Neue"/>
              </w:rPr>
              <w:fldChar w:fldCharType="separate"/>
            </w:r>
            <w:r w:rsidR="002E5A1F" w:rsidRPr="002E5A1F">
              <w:rPr>
                <w:rFonts w:ascii="Helvetica Neue" w:hAnsi="Helvetica Neue"/>
                <w:noProof/>
                <w:vertAlign w:val="superscript"/>
              </w:rPr>
              <w:t>108</w:t>
            </w:r>
            <w:r>
              <w:rPr>
                <w:rFonts w:ascii="Helvetica Neue" w:hAnsi="Helvetica Neue"/>
              </w:rPr>
              <w:fldChar w:fldCharType="end"/>
            </w:r>
          </w:p>
        </w:tc>
      </w:tr>
    </w:tbl>
    <w:p w14:paraId="0F899267" w14:textId="77777777" w:rsidR="003B5B8F" w:rsidRDefault="003B5B8F" w:rsidP="007751E4">
      <w:pPr>
        <w:tabs>
          <w:tab w:val="left" w:pos="540"/>
        </w:tabs>
        <w:spacing w:before="120" w:line="360" w:lineRule="auto"/>
        <w:rPr>
          <w:rFonts w:ascii="Helvetica Neue" w:hAnsi="Helvetica Neue"/>
        </w:rPr>
      </w:pPr>
    </w:p>
    <w:p w14:paraId="7E1274C0" w14:textId="0FE1467A" w:rsidR="007751E4" w:rsidRPr="0024409C" w:rsidRDefault="007751E4" w:rsidP="007751E4">
      <w:pPr>
        <w:tabs>
          <w:tab w:val="left" w:pos="540"/>
        </w:tabs>
        <w:spacing w:before="120" w:line="360" w:lineRule="auto"/>
        <w:rPr>
          <w:rFonts w:ascii="Helvetica Neue" w:hAnsi="Helvetica Neue"/>
        </w:rPr>
      </w:pPr>
      <w:r w:rsidRPr="0024409C">
        <w:rPr>
          <w:rFonts w:ascii="Helvetica Neue" w:hAnsi="Helvetica Neue"/>
        </w:rPr>
        <w:t>We used approximate Bayesian computation with sequential Monte Carlo sampling (ABC-SMC) methods</w:t>
      </w:r>
      <w:r w:rsidRPr="0024409C">
        <w:rPr>
          <w:rFonts w:ascii="Helvetica Neue" w:hAnsi="Helvetica Neue"/>
          <w:noProof/>
          <w:vertAlign w:val="superscript"/>
        </w:rPr>
        <w:fldChar w:fldCharType="begin" w:fldLock="1"/>
      </w:r>
      <w:r w:rsidR="002E5A1F">
        <w:rPr>
          <w:rFonts w:ascii="Helvetica Neue" w:hAnsi="Helvetica Neue"/>
          <w:noProof/>
          <w:vertAlign w:val="superscript"/>
        </w:rPr>
        <w:instrText>ADDIN CSL_CITATION { "citationItems" : [ { "id" : "ITEM-1", "itemData" : { "ISSN" : "1742-5689", "PMID" : "19205079", "abstract" : "Approximate Bayesian computation (ABC) methods can be used to evaluate posterior distributions without having to calculate likelihoods. In this paper, we discuss and apply an ABC method based on sequential Monte Carlo (SMC) to estimate parameters of dynamical models. We show that ABC SMC provides information about the inferability of parameters and model sensitivity to changes in parameters, and tends to perform better than other ABC approaches. The algorithm is applied to several well-known biological systems, for which parameters and their credible intervals are inferred. Moreover, we develop ABC SMC as a tool for model selection; given a range of different mathematical descriptions, ABC SMC is able to choose the best model using the standard Bayesian model selection apparatus.", "author" : [ { "dropping-particle" : "", "family" : "Toni", "given" : "Tina", "non-dropping-particle" : "", "parse-names" : false, "suffix" : "" }, { "dropping-particle" : "", "family" : "Welch", "given" : "David", "non-dropping-particle" : "", "parse-names" : false, "suffix" : "" }, { "dropping-particle" : "", "family" : "Strelkowa", "given" : "Natalja", "non-dropping-particle" : "", "parse-names" : false, "suffix" : "" }, { "dropping-particle" : "", "family" : "Ipsen", "given" : "Andreas", "non-dropping-particle" : "", "parse-names" : false, "suffix" : "" }, { "dropping-particle" : "", "family" : "Stumpf", "given" : "Michael P H", "non-dropping-particle" : "", "parse-names" : false, "suffix" : "" }, { "dropping-particle" : "", "family" : "Anderson", "given" : "R.M.", "non-dropping-particle" : "", "parse-names" : false, "suffix" : "" }, { "dropping-particle" : "", "family" : "May", "given" : "R.M.", "non-dropping-particle" : "", "parse-names" : false, "suffix" : "" }, { "dropping-particle" : "", "family" : "Baker", "given" : "C.", "non-dropping-particle" : "", "parse-names" : false, "suffix" : "" }, { "dropping-particle" : "", "family" : "Bocharov", "given" : "G.", "non-dropping-particle" : "", "parse-names" : false, "suffix" : "" }, { "dropping-particle" : "", "family" : "Ford", "given" : "J.", "non-dropping-particle" : "", "parse-names" : false, "suffix" : "" }, { "dropping-particle" : "", "family" : "Lumb", "given" : "P.S.J.", "non-dropping-particle" : "", "parse-names" : false, "suffix" : "" }, { "dropping-particle" : "", "family" : "Norton", "given" : "C.A.H.", "non-dropping-particle" : "", "parse-names" : false, "suffix" : "" }, { "dropping-particle" : "", "family" : "Paul", "given" : "T.", "non-dropping-particle" : "", "parse-names" : false, "suffix" : "" }, { "dropping-particle" : "", "family" : "Junt", "given" : "P.", "non-dropping-particle" : "", "parse-names" : false, "suffix" : "" }, { "dropping-particle" : "", "family" : "Krebs", "given" : "B.", "non-dropping-particle" : "", "parse-names" : false, "suffix" : "" }, { "dropping-particle" : "", "family" : "Banks", "given" : "H.", "non-dropping-particle" : "", "parse-names" : false, "suffix" : "" }, { "dropping-particle" : "", "family" : "Grove", "given" : "S.", "non-dropping-particle" : "", "parse-names" : false, "suffix" : "" }, { "dropping-particle" : "", "family" : "Hu", "given" : "S.", "non-dropping-particle" : "", "parse-names" : false, "suffix" : "" }, { "dropping-particle" : "", "family" : "Ma", "given" : "Y.", "non-dropping-particle" : "", "parse-names" : false, "suffix" : "" }, { "dropping-particle" : "", "family" : "Battogtokh", "given" : "D.", "non-dropping-particle" : "", "parse-names" : false, "suffix" : "" }, { "dropping-particle" : "", "family" : "Asch", "given" : "D.K.", "non-dropping-particle" : "", "parse-names" : false, "suffix" : "" }, { "dropping-particle" : "", "family" : "Case", "given" : "M.E.", "non-dropping-particle" : "", "parse-names" : false, "suffix" : "" }, { "dropping-particle" : "", "family" : "Arnold", "given" : "J.", "non-dropping-particle" : "", "parse-names" : false, "suffix" : "" }, { "dropping-particle" : "", "family" : "Schuttler", "given" : "H.-B.", "non-dropping-particle" : "", "parse-names" : false, "suffix" : "" }, { "dropping-particle" : "", "family" : "Beaumont", "given" : "M.A.", "non-dropping-particle" : "", "parse-names" : false, "suffix" : "" }, { "dropping-particle" : "", "family" : "Zhang", "given" : "W.", "non-dropping-particle" : "", "parse-names" : false, "suffix" : "" }, { "dropping-particle" : "", "family" : "Balding", "given" : "D.J.", "non-dropping-particle" : "", "parse-names" : false, "suffix" : "" }, { "dropping-particle" : "", "family" : "Bortz", "given" : "D.M.", "non-dropping-particle" : "", "parse-names" : false, "suffix" : "" }, { "dropping-particle" : "", "family" : "Nelson", "given" : "P.W.", "non-dropping-particle" : "", "parse-names" : false, "suffix" : "" }, { "dropping-particle" : "", "family" : "Brown", "given" : "K.S.", "non-dropping-particle" : "", "parse-names" : false, "suffix" : "" }, { "dropping-particle" : "", "family" : "Sethna", "given" : "J.P.", "non-dropping-particle" : "", "parse-names" : false, "suffix" : "" }, { "dropping-particle" : "", "family" : "Cox", "given" : "R.D.", "non-dropping-particle" : "", "parse-names" : false, "suffix" : "" }, { "dropping-particle" : "", "family" : "Hinkley", "given" : "D.V.", "non-dropping-particle" : "", "parse-names" : false, "suffix" : "" }, { "dropping-particle" : "Del", "family" : "Moral", "given" : "P.", "non-dropping-particle" : "", "parse-names" : false, "suffix" : "" }, { "dropping-particle" : "", "family" : "Doucet", "given" : "A.", "non-dropping-particle" : "", "parse-names" : false, "suffix" : "" }, { "dropping-particle" : "", "family" : "Jasra", "given" : "A.", "non-dropping-particle" : "", "parse-names" : false, "suffix" : "" }, { "dropping-particle" : "", "family" : "Elowitz", "given" : "M.B.", "non-dropping-particle" : "", "parse-names" : false, "suffix" : "" }, { "dropping-particle" : "", "family" : "Leibler", "given" : "S.", "non-dropping-particle" : "", "parse-names" : false, "suffix" : "" }, { "dropping-particle" : "", "family" : "Enright", "given" : "W.", "non-dropping-particle" : "", "parse-names" : false, "suffix" : "" }, { "dropping-particle" : "", "family" : "Hu", "given" : "M.", "non-dropping-particle" : "", "parse-names" : false, "suffix" : "" }, { "dropping-particle" : "", "family" : "Fagundes", "given" : "N.", "non-dropping-particle" : "", "parse-names" : false, "suffix" : "" }, { "dropping-particle" : "", "family" : "Ray", "given" : "N.", "non-dropping-particle" : "", "parse-names" : false, "suffix" : "" }, { "dropping-particle" : "", "family" : "Beaumont", "given" : "M.", "non-dropping-particle" : "", "parse-names" : false, "suffix" : "" }, { "dropping-particle" : "", "family" : "Neuenschwander", "given" : "S.", "non-dropping-particle" : "", "parse-names" : false, "suffix" : "" }, { "dropping-particle" : "", "family" : "Salzano", "given" : "F.M.", "non-dropping-particle" : "", "parse-names" : false, "suffix" : "" }, { "dropping-particle" : "", "family" : "Bonatto", "given" : "S.L.", "non-dropping-particle" : "", "parse-names" : false, "suffix" : "" }, { "dropping-particle" : "", "family" : "Excoffier", "given" : "L.", "non-dropping-particle" : "", "parse-names" : false, "suffix" : "" }, { "dropping-particle" : "", "family" : "Fields", "given" : "B.N.", "non-dropping-particle" : "", "parse-names" : false, "suffix" : "" }, { "dropping-particle" : "", "family" : "Knipe", "given" : "D.M.", "non-dropping-particle" : "", "parse-names" : false, "suffix" : "" }, { "dropping-particle" : "", "family" : "Howley", "given" : "P.M.", "non-dropping-particle" : "", "parse-names" : false, "suffix" : "" }, { "dropping-particle" : "", "family" : "Galassi", "given" : "M.", "non-dropping-particle" : "", "parse-names" : false, "suffix" : "" }, { "dropping-particle" : "", "family" : "Gillespie", "given" : "D.", "non-dropping-particle" : "", "parse-names" : false, "suffix" : "" }, { "dropping-particle" : "", "family" : "Golightly", "given" : "A.", "non-dropping-particle" : "", "parse-names" : false, "suffix" : "" }, { "dropping-particle" : "", "family" : "Wilkinson", "given" : "D.", "non-dropping-particle" : "", "parse-names" : false, "suffix" : "" }, { "dropping-particle" : "", "family" : "Golightly", "given" : "A.", "non-dropping-particle" : "", "parse-names" : false, "suffix" : "" }, { "dropping-particle" : "", "family" : "Wilkinson", "given" : "D.", "non-dropping-particle" : "", "parse-names" : false, "suffix" : "" }, { "dropping-particle" : "", "family" : "Gutenkunst", "given" : "R.", "non-dropping-particle" : "", "parse-names" : false, "suffix" : "" }, { "dropping-particle" : "", "family" : "Waterfall", "given" : "J.", "non-dropping-particle" : "", "parse-names" : false, "suffix" : "" }, { "dropping-particle" : "", "family" : "Casey", "given" : "F.", "non-dropping-particle" : "", "parse-names" : false, "suffix" : "" }, { "dropping-particle" : "", "family" : "Brown", "given" : "K.", "non-dropping-particle" : "", "parse-names" : false, "suffix" : "" }, { "dropping-particle" : "", "family" : "Myers", "given" : "C.", "non-dropping-particle" : "", "parse-names" : false, "suffix" : "" }, { "dropping-particle" : "", "family" : "Sethna", "given" : "J.", "non-dropping-particle" : "", "parse-names" : false, "suffix" : "" }, { "dropping-particle" : "", "family" : "Hammond", "given" : "B.J.", "non-dropping-particle" : "", "parse-names" : false, "suffix" : "" }, { "dropping-particle" : "", "family" : "Tyrrell", "given" : "D.A.", "non-dropping-particle" : "", "parse-names" : false, "suffix" : "" }, { "dropping-particle" : "", "family" : "Hoeting", "given" : "J.", "non-dropping-particle" : "", "parse-names" : false, "suffix" : "" }, { "dropping-particle" : "", "family" : "Madigan", "given" : "D.", "non-dropping-particle" : "", "parse-names" : false, "suffix" : "" }, { "dropping-particle" : "", "family" : "Raftery", "given" : "A.", "non-dropping-particle" : "", "parse-names" : false, "suffix" : "" }, { "dropping-particle" : "", "family" : "Volinsky", "given" : "C.", "non-dropping-particle" : "", "parse-names" : false, "suffix" : "" }, { "dropping-particle" : "", "family" : "Horbelt", "given" : "W.", "non-dropping-particle" : "", "parse-names" : false, "suffix" : "" }, { "dropping-particle" : "", "family" : "Timmer", "given" : "J.", "non-dropping-particle" : "", "parse-names" : false, "suffix" : "" }, { "dropping-particle" : "", "family" : "Voss", "given" : "H.", "non-dropping-particle" : "", "parse-names" : false, "suffix" : "" }, { "dropping-particle" : "", "family" : "Huang", "given" : "Y.", "non-dropping-particle" : "", "parse-names" : false, "suffix" : "" }, { "dropping-particle" : "", "family" : "Liu", "given" : "D.", "non-dropping-particle" : "", "parse-names" : false, "suffix" : "" }, { "dropping-particle" : "", "family" : "Wu", "given" : "H.", "non-dropping-particle" : "", "parse-names" : false, "suffix" : "" }, { "dropping-particle" : "", "family" : "Johannes", "given" : "M.", "non-dropping-particle" : "", "parse-names" : false, "suffix" : "" }, { "dropping-particle" : "", "family" : "Polson", "given" : "N.", "non-dropping-particle" : "", "parse-names" : false, "suffix" : "" }, { "dropping-particle" : "", "family" : "Kass", "given" : "R.", "non-dropping-particle" : "", "parse-names" : false, "suffix" : "" }, { "dropping-particle" : "", "family" : "Raftery", "given" : "A.", "non-dropping-particle" : "", "parse-names" : false, "suffix" : "" }, { "dropping-particle" : "", "family" : "Kirkpatrick", "given" : "S.", "non-dropping-particle" : "", "parse-names" : false, "suffix" : "" }, { "dropping-particle" : "", "family" : "Gelatt", "given" : "C.", "non-dropping-particle" : "", "parse-names" : false, "suffix" : "" }, { "dropping-particle" : "", "family" : "Vecchi", "given" : "M.", "non-dropping-particle" : "", "parse-names" : false, "suffix" : "" }, { "dropping-particle" : "", "family" : "Liu", "given" : "J.S.", "non-dropping-particle" : "", "parse-names" : false, "suffix" : "" }, { "dropping-particle" : "", "family" : "Liu", "given" : "J.S.", "non-dropping-particle" : "", "parse-names" : false, "suffix" : "" }, { "dropping-particle" : "", "family" : "Chen", "given" : "R.", "non-dropping-particle" : "", "parse-names" : false, "suffix" : "" }, { "dropping-particle" : "", "family" : "Lotka", "given" : "A.J.", "non-dropping-particle" : "", "parse-names" : false, "suffix" : "" }, { "dropping-particle" : "", "family" : "Marjoram", "given" : "P.", "non-dropping-particle" : "", "parse-names" : false, "suffix" : "" }, { "dropping-particle" : "", "family" : "Molitor", "given" : "J.", "non-dropping-particle" : "", "parse-names" : false, "suffix" : "" }, { "dropping-particle" : "", "family" : "Plagnol", "given" : "V.", "non-dropping-particle" : "", "parse-names" : false, "suffix" : "" }, { "dropping-particle" : "", "family" : "Tavare", "given" : "S.", "non-dropping-particle" : "", "parse-names" : false, "suffix" : "" }, { "dropping-particle" : "", "family" : "Mendes", "given" : "P.", "non-dropping-particle" : "", "parse-names" : false, "suffix" : "" }, { "dropping-particle" : "", "family" : "Kell", "given" : "D.", "non-dropping-particle" : "", "parse-names" : false, "suffix" : "" }, { "dropping-particle" : "", "family" : "Moles", "given" : "C.", "non-dropping-particle" : "", "parse-names" : false, "suffix" : "" }, { "dropping-particle" : "", "family" : "Mendes", "given" : "P.", "non-dropping-particle" : "", "parse-names" : false, "suffix" : "" }, { "dropping-particle" : "", "family" : "Banga", "given" : "J.", "non-dropping-particle" : "", "parse-names" : false, "suffix" : "" }, { "dropping-particle" : "", "family" : "Muller", "given" : "T.G.", "non-dropping-particle" : "", "parse-names" : false, "suffix" : "" }, { "dropping-particle" : "", "family" : "Faller", "given" : "D.", "non-dropping-particle" : "", "parse-names" : false, "suffix" : "" }, { "dropping-particle" : "", "family" : "Timmer", "given" : "J.", "non-dropping-particle" : "", "parse-names" : false, "suffix" : "" }, { "dropping-particle" : "", "family" : "Swameye", "given" : "I.", "non-dropping-particle" : "", "parse-names" : false, "suffix" : "" }, { "dropping-particle" : "", "family" : "Sandra", "given" : "O.", "non-dropping-particle" : "", "parse-names" : false, "suffix" : "" }, { "dropping-particle" : "", "family" : "Klingm\u00fcller", "given" : "U.", "non-dropping-particle" : "", "parse-names" : false, "suffix" : "" }, { "dropping-particle" : "", "family" : "Paul", "given" : "C.", "non-dropping-particle" : "", "parse-names" : false, "suffix" : "" }, { "dropping-particle" : "", "family" : "Press", "given" : "W.H.", "non-dropping-particle" : "", "parse-names" : false, "suffix" : "" }, { "dropping-particle" : "", "family" : "Teukolsky", "given" : "S.A.", "non-dropping-particle" : "", "parse-names" : false, "suffix" : "" }, { "dropping-particle" : "", "family" : "Vetterling", "given" : "W.T.", "non-dropping-particle" : "", "parse-names" : false, "suffix" : "" }, { "dropping-particle" : "", "family" : "Flannery", "given" : "B.P.", "non-dropping-particle" : "", "parse-names" : false, "suffix" : "" }, { "dropping-particle" : "", "family" : "Pritchard", "given" : "J.", "non-dropping-particle" : "", "parse-names" : false, "suffix" : "" }, { "dropping-particle" : "", "family" : "Seielstad", "given" : "M.T.", "non-dropping-particle" : "", "parse-names" : false, "suffix" : "" }, { "dropping-particle" : "", "family" : "Perez-Lezaun", "given" : "A.", "non-dropping-particle" : "", "parse-names" : false, "suffix" : "" }, { "dropping-particle" : "", "family" : "Feldman", "given" : "M.W.", "non-dropping-particle" : "", "parse-names" : false, "suffix" : "" }, { "dropping-particle" : "", "family" : "Putter", "given" : "H.", "non-dropping-particle" : "", "parse-names" : false, "suffix" : "" }, { "dropping-particle" : "", "family" : "Heisterkamp", "given" : "S.H.", "non-dropping-particle" : "", "parse-names" : false, "suffix" : "" }, { "dropping-particle" : "", "family" : "Lange", "given" : "J.M.A.", "non-dropping-particle" : "", "parse-names" : false, "suffix" : "" }, { "dropping-particle" : "de", "family" : "Wolf", "given" : "F.", "non-dropping-particle" : "", "parse-names" : false, "suffix" : "" }, { "dropping-particle" : "", "family" : "Reinker", "given" : "S.", "non-dropping-particle" : "", "parse-names" : false, "suffix" : "" }, { "dropping-particle" : "", "family" : "Altman", "given" : "R.", "non-dropping-particle" : "", "parse-names" : false, "suffix" : "" }, { "dropping-particle" : "", "family" : "Timmer", "given" : "J.", "non-dropping-particle" : "", "parse-names" : false, "suffix" : "" }, { "dropping-particle" : "", "family" : "Robert", "given" : "C.P.", "non-dropping-particle" : "", "parse-names" : false, "suffix" : "" }, { "dropping-particle" : "", "family" : "Casella", "given" : "G.", "non-dropping-particle" : "", "parse-names" : false, "suffix" : "" }, { "dropping-particle" : "", "family" : "Saltelli", "given" : "A.", "non-dropping-particle" : "", "parse-names" : false, "suffix" : "" }, { "dropping-particle" : "", "family" : "Ratto", "given" : "M.", "non-dropping-particle" : "", "parse-names" : false, "suffix" : "" }, { "dropping-particle" : "", "family" : "Andres", "given" : "T.", "non-dropping-particle" : "", "parse-names" : false, "suffix" : "" }, { "dropping-particle" : "", "family" : "Campolongo", "given" : "F.", "non-dropping-particle" : "", "parse-names" : false, "suffix" : "" }, { "dropping-particle" : "", "family" : "Cariboni", "given" : "J.", "non-dropping-particle" : "", "parse-names" : false, "suffix" : "" }, { "dropping-particle" : "", "family" : "Gatelli", "given" : "D.", "non-dropping-particle" : "", "parse-names" : false, "suffix" : "" }, { "dropping-particle" : "", "family" : "Saisana", "given" : "M.", "non-dropping-particle" : "", "parse-names" : false, "suffix" : "" }, { "dropping-particle" : "", "family" : "Tarantola", "given" : "S.", "non-dropping-particle" : "", "parse-names" : false, "suffix" : "" }, { "dropping-particle" : "", "family" : "Sanchez", "given" : "M.", "non-dropping-particle" : "", "parse-names" : false, "suffix" : "" }, { "dropping-particle" : "", "family" : "Blower", "given" : "S.", "non-dropping-particle" : "", "parse-names" : false, "suffix" : "" }, { "dropping-particle" : "", "family" : "Shibli", "given" : "M.", "non-dropping-particle" : "", "parse-names" : false, "suffix" : "" }, { "dropping-particle" : "", "family" : "Gooch", "given" : "S.", "non-dropping-particle" : "", "parse-names" : false, "suffix" : "" }, { "dropping-particle" : "", "family" : "Lewis", "given" : "H.E.", "non-dropping-particle" : "", "parse-names" : false, "suffix" : "" }, { "dropping-particle" : "", "family" : "Tyrrell", "given" : "D.A.", "non-dropping-particle" : "", "parse-names" : false, "suffix" : "" }, { "dropping-particle" : "", "family" : "Sisson", "given" : "S.A.", "non-dropping-particle" : "", "parse-names" : false, "suffix" : "" }, { "dropping-particle" : "", "family" : "Fan", "given" : "Y.", "non-dropping-particle" : "", "parse-names" : false, "suffix" : "" }, { "dropping-particle" : "", "family" : "Tanaka", "given" : "M.M.", "non-dropping-particle" : "", "parse-names" : false, "suffix" : "" }, { "dropping-particle" : "", "family" : "Stumpf", "given" : "M.", "non-dropping-particle" : "", "parse-names" : false, "suffix" : "" }, { "dropping-particle" : "", "family" : "Thorne", "given" : "T.", "non-dropping-particle" : "", "parse-names" : false, "suffix" : "" }, { "dropping-particle" : "", "family" : "Timmer", "given" : "J.", "non-dropping-particle" : "", "parse-names" : false, "suffix" : "" }, { "dropping-particle" : "", "family" : "Muller", "given" : "T.", "non-dropping-particle" : "", "parse-names" : false, "suffix" : "" }, { "dropping-particle" : "van", "family" : "Kampen", "given" : "N.G.", "non-dropping-particle" : "", "parse-names" : false, "suffix" : "" }, { "dropping-particle" : "", "family" : "Volterra", "given" : "V.", "non-dropping-particle" : "", "parse-names" : false, "suffix" : "" }, { "dropping-particle" : "", "family" : "Vyshemirsky", "given" : "V.", "non-dropping-particle" : "", "parse-names" : false, "suffix" : "" }, { "dropping-particle" : "", "family" : "Girolami", "given" : "M.A.", "non-dropping-particle" : "", "parse-names" : false, "suffix" : "" }, { "dropping-particle" : "", "family" : "Wilkinson", "given" : "D.J.", "non-dropping-particle" : "", "parse-names" : false, "suffix" : "" } ], "container-title" : "J R Soc Interface", "id" : "ITEM-1", "issue" : "31", "issued" : { "date-parts" : [ [ "2009", "2", "6" ] ] }, "page" : "187-202", "publisher" : "The Royal Society", "title" : "Approximate Bayesian computation scheme for parameter inference and model selection in dynamical systems.", "type" : "article-journal", "volume" : "6" }, "uris" : [ "http://www.mendeley.com/documents/?uuid=3a1b00d9-c57c-4a17-8f2b-1e3f0f446b16" ] }, { "id" : "ITEM-2", "itemData" : { "ISSN" : "1549-1676", "PMID" : "25781323", "abstract" : "BACKGROUND The infectivity of the HIV-1 acute phase has been directly measured only once, from a retrospectively identified cohort of serodiscordant heterosexual couples in Rakai, Uganda. Analyses of this cohort underlie the widespread view that the acute phase is highly infectious, even more so than would be predicted from its elevated viral load, and that transmission occurring shortly after infection may therefore compromise interventions that rely on diagnosis and treatment, such as antiretroviral treatment as prevention (TasP). Here, we re-estimate the duration and relative infectivity of the acute phase, while accounting for several possible sources of bias in published estimates, including the retrospective cohort exclusion criteria and unmeasured heterogeneity in risk. METHODS AND FINDINGS We estimated acute phase infectivity using two approaches. First, we combined viral load trajectories and viral load-infectivity relationships to estimate infectivity trajectories over the course of infection, under the assumption that elevated acute phase infectivity is caused by elevated viral load alone. Second, we estimated the relative hazard of transmission during the acute phase versus the chronic phase (RHacute) and the acute phase duration (dacute) by fitting a couples transmission model to the Rakai retrospective cohort using approximate Bayesian computation. Our model fit the data well and accounted for characteristics overlooked by previous analyses, including individual heterogeneity in infectiousness and susceptibility and the retrospective cohort's exclusion of couples that were recorded as serodiscordant only once before being censored by loss to follow-up, couple dissolution, or study termination. Finally, we replicated two highly cited analyses of the Rakai data on simulated data to identify biases underlying the discrepancies between previous estimates and our own. From the Rakai data, we estimated RHacute = 5.3 (95% credibility interval [95% CrI]: 0.79-57) and dacute = 1.7 mo (95% CrI: 0.55-6.8). The wide credibility intervals reflect an inability to distinguish a long, mildly infectious acute phase from a short, highly infectious acute phase, given the 10-mo Rakai observation intervals. The total additional risk, measured as excess hazard-months attributable to the acute phase (EHMacute) can be estimated more precisely: EHMacute = (RHacute - 1) \u00d7 dacute, and should be interpreted with respect to the 120 hazard-months generated by a constan\u2026", "author" : [ { "dropping-particle" : "", "family" : "Bellan", "given" : "Steve E", "non-dropping-particle" : "", "parse-names" : false, "suffix" : "" }, { "dropping-particle" : "", "family" : "Dushoff", "given" : "Jonathan", "non-dropping-particle" : "", "parse-names" : false, "suffix" : "" }, { "dropping-particle" : "", "family" : "Galvani", "given" : "Alison P", "non-dropping-particle" : "", "parse-names" : false, "suffix" : "" }, { "dropping-particle" : "", "family" : "Meyers", "given" : "Lauren Ancel", "non-dropping-particle" : "", "parse-names" : false, "suffix" : "" } ], "container-title" : "PLoS Med", "id" : "ITEM-2", "issue" : "3", "issued" : { "date-parts" : [ [ "2015", "3" ] ] }, "page" : "e1001801", "publisher" : "Public Library of Science", "title" : "Reassessment of HIV-1 acute phase infectivity: accounting for heterogeneity and study design with simulated cohorts.", "type" : "article-journal", "volume" : "12" }, "uris" : [ "http://www.mendeley.com/documents/?uuid=07d7ba7b-f707-4b10-b472-dca85b2c13b1", "http://www.mendeley.com/documents/?uuid=49a16f54-7fd0-319d-b2f8-7fa27c3a65f4" ] } ], "mendeley" : { "formattedCitation" : "&lt;sup&gt;32,113&lt;/sup&gt;", "plainTextFormattedCitation" : "32,113", "previouslyFormattedCitation" : "&lt;sup&gt;32,113&lt;/sup&gt;" }, "properties" : { "noteIndex" : 0 }, "schema" : "https://github.com/citation-style-language/schema/raw/master/csl-citation.json" }</w:instrText>
      </w:r>
      <w:r w:rsidRPr="0024409C">
        <w:rPr>
          <w:rFonts w:ascii="Helvetica Neue" w:hAnsi="Helvetica Neue"/>
          <w:noProof/>
          <w:vertAlign w:val="superscript"/>
        </w:rPr>
        <w:fldChar w:fldCharType="separate"/>
      </w:r>
      <w:r w:rsidR="002E5A1F" w:rsidRPr="002E5A1F">
        <w:rPr>
          <w:rFonts w:ascii="Helvetica Neue" w:hAnsi="Helvetica Neue"/>
          <w:noProof/>
          <w:vertAlign w:val="superscript"/>
        </w:rPr>
        <w:t>32,113</w:t>
      </w:r>
      <w:r w:rsidRPr="0024409C">
        <w:rPr>
          <w:rFonts w:ascii="Helvetica Neue" w:hAnsi="Helvetica Neue"/>
          <w:noProof/>
          <w:vertAlign w:val="superscript"/>
        </w:rPr>
        <w:fldChar w:fldCharType="end"/>
      </w:r>
      <w:r w:rsidRPr="0024409C">
        <w:rPr>
          <w:rFonts w:ascii="Helvetica Neue" w:hAnsi="Helvetica Neue"/>
        </w:rPr>
        <w:t xml:space="preserve"> to calibrate behavioral parameters in which there was measurement uncertainty in order to match the simulated HIV </w:t>
      </w:r>
      <w:r w:rsidR="002232EA" w:rsidRPr="0024409C">
        <w:rPr>
          <w:rFonts w:ascii="Helvetica Neue" w:hAnsi="Helvetica Neue"/>
        </w:rPr>
        <w:t xml:space="preserve">prevalence </w:t>
      </w:r>
      <w:r w:rsidRPr="0024409C">
        <w:rPr>
          <w:rFonts w:ascii="Helvetica Neue" w:hAnsi="Helvetica Neue"/>
        </w:rPr>
        <w:t xml:space="preserve">and STI incidence at the end of the burn-in simulations to the targeted HIV </w:t>
      </w:r>
      <w:r w:rsidR="002232EA" w:rsidRPr="0024409C">
        <w:rPr>
          <w:rFonts w:ascii="Helvetica Neue" w:hAnsi="Helvetica Neue"/>
        </w:rPr>
        <w:t xml:space="preserve">prevalence </w:t>
      </w:r>
      <w:r w:rsidRPr="0024409C">
        <w:rPr>
          <w:rFonts w:ascii="Helvetica Neue" w:hAnsi="Helvetica Neue"/>
        </w:rPr>
        <w:t>and STI incidence. The details of ABC depend on the specific algorithm used, but in this case, ABC-SMC proceeded as follows.</w:t>
      </w:r>
    </w:p>
    <w:p w14:paraId="2515E276" w14:textId="77777777" w:rsidR="007751E4" w:rsidRPr="0024409C" w:rsidRDefault="007751E4" w:rsidP="007751E4">
      <w:pPr>
        <w:tabs>
          <w:tab w:val="left" w:pos="540"/>
        </w:tabs>
        <w:spacing w:before="120" w:line="360" w:lineRule="auto"/>
        <w:rPr>
          <w:rFonts w:ascii="Helvetica Neue" w:hAnsi="Helvetica Neue"/>
          <w:i/>
        </w:rPr>
      </w:pPr>
      <w:r w:rsidRPr="0024409C">
        <w:rPr>
          <w:rFonts w:ascii="Helvetica Neue" w:hAnsi="Helvetica Neue"/>
        </w:rPr>
        <w:t xml:space="preserve">For each candidate parameter, </w:t>
      </w:r>
      <m:oMath>
        <m:r>
          <w:rPr>
            <w:rFonts w:ascii="Cambria Math" w:hAnsi="Cambria Math"/>
          </w:rPr>
          <m:t>θ</m:t>
        </m:r>
      </m:oMath>
      <w:r w:rsidRPr="0024409C">
        <w:rPr>
          <w:rFonts w:ascii="Helvetica Neue" w:hAnsi="Helvetica Neue"/>
        </w:rPr>
        <w:t>, to be estimated, we:</w:t>
      </w:r>
    </w:p>
    <w:p w14:paraId="539D9452" w14:textId="77777777" w:rsidR="007751E4" w:rsidRPr="0024409C" w:rsidRDefault="007751E4" w:rsidP="007751E4">
      <w:pPr>
        <w:numPr>
          <w:ilvl w:val="0"/>
          <w:numId w:val="6"/>
        </w:numPr>
        <w:tabs>
          <w:tab w:val="left" w:pos="540"/>
        </w:tabs>
        <w:spacing w:line="360" w:lineRule="auto"/>
        <w:rPr>
          <w:rFonts w:ascii="Helvetica Neue" w:hAnsi="Helvetica Neue"/>
        </w:rPr>
      </w:pPr>
      <w:r w:rsidRPr="0024409C">
        <w:rPr>
          <w:rFonts w:ascii="Helvetica Neue" w:hAnsi="Helvetica Neue"/>
        </w:rPr>
        <w:t xml:space="preserve">Sampled a candidate </w:t>
      </w:r>
      <m:oMath>
        <m:sSup>
          <m:sSupPr>
            <m:ctrlPr>
              <w:rPr>
                <w:rFonts w:ascii="Cambria Math" w:hAnsi="Cambria Math"/>
                <w:i/>
              </w:rPr>
            </m:ctrlPr>
          </m:sSupPr>
          <m:e>
            <m:r>
              <w:rPr>
                <w:rFonts w:ascii="Cambria Math" w:hAnsi="Cambria Math"/>
              </w:rPr>
              <m:t>θ</m:t>
            </m:r>
          </m:e>
          <m:sup>
            <m:r>
              <w:rPr>
                <w:rFonts w:ascii="Cambria Math" w:hAnsi="Cambria Math"/>
              </w:rPr>
              <m:t>i</m:t>
            </m:r>
          </m:sup>
        </m:sSup>
      </m:oMath>
      <w:r w:rsidRPr="0024409C">
        <w:rPr>
          <w:rFonts w:ascii="Helvetica Neue" w:hAnsi="Helvetica Neue"/>
        </w:rPr>
        <w:t xml:space="preserve"> from a prior distribution </w:t>
      </w:r>
      <m:oMath>
        <m:r>
          <w:rPr>
            <w:rFonts w:ascii="Cambria Math" w:hAnsi="Cambria Math"/>
          </w:rPr>
          <m:t>π(θ)</m:t>
        </m:r>
      </m:oMath>
    </w:p>
    <w:p w14:paraId="5F4FE441" w14:textId="77777777" w:rsidR="007751E4" w:rsidRPr="0024409C" w:rsidRDefault="007751E4" w:rsidP="007751E4">
      <w:pPr>
        <w:numPr>
          <w:ilvl w:val="0"/>
          <w:numId w:val="6"/>
        </w:numPr>
        <w:tabs>
          <w:tab w:val="left" w:pos="540"/>
        </w:tabs>
        <w:spacing w:line="360" w:lineRule="auto"/>
        <w:rPr>
          <w:rFonts w:ascii="Helvetica Neue" w:hAnsi="Helvetica Neue"/>
        </w:rPr>
      </w:pPr>
      <w:r w:rsidRPr="0024409C">
        <w:rPr>
          <w:rFonts w:ascii="Helvetica Neue" w:hAnsi="Helvetica Neue"/>
        </w:rPr>
        <w:t xml:space="preserve">Simulated the epidemic model with candidate value, </w:t>
      </w:r>
      <m:oMath>
        <m:sSup>
          <m:sSupPr>
            <m:ctrlPr>
              <w:rPr>
                <w:rFonts w:ascii="Cambria Math" w:hAnsi="Cambria Math"/>
                <w:i/>
              </w:rPr>
            </m:ctrlPr>
          </m:sSupPr>
          <m:e>
            <m:r>
              <w:rPr>
                <w:rFonts w:ascii="Cambria Math" w:hAnsi="Cambria Math"/>
              </w:rPr>
              <m:t>θ</m:t>
            </m:r>
          </m:e>
          <m:sup>
            <m:r>
              <w:rPr>
                <w:rFonts w:ascii="Cambria Math" w:hAnsi="Cambria Math"/>
              </w:rPr>
              <m:t>i</m:t>
            </m:r>
          </m:sup>
        </m:sSup>
      </m:oMath>
      <w:r w:rsidRPr="0024409C">
        <w:rPr>
          <w:rFonts w:ascii="Helvetica Neue" w:hAnsi="Helvetica Neue"/>
        </w:rPr>
        <w:t xml:space="preserve">. </w:t>
      </w:r>
    </w:p>
    <w:p w14:paraId="16F482FC" w14:textId="77777777" w:rsidR="007751E4" w:rsidRPr="0024409C" w:rsidRDefault="007751E4" w:rsidP="007751E4">
      <w:pPr>
        <w:numPr>
          <w:ilvl w:val="0"/>
          <w:numId w:val="6"/>
        </w:numPr>
        <w:tabs>
          <w:tab w:val="left" w:pos="540"/>
        </w:tabs>
        <w:spacing w:line="360" w:lineRule="auto"/>
        <w:rPr>
          <w:rFonts w:ascii="Helvetica Neue" w:hAnsi="Helvetica Neue"/>
        </w:rPr>
      </w:pPr>
      <w:r w:rsidRPr="0024409C">
        <w:rPr>
          <w:rFonts w:ascii="Helvetica Neue" w:hAnsi="Helvetica Neue"/>
        </w:rPr>
        <w:t xml:space="preserve">Tested if a distance statistic, </w:t>
      </w:r>
      <m:oMath>
        <m:r>
          <w:rPr>
            <w:rFonts w:ascii="Cambria Math" w:hAnsi="Cambria Math"/>
          </w:rPr>
          <m:t>d</m:t>
        </m:r>
      </m:oMath>
      <w:r w:rsidRPr="0024409C">
        <w:rPr>
          <w:rFonts w:ascii="Helvetica Neue" w:hAnsi="Helvetica Neue"/>
        </w:rPr>
        <w:t xml:space="preserve"> (e.g., the difference between observed HIV prevalence and model simulated prevalence) was greater than a tolerance threshold, </w:t>
      </w:r>
      <m:oMath>
        <m:r>
          <w:rPr>
            <w:rFonts w:ascii="Cambria Math" w:hAnsi="Cambria Math"/>
          </w:rPr>
          <m:t>ϵ</m:t>
        </m:r>
      </m:oMath>
      <w:r w:rsidRPr="0024409C">
        <w:rPr>
          <w:rFonts w:ascii="Helvetica Neue" w:hAnsi="Helvetica Neue"/>
        </w:rPr>
        <w:t>.</w:t>
      </w:r>
    </w:p>
    <w:p w14:paraId="3D51AA34" w14:textId="77777777" w:rsidR="007751E4" w:rsidRPr="0024409C" w:rsidRDefault="007751E4" w:rsidP="007751E4">
      <w:pPr>
        <w:numPr>
          <w:ilvl w:val="1"/>
          <w:numId w:val="6"/>
        </w:numPr>
        <w:tabs>
          <w:tab w:val="left" w:pos="540"/>
        </w:tabs>
        <w:spacing w:line="360" w:lineRule="auto"/>
        <w:rPr>
          <w:rFonts w:ascii="Helvetica Neue" w:hAnsi="Helvetica Neue"/>
        </w:rPr>
      </w:pPr>
      <w:r w:rsidRPr="0024409C">
        <w:rPr>
          <w:rFonts w:ascii="Helvetica Neue" w:hAnsi="Helvetica Neue"/>
        </w:rPr>
        <w:t xml:space="preserve">If </w:t>
      </w:r>
      <m:oMath>
        <m:r>
          <w:rPr>
            <w:rFonts w:ascii="Cambria Math" w:hAnsi="Cambria Math"/>
          </w:rPr>
          <m:t>d&gt; ϵ</m:t>
        </m:r>
      </m:oMath>
      <w:r w:rsidRPr="0024409C">
        <w:rPr>
          <w:rFonts w:ascii="Helvetica Neue" w:hAnsi="Helvetica Neue"/>
        </w:rPr>
        <w:t xml:space="preserve"> then discard</w:t>
      </w:r>
    </w:p>
    <w:p w14:paraId="00FB70A0" w14:textId="77777777" w:rsidR="007751E4" w:rsidRPr="0024409C" w:rsidRDefault="007751E4" w:rsidP="007751E4">
      <w:pPr>
        <w:numPr>
          <w:ilvl w:val="1"/>
          <w:numId w:val="6"/>
        </w:numPr>
        <w:tabs>
          <w:tab w:val="left" w:pos="540"/>
        </w:tabs>
        <w:spacing w:line="360" w:lineRule="auto"/>
        <w:rPr>
          <w:rFonts w:ascii="Helvetica Neue" w:hAnsi="Helvetica Neue"/>
        </w:rPr>
      </w:pPr>
      <w:r w:rsidRPr="0024409C">
        <w:rPr>
          <w:rFonts w:ascii="Helvetica Neue" w:hAnsi="Helvetica Neue"/>
        </w:rPr>
        <w:t xml:space="preserve">If </w:t>
      </w:r>
      <m:oMath>
        <m:r>
          <w:rPr>
            <w:rFonts w:ascii="Cambria Math" w:hAnsi="Cambria Math"/>
          </w:rPr>
          <m:t>d&lt; ϵ</m:t>
        </m:r>
      </m:oMath>
      <w:r w:rsidRPr="0024409C">
        <w:rPr>
          <w:rFonts w:ascii="Helvetica Neue" w:hAnsi="Helvetica Neue"/>
        </w:rPr>
        <w:t xml:space="preserve"> then add the candidate </w:t>
      </w:r>
      <m:oMath>
        <m:sSup>
          <m:sSupPr>
            <m:ctrlPr>
              <w:rPr>
                <w:rFonts w:ascii="Cambria Math" w:hAnsi="Cambria Math"/>
                <w:i/>
              </w:rPr>
            </m:ctrlPr>
          </m:sSupPr>
          <m:e>
            <m:r>
              <w:rPr>
                <w:rFonts w:ascii="Cambria Math" w:hAnsi="Cambria Math"/>
              </w:rPr>
              <m:t>θ</m:t>
            </m:r>
          </m:e>
          <m:sup>
            <m:r>
              <w:rPr>
                <w:rFonts w:ascii="Cambria Math" w:hAnsi="Cambria Math"/>
              </w:rPr>
              <m:t>i</m:t>
            </m:r>
          </m:sup>
        </m:sSup>
      </m:oMath>
      <w:r w:rsidRPr="0024409C">
        <w:rPr>
          <w:rFonts w:ascii="Helvetica Neue" w:hAnsi="Helvetica Neue"/>
        </w:rPr>
        <w:t xml:space="preserve"> to the posterior distribution of </w:t>
      </w:r>
      <m:oMath>
        <m:r>
          <w:rPr>
            <w:rFonts w:ascii="Cambria Math" w:hAnsi="Cambria Math"/>
          </w:rPr>
          <m:t>θ</m:t>
        </m:r>
      </m:oMath>
      <w:r w:rsidRPr="0024409C">
        <w:rPr>
          <w:rFonts w:ascii="Helvetica Neue" w:hAnsi="Helvetica Neue"/>
        </w:rPr>
        <w:t xml:space="preserve">. </w:t>
      </w:r>
    </w:p>
    <w:p w14:paraId="491C5489" w14:textId="77777777" w:rsidR="007751E4" w:rsidRPr="0024409C" w:rsidRDefault="007751E4" w:rsidP="007751E4">
      <w:pPr>
        <w:numPr>
          <w:ilvl w:val="0"/>
          <w:numId w:val="6"/>
        </w:numPr>
        <w:tabs>
          <w:tab w:val="left" w:pos="540"/>
        </w:tabs>
        <w:spacing w:line="360" w:lineRule="auto"/>
        <w:rPr>
          <w:rFonts w:ascii="Helvetica Neue" w:hAnsi="Helvetica Neue"/>
        </w:rPr>
      </w:pPr>
      <w:r w:rsidRPr="0024409C">
        <w:rPr>
          <w:rFonts w:ascii="Helvetica Neue" w:hAnsi="Helvetica Neue"/>
        </w:rPr>
        <w:t xml:space="preserve">Sample the next sequential candidate, </w:t>
      </w:r>
      <m:oMath>
        <m:sSup>
          <m:sSupPr>
            <m:ctrlPr>
              <w:rPr>
                <w:rFonts w:ascii="Cambria Math" w:hAnsi="Cambria Math"/>
                <w:i/>
              </w:rPr>
            </m:ctrlPr>
          </m:sSupPr>
          <m:e>
            <m:r>
              <w:rPr>
                <w:rFonts w:ascii="Cambria Math" w:hAnsi="Cambria Math"/>
              </w:rPr>
              <m:t>θ</m:t>
            </m:r>
          </m:e>
          <m:sup>
            <m:r>
              <w:rPr>
                <w:rFonts w:ascii="Cambria Math" w:hAnsi="Cambria Math"/>
              </w:rPr>
              <m:t>i+1</m:t>
            </m:r>
          </m:sup>
        </m:sSup>
      </m:oMath>
      <w:r w:rsidRPr="0024409C">
        <w:rPr>
          <w:rFonts w:ascii="Helvetica Neue" w:hAnsi="Helvetica Neue"/>
        </w:rPr>
        <w:t xml:space="preserve">, either independently from </w:t>
      </w:r>
      <m:oMath>
        <m:r>
          <w:rPr>
            <w:rFonts w:ascii="Cambria Math" w:hAnsi="Cambria Math"/>
          </w:rPr>
          <m:t>π(θ)</m:t>
        </m:r>
      </m:oMath>
      <w:r w:rsidRPr="0024409C">
        <w:rPr>
          <w:rFonts w:ascii="Helvetica Neue" w:hAnsi="Helvetica Neue"/>
        </w:rPr>
        <w:t xml:space="preserve"> (if 3a) or from </w:t>
      </w:r>
      <m:oMath>
        <m:sSup>
          <m:sSupPr>
            <m:ctrlPr>
              <w:rPr>
                <w:rFonts w:ascii="Cambria Math" w:hAnsi="Cambria Math"/>
                <w:i/>
              </w:rPr>
            </m:ctrlPr>
          </m:sSupPr>
          <m:e>
            <m:r>
              <w:rPr>
                <w:rFonts w:ascii="Cambria Math" w:hAnsi="Cambria Math"/>
              </w:rPr>
              <m:t>θ</m:t>
            </m:r>
          </m:e>
          <m:sup>
            <m:r>
              <w:rPr>
                <w:rFonts w:ascii="Cambria Math" w:hAnsi="Cambria Math"/>
              </w:rPr>
              <m:t>i</m:t>
            </m:r>
          </m:sup>
        </m:sSup>
      </m:oMath>
      <w:r w:rsidRPr="0024409C">
        <w:rPr>
          <w:rFonts w:ascii="Helvetica Neue" w:hAnsi="Helvetica Neue"/>
        </w:rPr>
        <w:t xml:space="preserve"> plus a perturbation kernel with a weight based on the current posterior distribution (if 3b).</w:t>
      </w:r>
    </w:p>
    <w:p w14:paraId="6982D74F" w14:textId="593DE64C" w:rsidR="00C96BB7" w:rsidRPr="0024409C" w:rsidRDefault="007751E4" w:rsidP="00C96BB7">
      <w:pPr>
        <w:tabs>
          <w:tab w:val="left" w:pos="540"/>
        </w:tabs>
        <w:spacing w:before="120" w:line="360" w:lineRule="auto"/>
        <w:rPr>
          <w:rFonts w:ascii="Helvetica Neue" w:hAnsi="Helvetica Neue"/>
        </w:rPr>
      </w:pPr>
      <w:r w:rsidRPr="0024409C">
        <w:rPr>
          <w:rFonts w:ascii="Helvetica Neue" w:hAnsi="Helvetica Neue"/>
        </w:rPr>
        <w:t xml:space="preserve">For the ABC algorithms to calibrate to the observed HIV prevalence and STI incidence, a total of 500 simulations were required for </w:t>
      </w:r>
      <w:r w:rsidR="009325BC" w:rsidRPr="0024409C">
        <w:rPr>
          <w:rFonts w:ascii="Helvetica Neue" w:hAnsi="Helvetica Neue"/>
        </w:rPr>
        <w:t>100</w:t>
      </w:r>
      <w:r w:rsidRPr="0024409C">
        <w:rPr>
          <w:rFonts w:ascii="Helvetica Neue" w:hAnsi="Helvetica Neue"/>
        </w:rPr>
        <w:t xml:space="preserve"> years of calendar time each. The posterior </w:t>
      </w:r>
      <w:r w:rsidR="00967F5B">
        <w:rPr>
          <w:rFonts w:ascii="Helvetica Neue" w:hAnsi="Helvetica Neue"/>
        </w:rPr>
        <w:t>values</w:t>
      </w:r>
      <w:r w:rsidR="00967F5B" w:rsidRPr="0024409C">
        <w:rPr>
          <w:rFonts w:ascii="Helvetica Neue" w:hAnsi="Helvetica Neue"/>
        </w:rPr>
        <w:t xml:space="preserve"> </w:t>
      </w:r>
      <w:r w:rsidRPr="0024409C">
        <w:rPr>
          <w:rFonts w:ascii="Helvetica Neue" w:hAnsi="Helvetica Neue"/>
        </w:rPr>
        <w:t>for the calibrated parameters are listed in Table S</w:t>
      </w:r>
      <w:r w:rsidR="009636C5">
        <w:rPr>
          <w:rFonts w:ascii="Helvetica Neue" w:hAnsi="Helvetica Neue"/>
        </w:rPr>
        <w:t>2</w:t>
      </w:r>
      <w:r w:rsidRPr="0024409C">
        <w:rPr>
          <w:rFonts w:ascii="Helvetica Neue" w:hAnsi="Helvetica Neue"/>
        </w:rPr>
        <w:t>. The target statistics were matched during this burn-in model</w:t>
      </w:r>
      <w:r w:rsidR="001F0271">
        <w:rPr>
          <w:rFonts w:ascii="Helvetica Neue" w:hAnsi="Helvetica Neue"/>
        </w:rPr>
        <w:t>.</w:t>
      </w:r>
    </w:p>
    <w:p w14:paraId="60FC9D64" w14:textId="68B22131" w:rsidR="000A4B30" w:rsidRPr="0024409C" w:rsidRDefault="000A4B30" w:rsidP="000A4B30">
      <w:pPr>
        <w:pStyle w:val="Heading2"/>
        <w:rPr>
          <w:rFonts w:ascii="Helvetica Neue" w:hAnsi="Helvetica Neue"/>
          <w:szCs w:val="22"/>
        </w:rPr>
      </w:pPr>
      <w:bookmarkStart w:id="57" w:name="_Toc522270438"/>
      <w:r w:rsidRPr="0024409C">
        <w:rPr>
          <w:rFonts w:ascii="Helvetica Neue" w:hAnsi="Helvetica Neue"/>
          <w:szCs w:val="22"/>
        </w:rPr>
        <w:lastRenderedPageBreak/>
        <w:t>1</w:t>
      </w:r>
      <w:r>
        <w:rPr>
          <w:rFonts w:ascii="Helvetica Neue" w:hAnsi="Helvetica Neue"/>
          <w:szCs w:val="22"/>
        </w:rPr>
        <w:t>2</w:t>
      </w:r>
      <w:r w:rsidRPr="0024409C">
        <w:rPr>
          <w:rFonts w:ascii="Helvetica Neue" w:hAnsi="Helvetica Neue"/>
          <w:szCs w:val="22"/>
        </w:rPr>
        <w:t>.</w:t>
      </w:r>
      <w:r>
        <w:rPr>
          <w:rFonts w:ascii="Helvetica Neue" w:hAnsi="Helvetica Neue"/>
          <w:szCs w:val="22"/>
        </w:rPr>
        <w:t>2</w:t>
      </w:r>
      <w:r w:rsidRPr="0024409C">
        <w:rPr>
          <w:rFonts w:ascii="Helvetica Neue" w:hAnsi="Helvetica Neue"/>
          <w:szCs w:val="22"/>
        </w:rPr>
        <w:tab/>
      </w:r>
      <w:r w:rsidRPr="0024409C">
        <w:rPr>
          <w:rFonts w:ascii="Helvetica Neue" w:hAnsi="Helvetica Neue"/>
          <w:szCs w:val="22"/>
        </w:rPr>
        <w:tab/>
      </w:r>
      <w:r w:rsidR="009145E0">
        <w:rPr>
          <w:rFonts w:ascii="Helvetica Neue" w:hAnsi="Helvetica Neue"/>
          <w:szCs w:val="22"/>
        </w:rPr>
        <w:t xml:space="preserve">Model </w:t>
      </w:r>
      <w:r>
        <w:rPr>
          <w:rFonts w:ascii="Helvetica Neue" w:hAnsi="Helvetica Neue"/>
          <w:szCs w:val="22"/>
        </w:rPr>
        <w:t>Simulations</w:t>
      </w:r>
      <w:bookmarkEnd w:id="57"/>
    </w:p>
    <w:p w14:paraId="3D6F4349" w14:textId="1252A7D9" w:rsidR="007751E4" w:rsidRDefault="007751E4" w:rsidP="007751E4">
      <w:pPr>
        <w:spacing w:line="360" w:lineRule="auto"/>
        <w:rPr>
          <w:rFonts w:ascii="Helvetica Neue" w:hAnsi="Helvetica Neue"/>
        </w:rPr>
      </w:pPr>
      <w:r w:rsidRPr="0024409C">
        <w:rPr>
          <w:rFonts w:ascii="Helvetica Neue" w:hAnsi="Helvetica Neue"/>
        </w:rPr>
        <w:t>The intervention scenarios are described fully within the main paper</w:t>
      </w:r>
      <w:r w:rsidR="00905CC2">
        <w:rPr>
          <w:rFonts w:ascii="Helvetica Neue" w:hAnsi="Helvetica Neue"/>
        </w:rPr>
        <w:t xml:space="preserve"> and in the table below (Table S</w:t>
      </w:r>
      <w:r w:rsidR="009C47F3">
        <w:rPr>
          <w:rFonts w:ascii="Helvetica Neue" w:hAnsi="Helvetica Neue"/>
        </w:rPr>
        <w:t>4</w:t>
      </w:r>
      <w:r w:rsidR="00905CC2">
        <w:rPr>
          <w:rFonts w:ascii="Helvetica Neue" w:hAnsi="Helvetica Neue"/>
        </w:rPr>
        <w:t>)</w:t>
      </w:r>
      <w:r w:rsidRPr="0024409C">
        <w:rPr>
          <w:rFonts w:ascii="Helvetica Neue" w:hAnsi="Helvetica Neue"/>
        </w:rPr>
        <w:t xml:space="preserve">. For each scenario, we simulated the model scenario </w:t>
      </w:r>
      <w:r w:rsidR="000A4B30">
        <w:rPr>
          <w:rFonts w:ascii="Helvetica Neue" w:hAnsi="Helvetica Neue"/>
        </w:rPr>
        <w:t>256</w:t>
      </w:r>
      <w:r w:rsidR="000A4B30" w:rsidRPr="0024409C">
        <w:rPr>
          <w:rFonts w:ascii="Helvetica Neue" w:hAnsi="Helvetica Neue"/>
        </w:rPr>
        <w:t xml:space="preserve"> </w:t>
      </w:r>
      <w:r w:rsidRPr="0024409C">
        <w:rPr>
          <w:rFonts w:ascii="Helvetica Neue" w:hAnsi="Helvetica Neue"/>
        </w:rPr>
        <w:t xml:space="preserve">times for 10 calendar years each. Data from each simulation were merged, and a complete </w:t>
      </w:r>
      <w:r w:rsidR="000A4B30">
        <w:rPr>
          <w:rFonts w:ascii="Helvetica Neue" w:hAnsi="Helvetica Neue"/>
        </w:rPr>
        <w:t>256</w:t>
      </w:r>
      <w:r w:rsidRPr="0024409C">
        <w:rPr>
          <w:rFonts w:ascii="Helvetica Neue" w:hAnsi="Helvetica Neue"/>
        </w:rPr>
        <w:t xml:space="preserve">-simulation data file was retained for each scenario. All burn-in and intervention simulations were conducted on the </w:t>
      </w:r>
      <w:proofErr w:type="spellStart"/>
      <w:r w:rsidRPr="0024409C">
        <w:rPr>
          <w:rFonts w:ascii="Helvetica Neue" w:hAnsi="Helvetica Neue"/>
        </w:rPr>
        <w:t>Hyak</w:t>
      </w:r>
      <w:proofErr w:type="spellEnd"/>
      <w:r w:rsidRPr="0024409C">
        <w:rPr>
          <w:rFonts w:ascii="Helvetica Neue" w:hAnsi="Helvetica Neue"/>
        </w:rPr>
        <w:t xml:space="preserve"> high-performance computing platform at the University of Washington.</w:t>
      </w:r>
    </w:p>
    <w:p w14:paraId="1C1C0A55" w14:textId="70840BEA" w:rsidR="0098174C" w:rsidRDefault="0098174C" w:rsidP="007751E4">
      <w:pPr>
        <w:spacing w:line="360" w:lineRule="auto"/>
        <w:rPr>
          <w:rFonts w:ascii="Helvetica Neue" w:hAnsi="Helvetica Neue"/>
        </w:rPr>
      </w:pPr>
    </w:p>
    <w:tbl>
      <w:tblPr>
        <w:tblStyle w:val="TableGrid"/>
        <w:tblW w:w="0" w:type="auto"/>
        <w:tblLook w:val="04A0" w:firstRow="1" w:lastRow="0" w:firstColumn="1" w:lastColumn="0" w:noHBand="0" w:noVBand="1"/>
      </w:tblPr>
      <w:tblGrid>
        <w:gridCol w:w="3082"/>
        <w:gridCol w:w="6268"/>
      </w:tblGrid>
      <w:tr w:rsidR="0098174C" w14:paraId="7258083D" w14:textId="77777777" w:rsidTr="009C263F">
        <w:tc>
          <w:tcPr>
            <w:tcW w:w="9350" w:type="dxa"/>
            <w:gridSpan w:val="2"/>
            <w:shd w:val="clear" w:color="auto" w:fill="E7E6E6" w:themeFill="background2"/>
          </w:tcPr>
          <w:p w14:paraId="1042EBAD" w14:textId="0019D9C8" w:rsidR="0098174C" w:rsidRDefault="0098174C" w:rsidP="007B5FA4">
            <w:pPr>
              <w:tabs>
                <w:tab w:val="left" w:pos="540"/>
              </w:tabs>
              <w:spacing w:line="360" w:lineRule="auto"/>
              <w:rPr>
                <w:rFonts w:ascii="Helvetica Neue" w:hAnsi="Helvetica Neue"/>
              </w:rPr>
            </w:pPr>
            <w:r>
              <w:rPr>
                <w:rFonts w:ascii="Helvetica Neue" w:hAnsi="Helvetica Neue"/>
              </w:rPr>
              <w:t>Table S</w:t>
            </w:r>
            <w:r w:rsidR="00B0424C">
              <w:rPr>
                <w:rFonts w:ascii="Helvetica Neue" w:hAnsi="Helvetica Neue"/>
              </w:rPr>
              <w:t>4</w:t>
            </w:r>
            <w:r>
              <w:rPr>
                <w:rFonts w:ascii="Helvetica Neue" w:hAnsi="Helvetica Neue"/>
              </w:rPr>
              <w:t xml:space="preserve">: </w:t>
            </w:r>
            <w:r w:rsidR="007B5FA4">
              <w:rPr>
                <w:rFonts w:ascii="Helvetica Neue" w:hAnsi="Helvetica Neue"/>
              </w:rPr>
              <w:t xml:space="preserve">Modeled </w:t>
            </w:r>
            <w:r>
              <w:rPr>
                <w:rFonts w:ascii="Helvetica Neue" w:hAnsi="Helvetica Neue"/>
              </w:rPr>
              <w:t>Scenarios</w:t>
            </w:r>
          </w:p>
        </w:tc>
      </w:tr>
      <w:tr w:rsidR="009C263F" w14:paraId="16CEA855" w14:textId="77777777" w:rsidTr="00770B45">
        <w:tc>
          <w:tcPr>
            <w:tcW w:w="3082" w:type="dxa"/>
          </w:tcPr>
          <w:p w14:paraId="4B3F08E6" w14:textId="7DFB5A65" w:rsidR="009C263F" w:rsidRPr="009C263F" w:rsidRDefault="007B5FA4" w:rsidP="00770B45">
            <w:pPr>
              <w:tabs>
                <w:tab w:val="left" w:pos="540"/>
              </w:tabs>
              <w:spacing w:line="360" w:lineRule="auto"/>
              <w:rPr>
                <w:rFonts w:ascii="Helvetica Neue" w:hAnsi="Helvetica Neue"/>
                <w:b/>
              </w:rPr>
            </w:pPr>
            <w:r>
              <w:rPr>
                <w:rFonts w:ascii="Helvetica Neue" w:hAnsi="Helvetica Neue"/>
                <w:b/>
              </w:rPr>
              <w:t>Analysis</w:t>
            </w:r>
          </w:p>
        </w:tc>
        <w:tc>
          <w:tcPr>
            <w:tcW w:w="6268" w:type="dxa"/>
          </w:tcPr>
          <w:p w14:paraId="4C4539FE" w14:textId="61597D66" w:rsidR="009C263F" w:rsidRPr="009C263F" w:rsidRDefault="009C263F" w:rsidP="00770B45">
            <w:pPr>
              <w:tabs>
                <w:tab w:val="left" w:pos="540"/>
              </w:tabs>
              <w:spacing w:line="360" w:lineRule="auto"/>
              <w:rPr>
                <w:rFonts w:ascii="Helvetica Neue" w:hAnsi="Helvetica Neue"/>
                <w:b/>
              </w:rPr>
            </w:pPr>
            <w:r w:rsidRPr="009C263F">
              <w:rPr>
                <w:rFonts w:ascii="Helvetica Neue" w:hAnsi="Helvetica Neue"/>
                <w:b/>
              </w:rPr>
              <w:t>Details</w:t>
            </w:r>
          </w:p>
        </w:tc>
      </w:tr>
      <w:tr w:rsidR="009C263F" w14:paraId="042260F9" w14:textId="77777777" w:rsidTr="00770B45">
        <w:tc>
          <w:tcPr>
            <w:tcW w:w="3082" w:type="dxa"/>
          </w:tcPr>
          <w:p w14:paraId="7514851A" w14:textId="2B102F39" w:rsidR="009C263F" w:rsidRPr="00E34A42" w:rsidRDefault="002E1354" w:rsidP="009C263F">
            <w:pPr>
              <w:tabs>
                <w:tab w:val="left" w:pos="540"/>
              </w:tabs>
              <w:spacing w:line="360" w:lineRule="auto"/>
              <w:rPr>
                <w:rFonts w:ascii="Helvetica Neue" w:hAnsi="Helvetica Neue"/>
              </w:rPr>
            </w:pPr>
            <w:r>
              <w:rPr>
                <w:rFonts w:ascii="Helvetica Neue" w:hAnsi="Helvetica Neue"/>
              </w:rPr>
              <w:t>Effect of NG/CT on HIV Acquisition</w:t>
            </w:r>
          </w:p>
        </w:tc>
        <w:tc>
          <w:tcPr>
            <w:tcW w:w="6268" w:type="dxa"/>
          </w:tcPr>
          <w:p w14:paraId="4FC239B5" w14:textId="7CB660EE" w:rsidR="0084655D" w:rsidRDefault="00F87986" w:rsidP="00F87986">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Implemented relative risks (RRs) to alter the risk of HIV acquisition risk based in the presence of NG/CT</w:t>
            </w:r>
          </w:p>
          <w:p w14:paraId="65817DA4" w14:textId="35AE36E7" w:rsidR="001D7CEB" w:rsidRPr="00450D7B" w:rsidRDefault="001D7CEB" w:rsidP="00450D7B">
            <w:pPr>
              <w:pStyle w:val="ListParagraph"/>
              <w:numPr>
                <w:ilvl w:val="1"/>
                <w:numId w:val="40"/>
              </w:numPr>
              <w:tabs>
                <w:tab w:val="left" w:pos="540"/>
              </w:tabs>
              <w:spacing w:line="360" w:lineRule="auto"/>
              <w:ind w:left="760"/>
              <w:rPr>
                <w:rFonts w:ascii="Helvetica Neue" w:hAnsi="Helvetica Neue"/>
              </w:rPr>
            </w:pPr>
            <w:r>
              <w:rPr>
                <w:rFonts w:ascii="Helvetica Neue" w:hAnsi="Helvetica Neue"/>
              </w:rPr>
              <w:t xml:space="preserve"> RRs for urethral and rectal NG/CT infection were varied independently across the following range of value: 1.0, 2.0, 3.0</w:t>
            </w:r>
          </w:p>
          <w:p w14:paraId="44B563D6" w14:textId="16CF2767" w:rsidR="00F87986" w:rsidRDefault="00F87986" w:rsidP="00F87986">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HIV transmission RR held constant at 1.3 across all scenarios</w:t>
            </w:r>
          </w:p>
          <w:p w14:paraId="5BDB011E" w14:textId="3EA3AFD4" w:rsidR="00F87986" w:rsidRDefault="001D7CEB" w:rsidP="00F87986">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 xml:space="preserve">It is unclear from the literature if infection with &gt;1 STI at a single anatomical site increases the risk of HIV </w:t>
            </w:r>
            <w:r w:rsidR="00FF2B6A">
              <w:rPr>
                <w:rFonts w:ascii="Helvetica Neue" w:hAnsi="Helvetica Neue"/>
              </w:rPr>
              <w:t>acquisition</w:t>
            </w:r>
            <w:r>
              <w:rPr>
                <w:rFonts w:ascii="Helvetica Neue" w:hAnsi="Helvetica Neue"/>
              </w:rPr>
              <w:t xml:space="preserve"> additively or multiplicatively </w:t>
            </w:r>
          </w:p>
          <w:p w14:paraId="2E9E1BC5" w14:textId="77777777" w:rsidR="001D7CEB" w:rsidRDefault="001D7CEB" w:rsidP="00450D7B">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We modeled both scenarios</w:t>
            </w:r>
          </w:p>
          <w:p w14:paraId="11C6DCBB" w14:textId="77777777" w:rsidR="001D7CEB" w:rsidRDefault="001D7CEB" w:rsidP="00450D7B">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Results in which the effects of </w:t>
            </w:r>
            <w:r w:rsidR="00A7297B">
              <w:rPr>
                <w:rFonts w:ascii="Helvetica Neue" w:hAnsi="Helvetica Neue"/>
              </w:rPr>
              <w:t>dual STI infection at a single anatomical site were additive are presented in the main paper</w:t>
            </w:r>
          </w:p>
          <w:p w14:paraId="1A20FCF8" w14:textId="77777777" w:rsidR="00A7297B" w:rsidRDefault="00A7297B" w:rsidP="00450D7B">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Results in which the effects of dual STI infection at a single anatomical site were multiplicative are presented below</w:t>
            </w:r>
          </w:p>
          <w:p w14:paraId="5D439119" w14:textId="2726FFE8" w:rsidR="00A7297B" w:rsidRPr="00C755DE" w:rsidRDefault="00A7297B" w:rsidP="00450D7B">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No meaningful differences were observed between the assumptions of additive and multiplicative effects</w:t>
            </w:r>
          </w:p>
        </w:tc>
      </w:tr>
      <w:tr w:rsidR="009C263F" w14:paraId="1EEA54C1" w14:textId="77777777" w:rsidTr="00770B45">
        <w:tc>
          <w:tcPr>
            <w:tcW w:w="3082" w:type="dxa"/>
          </w:tcPr>
          <w:p w14:paraId="2ABC01B4" w14:textId="22498494" w:rsidR="009C263F" w:rsidRPr="00E34A42" w:rsidRDefault="002E1354" w:rsidP="009C263F">
            <w:pPr>
              <w:tabs>
                <w:tab w:val="left" w:pos="540"/>
              </w:tabs>
              <w:spacing w:line="360" w:lineRule="auto"/>
              <w:rPr>
                <w:rFonts w:ascii="Helvetica Neue" w:hAnsi="Helvetica Neue"/>
              </w:rPr>
            </w:pPr>
            <w:r>
              <w:rPr>
                <w:rFonts w:ascii="Helvetica Neue" w:hAnsi="Helvetica Neue"/>
              </w:rPr>
              <w:t>Effect of NG/CT on HIV Transmission</w:t>
            </w:r>
          </w:p>
        </w:tc>
        <w:tc>
          <w:tcPr>
            <w:tcW w:w="6268" w:type="dxa"/>
          </w:tcPr>
          <w:p w14:paraId="4BBBAFB1" w14:textId="6F119CF3" w:rsidR="00FF2B6A" w:rsidRDefault="00FF2B6A" w:rsidP="00FF2B6A">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Implemented relative risks (RRs) to alter the risk of HIV transmission risk based in the presence of NG/CT</w:t>
            </w:r>
          </w:p>
          <w:p w14:paraId="7A4FE533" w14:textId="77777777" w:rsidR="00FF2B6A" w:rsidRPr="00C864F6" w:rsidRDefault="00FF2B6A" w:rsidP="00FF2B6A">
            <w:pPr>
              <w:pStyle w:val="ListParagraph"/>
              <w:numPr>
                <w:ilvl w:val="1"/>
                <w:numId w:val="40"/>
              </w:numPr>
              <w:tabs>
                <w:tab w:val="left" w:pos="540"/>
              </w:tabs>
              <w:spacing w:line="360" w:lineRule="auto"/>
              <w:ind w:left="760"/>
              <w:rPr>
                <w:rFonts w:ascii="Helvetica Neue" w:hAnsi="Helvetica Neue"/>
              </w:rPr>
            </w:pPr>
            <w:r>
              <w:rPr>
                <w:rFonts w:ascii="Helvetica Neue" w:hAnsi="Helvetica Neue"/>
              </w:rPr>
              <w:lastRenderedPageBreak/>
              <w:t xml:space="preserve"> RRs for urethral and rectal NG/CT infection were varied independently across the following range of value: 1.0, 2.0, 3.0</w:t>
            </w:r>
          </w:p>
          <w:p w14:paraId="6618D5CD" w14:textId="03339C56" w:rsidR="00FF2B6A" w:rsidRDefault="00FF2B6A" w:rsidP="00FF2B6A">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HIV acquisition RR held constant at 1.97 for rectal infections and 1.48 for urethral infections across all scenarios</w:t>
            </w:r>
          </w:p>
          <w:p w14:paraId="61CF1879" w14:textId="77777777" w:rsidR="00FF2B6A" w:rsidRDefault="00FF2B6A" w:rsidP="00FF2B6A">
            <w:pPr>
              <w:pStyle w:val="ListParagraph"/>
              <w:numPr>
                <w:ilvl w:val="0"/>
                <w:numId w:val="40"/>
              </w:numPr>
              <w:tabs>
                <w:tab w:val="left" w:pos="540"/>
              </w:tabs>
              <w:spacing w:line="360" w:lineRule="auto"/>
              <w:ind w:left="220" w:hanging="220"/>
              <w:rPr>
                <w:rFonts w:ascii="Helvetica Neue" w:hAnsi="Helvetica Neue"/>
              </w:rPr>
            </w:pPr>
            <w:r>
              <w:rPr>
                <w:rFonts w:ascii="Helvetica Neue" w:hAnsi="Helvetica Neue"/>
              </w:rPr>
              <w:t xml:space="preserve">It is unclear from the literature if infection with &gt;1 STI at a single anatomical site increases the risk of HIV transmission additively or multiplicatively </w:t>
            </w:r>
          </w:p>
          <w:p w14:paraId="60EAD596" w14:textId="77777777" w:rsidR="00FF2B6A" w:rsidRDefault="00FF2B6A" w:rsidP="00FF2B6A">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We modeled both scenarios</w:t>
            </w:r>
          </w:p>
          <w:p w14:paraId="2C10D075" w14:textId="77777777" w:rsidR="00FF2B6A" w:rsidRDefault="00FF2B6A" w:rsidP="00FF2B6A">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Results in which the effects of dual STI infection at a single anatomical site were additive are presented in the main paper</w:t>
            </w:r>
          </w:p>
          <w:p w14:paraId="1C19E0BD" w14:textId="77777777" w:rsidR="00FF2B6A" w:rsidRDefault="00FF2B6A" w:rsidP="00FF2B6A">
            <w:pPr>
              <w:pStyle w:val="ListParagraph"/>
              <w:numPr>
                <w:ilvl w:val="1"/>
                <w:numId w:val="40"/>
              </w:numPr>
              <w:tabs>
                <w:tab w:val="left" w:pos="540"/>
              </w:tabs>
              <w:spacing w:line="360" w:lineRule="auto"/>
              <w:ind w:left="580" w:hanging="180"/>
              <w:rPr>
                <w:rFonts w:ascii="Helvetica Neue" w:hAnsi="Helvetica Neue"/>
              </w:rPr>
            </w:pPr>
            <w:r>
              <w:rPr>
                <w:rFonts w:ascii="Helvetica Neue" w:hAnsi="Helvetica Neue"/>
              </w:rPr>
              <w:t xml:space="preserve"> Results in which the effects of dual STI infection at a single anatomical site were multiplicative are presented below</w:t>
            </w:r>
          </w:p>
          <w:p w14:paraId="5F7176E0" w14:textId="16FCB546" w:rsidR="00386DBF" w:rsidRPr="00C755DE" w:rsidRDefault="00FF2B6A" w:rsidP="00C755DE">
            <w:pPr>
              <w:pStyle w:val="ListParagraph"/>
              <w:numPr>
                <w:ilvl w:val="0"/>
                <w:numId w:val="40"/>
              </w:numPr>
              <w:tabs>
                <w:tab w:val="left" w:pos="540"/>
              </w:tabs>
              <w:spacing w:line="360" w:lineRule="auto"/>
              <w:rPr>
                <w:rFonts w:ascii="Helvetica Neue" w:hAnsi="Helvetica Neue"/>
              </w:rPr>
            </w:pPr>
            <w:r>
              <w:rPr>
                <w:rFonts w:ascii="Helvetica Neue" w:hAnsi="Helvetica Neue"/>
              </w:rPr>
              <w:t xml:space="preserve"> No meaningful differences were observed between the assumptions of additive and multiplicative effects</w:t>
            </w:r>
          </w:p>
        </w:tc>
      </w:tr>
    </w:tbl>
    <w:p w14:paraId="6A66A640" w14:textId="6F80D937" w:rsidR="00FD5873" w:rsidRPr="0024409C" w:rsidRDefault="00D8670D" w:rsidP="00E119FF">
      <w:pPr>
        <w:pStyle w:val="Heading1"/>
        <w:spacing w:before="300"/>
        <w:rPr>
          <w:rFonts w:ascii="Helvetica Neue" w:hAnsi="Helvetica Neue"/>
          <w:sz w:val="24"/>
        </w:rPr>
      </w:pPr>
      <w:bookmarkStart w:id="58" w:name="_Toc522270439"/>
      <w:r w:rsidRPr="0024409C">
        <w:rPr>
          <w:rFonts w:ascii="Helvetica Neue" w:hAnsi="Helvetica Neue"/>
          <w:sz w:val="24"/>
        </w:rPr>
        <w:lastRenderedPageBreak/>
        <w:t>1</w:t>
      </w:r>
      <w:r w:rsidR="00C160F7">
        <w:rPr>
          <w:rFonts w:ascii="Helvetica Neue" w:hAnsi="Helvetica Neue"/>
          <w:sz w:val="24"/>
        </w:rPr>
        <w:t>3</w:t>
      </w:r>
      <w:r w:rsidR="00FD5873" w:rsidRPr="0024409C">
        <w:rPr>
          <w:rFonts w:ascii="Helvetica Neue" w:hAnsi="Helvetica Neue"/>
          <w:sz w:val="24"/>
        </w:rPr>
        <w:tab/>
        <w:t>SUPPLEMENTAL RESULTS</w:t>
      </w:r>
      <w:bookmarkEnd w:id="58"/>
    </w:p>
    <w:p w14:paraId="768BAB29" w14:textId="1D494FD0" w:rsidR="00CB3FDA" w:rsidRDefault="00CB3FDA" w:rsidP="007751E4">
      <w:pPr>
        <w:spacing w:line="360" w:lineRule="auto"/>
        <w:rPr>
          <w:rFonts w:ascii="Helvetica Neue" w:hAnsi="Helvetica Neue"/>
          <w:sz w:val="20"/>
        </w:rPr>
      </w:pPr>
      <w:r>
        <w:rPr>
          <w:rFonts w:ascii="Helvetica Neue" w:hAnsi="Helvetica Neue"/>
          <w:sz w:val="20"/>
        </w:rPr>
        <w:t>Table S5. The effect of relative risk for HIV transmission on HIV incidence. This analysis assumes that when dual STI infection occurs at a single anatomical site that the RRs for each STI multiply.</w:t>
      </w:r>
    </w:p>
    <w:tbl>
      <w:tblPr>
        <w:tblW w:w="6822" w:type="dxa"/>
        <w:tblLayout w:type="fixed"/>
        <w:tblCellMar>
          <w:left w:w="115" w:type="dxa"/>
          <w:right w:w="115" w:type="dxa"/>
        </w:tblCellMar>
        <w:tblLook w:val="04A0" w:firstRow="1" w:lastRow="0" w:firstColumn="1" w:lastColumn="0" w:noHBand="0" w:noVBand="1"/>
      </w:tblPr>
      <w:tblGrid>
        <w:gridCol w:w="1260"/>
        <w:gridCol w:w="1681"/>
        <w:gridCol w:w="11"/>
        <w:gridCol w:w="1879"/>
        <w:gridCol w:w="11"/>
        <w:gridCol w:w="1969"/>
        <w:gridCol w:w="11"/>
      </w:tblGrid>
      <w:tr w:rsidR="00CB3FDA" w:rsidRPr="007B651F" w14:paraId="0B686BBC" w14:textId="77777777" w:rsidTr="00AE0151">
        <w:trPr>
          <w:gridAfter w:val="1"/>
          <w:wAfter w:w="11" w:type="dxa"/>
          <w:trHeight w:val="600"/>
        </w:trPr>
        <w:tc>
          <w:tcPr>
            <w:tcW w:w="2941" w:type="dxa"/>
            <w:gridSpan w:val="2"/>
            <w:tcBorders>
              <w:top w:val="single" w:sz="4" w:space="0" w:color="auto"/>
              <w:left w:val="nil"/>
              <w:bottom w:val="single" w:sz="4" w:space="0" w:color="auto"/>
              <w:right w:val="nil"/>
            </w:tcBorders>
            <w:shd w:val="clear" w:color="auto" w:fill="auto"/>
            <w:vAlign w:val="bottom"/>
            <w:hideMark/>
          </w:tcPr>
          <w:p w14:paraId="51FAACA3" w14:textId="13034601" w:rsidR="00CB3FDA" w:rsidRPr="007B651F" w:rsidRDefault="00CB3FDA" w:rsidP="00C6275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Relative Risk of HIV Transmission by STI</w:t>
            </w:r>
          </w:p>
        </w:tc>
        <w:tc>
          <w:tcPr>
            <w:tcW w:w="1890" w:type="dxa"/>
            <w:gridSpan w:val="2"/>
            <w:tcBorders>
              <w:top w:val="single" w:sz="4" w:space="0" w:color="auto"/>
              <w:left w:val="nil"/>
              <w:bottom w:val="single" w:sz="4" w:space="0" w:color="auto"/>
              <w:right w:val="nil"/>
            </w:tcBorders>
            <w:shd w:val="clear" w:color="auto" w:fill="auto"/>
            <w:noWrap/>
            <w:vAlign w:val="bottom"/>
            <w:hideMark/>
          </w:tcPr>
          <w:p w14:paraId="18BDD02B" w14:textId="77777777" w:rsidR="00CB3FDA" w:rsidRPr="007B651F" w:rsidRDefault="00CB3FDA" w:rsidP="00C6275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HIV Incidence Rate</w:t>
            </w:r>
          </w:p>
        </w:tc>
        <w:tc>
          <w:tcPr>
            <w:tcW w:w="1980" w:type="dxa"/>
            <w:gridSpan w:val="2"/>
            <w:tcBorders>
              <w:top w:val="single" w:sz="4" w:space="0" w:color="auto"/>
              <w:left w:val="nil"/>
              <w:bottom w:val="single" w:sz="4" w:space="0" w:color="auto"/>
              <w:right w:val="nil"/>
            </w:tcBorders>
            <w:shd w:val="clear" w:color="auto" w:fill="auto"/>
            <w:noWrap/>
            <w:vAlign w:val="bottom"/>
            <w:hideMark/>
          </w:tcPr>
          <w:p w14:paraId="44E7CB20" w14:textId="77777777" w:rsidR="00CB3FDA" w:rsidRPr="007B651F" w:rsidRDefault="00CB3FDA"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Population Attributable Fraction</w:t>
            </w:r>
          </w:p>
        </w:tc>
      </w:tr>
      <w:tr w:rsidR="00CB3FDA" w:rsidRPr="007B651F" w14:paraId="056C94F9" w14:textId="77777777" w:rsidTr="00AE0151">
        <w:trPr>
          <w:trHeight w:val="300"/>
        </w:trPr>
        <w:tc>
          <w:tcPr>
            <w:tcW w:w="1260" w:type="dxa"/>
            <w:tcBorders>
              <w:top w:val="single" w:sz="4" w:space="0" w:color="auto"/>
              <w:left w:val="nil"/>
              <w:bottom w:val="single" w:sz="4" w:space="0" w:color="auto"/>
              <w:right w:val="nil"/>
            </w:tcBorders>
            <w:shd w:val="clear" w:color="auto" w:fill="auto"/>
            <w:noWrap/>
            <w:vAlign w:val="bottom"/>
            <w:hideMark/>
          </w:tcPr>
          <w:p w14:paraId="3FF9CE5C" w14:textId="7FA160F0" w:rsidR="00CB3FDA" w:rsidRPr="007B651F" w:rsidRDefault="00F42918"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Gonorrhea</w:t>
            </w:r>
          </w:p>
        </w:tc>
        <w:tc>
          <w:tcPr>
            <w:tcW w:w="1692" w:type="dxa"/>
            <w:gridSpan w:val="2"/>
            <w:tcBorders>
              <w:top w:val="single" w:sz="4" w:space="0" w:color="auto"/>
              <w:left w:val="nil"/>
              <w:bottom w:val="single" w:sz="4" w:space="0" w:color="auto"/>
              <w:right w:val="nil"/>
            </w:tcBorders>
            <w:shd w:val="clear" w:color="auto" w:fill="auto"/>
            <w:noWrap/>
            <w:vAlign w:val="bottom"/>
            <w:hideMark/>
          </w:tcPr>
          <w:p w14:paraId="6D6E68B3" w14:textId="6D10C973" w:rsidR="00CB3FDA" w:rsidRPr="007B651F" w:rsidRDefault="00F42918"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Chlamydia</w:t>
            </w:r>
          </w:p>
        </w:tc>
        <w:tc>
          <w:tcPr>
            <w:tcW w:w="1890" w:type="dxa"/>
            <w:gridSpan w:val="2"/>
            <w:tcBorders>
              <w:top w:val="single" w:sz="4" w:space="0" w:color="auto"/>
              <w:left w:val="nil"/>
              <w:bottom w:val="single" w:sz="4" w:space="0" w:color="auto"/>
              <w:right w:val="nil"/>
            </w:tcBorders>
            <w:shd w:val="clear" w:color="auto" w:fill="auto"/>
            <w:noWrap/>
            <w:vAlign w:val="bottom"/>
            <w:hideMark/>
          </w:tcPr>
          <w:p w14:paraId="3FB38D98" w14:textId="77777777" w:rsidR="00CB3FDA" w:rsidRPr="007B651F" w:rsidRDefault="00CB3FDA"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Rate per 100 PYAR* (IQR)</w:t>
            </w:r>
          </w:p>
        </w:tc>
        <w:tc>
          <w:tcPr>
            <w:tcW w:w="1980" w:type="dxa"/>
            <w:gridSpan w:val="2"/>
            <w:tcBorders>
              <w:top w:val="single" w:sz="4" w:space="0" w:color="auto"/>
              <w:left w:val="nil"/>
              <w:bottom w:val="single" w:sz="4" w:space="0" w:color="auto"/>
              <w:right w:val="nil"/>
            </w:tcBorders>
            <w:shd w:val="clear" w:color="auto" w:fill="auto"/>
            <w:noWrap/>
            <w:vAlign w:val="bottom"/>
            <w:hideMark/>
          </w:tcPr>
          <w:p w14:paraId="664BCFB7" w14:textId="77777777" w:rsidR="00CB3FDA" w:rsidRPr="007B651F" w:rsidRDefault="00CB3FDA" w:rsidP="00C627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(IQR)</w:t>
            </w:r>
          </w:p>
        </w:tc>
      </w:tr>
      <w:tr w:rsidR="00204A5D" w:rsidRPr="007B651F" w14:paraId="2F02EE66" w14:textId="77777777" w:rsidTr="00AE0151">
        <w:trPr>
          <w:trHeight w:val="300"/>
        </w:trPr>
        <w:tc>
          <w:tcPr>
            <w:tcW w:w="1260" w:type="dxa"/>
            <w:tcBorders>
              <w:top w:val="single" w:sz="4" w:space="0" w:color="auto"/>
              <w:left w:val="nil"/>
              <w:bottom w:val="nil"/>
              <w:right w:val="nil"/>
            </w:tcBorders>
            <w:shd w:val="clear" w:color="000000" w:fill="D9D9D9"/>
            <w:noWrap/>
            <w:vAlign w:val="bottom"/>
            <w:hideMark/>
          </w:tcPr>
          <w:p w14:paraId="319BC0BE"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gridSpan w:val="2"/>
            <w:tcBorders>
              <w:top w:val="single" w:sz="4" w:space="0" w:color="auto"/>
              <w:left w:val="nil"/>
              <w:bottom w:val="nil"/>
              <w:right w:val="nil"/>
            </w:tcBorders>
            <w:shd w:val="clear" w:color="000000" w:fill="D9D9D9"/>
            <w:noWrap/>
            <w:vAlign w:val="bottom"/>
            <w:hideMark/>
          </w:tcPr>
          <w:p w14:paraId="3F3DF9E9"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gridSpan w:val="2"/>
            <w:tcBorders>
              <w:top w:val="single" w:sz="4" w:space="0" w:color="auto"/>
              <w:left w:val="nil"/>
              <w:bottom w:val="nil"/>
              <w:right w:val="nil"/>
            </w:tcBorders>
            <w:shd w:val="clear" w:color="000000" w:fill="D9D9D9"/>
            <w:noWrap/>
            <w:hideMark/>
          </w:tcPr>
          <w:p w14:paraId="47A94506" w14:textId="380D4121"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1.90 (1.87, 1.95)</w:t>
            </w:r>
          </w:p>
        </w:tc>
        <w:tc>
          <w:tcPr>
            <w:tcW w:w="1980" w:type="dxa"/>
            <w:gridSpan w:val="2"/>
            <w:tcBorders>
              <w:top w:val="single" w:sz="4" w:space="0" w:color="auto"/>
              <w:left w:val="nil"/>
              <w:bottom w:val="nil"/>
              <w:right w:val="nil"/>
            </w:tcBorders>
            <w:shd w:val="clear" w:color="000000" w:fill="D9D9D9"/>
            <w:noWrap/>
            <w:vAlign w:val="bottom"/>
            <w:hideMark/>
          </w:tcPr>
          <w:p w14:paraId="43C9C7CD" w14:textId="3027F902" w:rsidR="00204A5D" w:rsidRPr="00CB3FDA" w:rsidRDefault="00204A5D" w:rsidP="00204A5D">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Ref</w:t>
            </w:r>
          </w:p>
        </w:tc>
      </w:tr>
      <w:tr w:rsidR="00204A5D" w:rsidRPr="007B651F" w14:paraId="34FD2EBD" w14:textId="77777777" w:rsidTr="00AE0151">
        <w:trPr>
          <w:trHeight w:val="300"/>
        </w:trPr>
        <w:tc>
          <w:tcPr>
            <w:tcW w:w="1260" w:type="dxa"/>
            <w:tcBorders>
              <w:top w:val="nil"/>
              <w:left w:val="nil"/>
              <w:bottom w:val="nil"/>
              <w:right w:val="nil"/>
            </w:tcBorders>
            <w:shd w:val="clear" w:color="000000" w:fill="D9D9D9"/>
            <w:noWrap/>
            <w:vAlign w:val="bottom"/>
            <w:hideMark/>
          </w:tcPr>
          <w:p w14:paraId="1E807A40"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gridSpan w:val="2"/>
            <w:tcBorders>
              <w:top w:val="nil"/>
              <w:left w:val="nil"/>
              <w:bottom w:val="nil"/>
              <w:right w:val="nil"/>
            </w:tcBorders>
            <w:shd w:val="clear" w:color="000000" w:fill="D9D9D9"/>
            <w:noWrap/>
            <w:vAlign w:val="bottom"/>
            <w:hideMark/>
          </w:tcPr>
          <w:p w14:paraId="41DEAFC2"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gridSpan w:val="2"/>
            <w:tcBorders>
              <w:top w:val="nil"/>
              <w:left w:val="nil"/>
              <w:bottom w:val="nil"/>
              <w:right w:val="nil"/>
            </w:tcBorders>
            <w:shd w:val="clear" w:color="000000" w:fill="D9D9D9"/>
            <w:noWrap/>
            <w:hideMark/>
          </w:tcPr>
          <w:p w14:paraId="17097C65" w14:textId="6F886EAB"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2.02 (1.97, 2.07)</w:t>
            </w:r>
          </w:p>
        </w:tc>
        <w:tc>
          <w:tcPr>
            <w:tcW w:w="1980" w:type="dxa"/>
            <w:gridSpan w:val="2"/>
            <w:tcBorders>
              <w:top w:val="nil"/>
              <w:left w:val="nil"/>
              <w:bottom w:val="nil"/>
              <w:right w:val="nil"/>
            </w:tcBorders>
            <w:shd w:val="clear" w:color="000000" w:fill="D9D9D9"/>
            <w:noWrap/>
            <w:hideMark/>
          </w:tcPr>
          <w:p w14:paraId="61F5FD24" w14:textId="600A9499"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6.1 (3.7, 8.1)</w:t>
            </w:r>
          </w:p>
        </w:tc>
      </w:tr>
      <w:tr w:rsidR="00204A5D" w:rsidRPr="007B651F" w14:paraId="5E1E460C" w14:textId="77777777" w:rsidTr="00AE0151">
        <w:trPr>
          <w:trHeight w:val="300"/>
        </w:trPr>
        <w:tc>
          <w:tcPr>
            <w:tcW w:w="1260" w:type="dxa"/>
            <w:tcBorders>
              <w:top w:val="nil"/>
              <w:left w:val="nil"/>
              <w:bottom w:val="nil"/>
              <w:right w:val="nil"/>
            </w:tcBorders>
            <w:shd w:val="clear" w:color="000000" w:fill="D9D9D9"/>
            <w:noWrap/>
            <w:vAlign w:val="bottom"/>
            <w:hideMark/>
          </w:tcPr>
          <w:p w14:paraId="6FF6C846"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gridSpan w:val="2"/>
            <w:tcBorders>
              <w:top w:val="nil"/>
              <w:left w:val="nil"/>
              <w:bottom w:val="nil"/>
              <w:right w:val="nil"/>
            </w:tcBorders>
            <w:shd w:val="clear" w:color="000000" w:fill="D9D9D9"/>
            <w:noWrap/>
            <w:vAlign w:val="bottom"/>
            <w:hideMark/>
          </w:tcPr>
          <w:p w14:paraId="696E076F"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gridSpan w:val="2"/>
            <w:tcBorders>
              <w:top w:val="nil"/>
              <w:left w:val="nil"/>
              <w:bottom w:val="nil"/>
              <w:right w:val="nil"/>
            </w:tcBorders>
            <w:shd w:val="clear" w:color="000000" w:fill="D9D9D9"/>
            <w:noWrap/>
            <w:hideMark/>
          </w:tcPr>
          <w:p w14:paraId="3D201DA4" w14:textId="6DB9578E"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2.11 (2.05, 2.16)</w:t>
            </w:r>
          </w:p>
        </w:tc>
        <w:tc>
          <w:tcPr>
            <w:tcW w:w="1980" w:type="dxa"/>
            <w:gridSpan w:val="2"/>
            <w:tcBorders>
              <w:top w:val="nil"/>
              <w:left w:val="nil"/>
              <w:bottom w:val="nil"/>
              <w:right w:val="nil"/>
            </w:tcBorders>
            <w:shd w:val="clear" w:color="000000" w:fill="D9D9D9"/>
            <w:noWrap/>
            <w:hideMark/>
          </w:tcPr>
          <w:p w14:paraId="141E0123" w14:textId="7A60CE8E"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10.0 (7.5, 12.1)</w:t>
            </w:r>
          </w:p>
        </w:tc>
      </w:tr>
      <w:tr w:rsidR="00204A5D" w:rsidRPr="007B651F" w14:paraId="05255EC9" w14:textId="77777777" w:rsidTr="00AE0151">
        <w:trPr>
          <w:trHeight w:val="300"/>
        </w:trPr>
        <w:tc>
          <w:tcPr>
            <w:tcW w:w="1260" w:type="dxa"/>
            <w:tcBorders>
              <w:top w:val="nil"/>
              <w:left w:val="nil"/>
              <w:bottom w:val="nil"/>
              <w:right w:val="nil"/>
            </w:tcBorders>
            <w:shd w:val="clear" w:color="auto" w:fill="auto"/>
            <w:noWrap/>
            <w:vAlign w:val="bottom"/>
            <w:hideMark/>
          </w:tcPr>
          <w:p w14:paraId="4A722C40"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gridSpan w:val="2"/>
            <w:tcBorders>
              <w:top w:val="nil"/>
              <w:left w:val="nil"/>
              <w:bottom w:val="nil"/>
              <w:right w:val="nil"/>
            </w:tcBorders>
            <w:shd w:val="clear" w:color="auto" w:fill="auto"/>
            <w:noWrap/>
            <w:vAlign w:val="bottom"/>
            <w:hideMark/>
          </w:tcPr>
          <w:p w14:paraId="191870B0"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gridSpan w:val="2"/>
            <w:tcBorders>
              <w:top w:val="nil"/>
              <w:left w:val="nil"/>
              <w:bottom w:val="nil"/>
              <w:right w:val="nil"/>
            </w:tcBorders>
            <w:shd w:val="clear" w:color="auto" w:fill="auto"/>
            <w:noWrap/>
            <w:hideMark/>
          </w:tcPr>
          <w:p w14:paraId="59A7D6D2" w14:textId="6EE1140C"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1.97 (1.93, 2.01)</w:t>
            </w:r>
          </w:p>
        </w:tc>
        <w:tc>
          <w:tcPr>
            <w:tcW w:w="1980" w:type="dxa"/>
            <w:gridSpan w:val="2"/>
            <w:tcBorders>
              <w:top w:val="nil"/>
              <w:left w:val="nil"/>
              <w:bottom w:val="nil"/>
              <w:right w:val="nil"/>
            </w:tcBorders>
            <w:shd w:val="clear" w:color="auto" w:fill="auto"/>
            <w:noWrap/>
            <w:hideMark/>
          </w:tcPr>
          <w:p w14:paraId="16E909B0" w14:textId="4BCAF0F1"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3.6 (1.4, 5.4)</w:t>
            </w:r>
          </w:p>
        </w:tc>
      </w:tr>
      <w:tr w:rsidR="00204A5D" w:rsidRPr="007B651F" w14:paraId="19DCDE30" w14:textId="77777777" w:rsidTr="00AE0151">
        <w:trPr>
          <w:trHeight w:val="300"/>
        </w:trPr>
        <w:tc>
          <w:tcPr>
            <w:tcW w:w="1260" w:type="dxa"/>
            <w:tcBorders>
              <w:top w:val="nil"/>
              <w:left w:val="nil"/>
              <w:bottom w:val="nil"/>
              <w:right w:val="nil"/>
            </w:tcBorders>
            <w:shd w:val="clear" w:color="auto" w:fill="auto"/>
            <w:noWrap/>
            <w:vAlign w:val="bottom"/>
            <w:hideMark/>
          </w:tcPr>
          <w:p w14:paraId="05B20131"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gridSpan w:val="2"/>
            <w:tcBorders>
              <w:top w:val="nil"/>
              <w:left w:val="nil"/>
              <w:bottom w:val="nil"/>
              <w:right w:val="nil"/>
            </w:tcBorders>
            <w:shd w:val="clear" w:color="auto" w:fill="auto"/>
            <w:noWrap/>
            <w:vAlign w:val="bottom"/>
            <w:hideMark/>
          </w:tcPr>
          <w:p w14:paraId="18E462CF"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gridSpan w:val="2"/>
            <w:tcBorders>
              <w:top w:val="nil"/>
              <w:left w:val="nil"/>
              <w:bottom w:val="nil"/>
              <w:right w:val="nil"/>
            </w:tcBorders>
            <w:shd w:val="clear" w:color="auto" w:fill="auto"/>
            <w:noWrap/>
            <w:hideMark/>
          </w:tcPr>
          <w:p w14:paraId="0CAF66E9" w14:textId="438A2CA3"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2.12 (2.07, 2.17)</w:t>
            </w:r>
          </w:p>
        </w:tc>
        <w:tc>
          <w:tcPr>
            <w:tcW w:w="1980" w:type="dxa"/>
            <w:gridSpan w:val="2"/>
            <w:tcBorders>
              <w:top w:val="nil"/>
              <w:left w:val="nil"/>
              <w:bottom w:val="nil"/>
              <w:right w:val="nil"/>
            </w:tcBorders>
            <w:shd w:val="clear" w:color="auto" w:fill="auto"/>
            <w:noWrap/>
            <w:hideMark/>
          </w:tcPr>
          <w:p w14:paraId="400BA59A" w14:textId="26DF2FF3"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10.2 (8.3, 12.4)</w:t>
            </w:r>
          </w:p>
        </w:tc>
      </w:tr>
      <w:tr w:rsidR="00204A5D" w:rsidRPr="007B651F" w14:paraId="34DDB9D6" w14:textId="77777777" w:rsidTr="00AE0151">
        <w:trPr>
          <w:trHeight w:val="300"/>
        </w:trPr>
        <w:tc>
          <w:tcPr>
            <w:tcW w:w="1260" w:type="dxa"/>
            <w:tcBorders>
              <w:top w:val="nil"/>
              <w:left w:val="nil"/>
              <w:bottom w:val="nil"/>
              <w:right w:val="nil"/>
            </w:tcBorders>
            <w:shd w:val="clear" w:color="auto" w:fill="auto"/>
            <w:noWrap/>
            <w:vAlign w:val="bottom"/>
            <w:hideMark/>
          </w:tcPr>
          <w:p w14:paraId="494497BA"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gridSpan w:val="2"/>
            <w:tcBorders>
              <w:top w:val="nil"/>
              <w:left w:val="nil"/>
              <w:bottom w:val="nil"/>
              <w:right w:val="nil"/>
            </w:tcBorders>
            <w:shd w:val="clear" w:color="auto" w:fill="auto"/>
            <w:noWrap/>
            <w:vAlign w:val="bottom"/>
            <w:hideMark/>
          </w:tcPr>
          <w:p w14:paraId="677D8E90"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gridSpan w:val="2"/>
            <w:tcBorders>
              <w:top w:val="nil"/>
              <w:left w:val="nil"/>
              <w:bottom w:val="nil"/>
              <w:right w:val="nil"/>
            </w:tcBorders>
            <w:shd w:val="clear" w:color="auto" w:fill="auto"/>
            <w:noWrap/>
            <w:hideMark/>
          </w:tcPr>
          <w:p w14:paraId="56D31BE7" w14:textId="5B3F42BC"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2.26 (2.19, 2.32)</w:t>
            </w:r>
          </w:p>
        </w:tc>
        <w:tc>
          <w:tcPr>
            <w:tcW w:w="1980" w:type="dxa"/>
            <w:gridSpan w:val="2"/>
            <w:tcBorders>
              <w:top w:val="nil"/>
              <w:left w:val="nil"/>
              <w:bottom w:val="nil"/>
              <w:right w:val="nil"/>
            </w:tcBorders>
            <w:shd w:val="clear" w:color="auto" w:fill="auto"/>
            <w:noWrap/>
            <w:hideMark/>
          </w:tcPr>
          <w:p w14:paraId="7BE254D7" w14:textId="2872972B"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15.7 (13.2, 18.1)</w:t>
            </w:r>
          </w:p>
        </w:tc>
      </w:tr>
      <w:tr w:rsidR="00204A5D" w:rsidRPr="007B651F" w14:paraId="69B25CF7" w14:textId="77777777" w:rsidTr="00AE0151">
        <w:trPr>
          <w:trHeight w:val="300"/>
        </w:trPr>
        <w:tc>
          <w:tcPr>
            <w:tcW w:w="1260" w:type="dxa"/>
            <w:tcBorders>
              <w:top w:val="nil"/>
              <w:left w:val="nil"/>
              <w:bottom w:val="nil"/>
              <w:right w:val="nil"/>
            </w:tcBorders>
            <w:shd w:val="clear" w:color="000000" w:fill="D9D9D9"/>
            <w:noWrap/>
            <w:vAlign w:val="bottom"/>
            <w:hideMark/>
          </w:tcPr>
          <w:p w14:paraId="392F18CA"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gridSpan w:val="2"/>
            <w:tcBorders>
              <w:top w:val="nil"/>
              <w:left w:val="nil"/>
              <w:bottom w:val="nil"/>
              <w:right w:val="nil"/>
            </w:tcBorders>
            <w:shd w:val="clear" w:color="000000" w:fill="D9D9D9"/>
            <w:noWrap/>
            <w:vAlign w:val="bottom"/>
            <w:hideMark/>
          </w:tcPr>
          <w:p w14:paraId="5ED6D340"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gridSpan w:val="2"/>
            <w:tcBorders>
              <w:top w:val="nil"/>
              <w:left w:val="nil"/>
              <w:bottom w:val="nil"/>
              <w:right w:val="nil"/>
            </w:tcBorders>
            <w:shd w:val="clear" w:color="000000" w:fill="D9D9D9"/>
            <w:noWrap/>
            <w:hideMark/>
          </w:tcPr>
          <w:p w14:paraId="72731E3B" w14:textId="4F1E2808"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2.00 (1.96, 2.05)</w:t>
            </w:r>
          </w:p>
        </w:tc>
        <w:tc>
          <w:tcPr>
            <w:tcW w:w="1980" w:type="dxa"/>
            <w:gridSpan w:val="2"/>
            <w:tcBorders>
              <w:top w:val="nil"/>
              <w:left w:val="nil"/>
              <w:bottom w:val="nil"/>
              <w:right w:val="nil"/>
            </w:tcBorders>
            <w:shd w:val="clear" w:color="000000" w:fill="D9D9D9"/>
            <w:noWrap/>
            <w:hideMark/>
          </w:tcPr>
          <w:p w14:paraId="455BB16C" w14:textId="52F2ABD3"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5.0 (2.8, 7.2)</w:t>
            </w:r>
          </w:p>
        </w:tc>
      </w:tr>
      <w:tr w:rsidR="00204A5D" w:rsidRPr="007B651F" w14:paraId="759C0DE0" w14:textId="77777777" w:rsidTr="00AE0151">
        <w:trPr>
          <w:trHeight w:val="300"/>
        </w:trPr>
        <w:tc>
          <w:tcPr>
            <w:tcW w:w="1260" w:type="dxa"/>
            <w:tcBorders>
              <w:top w:val="nil"/>
              <w:left w:val="nil"/>
              <w:right w:val="nil"/>
            </w:tcBorders>
            <w:shd w:val="clear" w:color="000000" w:fill="D9D9D9"/>
            <w:noWrap/>
            <w:vAlign w:val="bottom"/>
            <w:hideMark/>
          </w:tcPr>
          <w:p w14:paraId="7AA55CAC"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gridSpan w:val="2"/>
            <w:tcBorders>
              <w:top w:val="nil"/>
              <w:left w:val="nil"/>
              <w:right w:val="nil"/>
            </w:tcBorders>
            <w:shd w:val="clear" w:color="000000" w:fill="D9D9D9"/>
            <w:noWrap/>
            <w:vAlign w:val="bottom"/>
            <w:hideMark/>
          </w:tcPr>
          <w:p w14:paraId="34E136BC"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gridSpan w:val="2"/>
            <w:tcBorders>
              <w:top w:val="nil"/>
              <w:left w:val="nil"/>
              <w:right w:val="nil"/>
            </w:tcBorders>
            <w:shd w:val="clear" w:color="000000" w:fill="D9D9D9"/>
            <w:noWrap/>
            <w:hideMark/>
          </w:tcPr>
          <w:p w14:paraId="3EFD94B3" w14:textId="42B68D3A"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2.20 (2.15, 2.26)</w:t>
            </w:r>
          </w:p>
        </w:tc>
        <w:tc>
          <w:tcPr>
            <w:tcW w:w="1980" w:type="dxa"/>
            <w:gridSpan w:val="2"/>
            <w:tcBorders>
              <w:top w:val="nil"/>
              <w:left w:val="nil"/>
              <w:right w:val="nil"/>
            </w:tcBorders>
            <w:shd w:val="clear" w:color="000000" w:fill="D9D9D9"/>
            <w:noWrap/>
            <w:hideMark/>
          </w:tcPr>
          <w:p w14:paraId="213E7F08" w14:textId="7054C029"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13.7 (11.5, 15.9)</w:t>
            </w:r>
          </w:p>
        </w:tc>
      </w:tr>
      <w:tr w:rsidR="00204A5D" w:rsidRPr="007B651F" w14:paraId="0527556B" w14:textId="77777777" w:rsidTr="00AE0151">
        <w:trPr>
          <w:trHeight w:val="300"/>
        </w:trPr>
        <w:tc>
          <w:tcPr>
            <w:tcW w:w="1260" w:type="dxa"/>
            <w:tcBorders>
              <w:top w:val="nil"/>
              <w:left w:val="nil"/>
              <w:bottom w:val="single" w:sz="4" w:space="0" w:color="auto"/>
              <w:right w:val="nil"/>
            </w:tcBorders>
            <w:shd w:val="clear" w:color="000000" w:fill="D9D9D9"/>
            <w:noWrap/>
            <w:vAlign w:val="bottom"/>
            <w:hideMark/>
          </w:tcPr>
          <w:p w14:paraId="7ECD3E83"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gridSpan w:val="2"/>
            <w:tcBorders>
              <w:top w:val="nil"/>
              <w:left w:val="nil"/>
              <w:bottom w:val="single" w:sz="4" w:space="0" w:color="auto"/>
              <w:right w:val="nil"/>
            </w:tcBorders>
            <w:shd w:val="clear" w:color="000000" w:fill="D9D9D9"/>
            <w:noWrap/>
            <w:vAlign w:val="bottom"/>
            <w:hideMark/>
          </w:tcPr>
          <w:p w14:paraId="22E41669" w14:textId="77777777" w:rsidR="00204A5D" w:rsidRPr="007B651F" w:rsidRDefault="00204A5D" w:rsidP="00204A5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gridSpan w:val="2"/>
            <w:tcBorders>
              <w:top w:val="nil"/>
              <w:left w:val="nil"/>
              <w:bottom w:val="single" w:sz="4" w:space="0" w:color="auto"/>
              <w:right w:val="nil"/>
            </w:tcBorders>
            <w:shd w:val="clear" w:color="000000" w:fill="D9D9D9"/>
            <w:noWrap/>
            <w:hideMark/>
          </w:tcPr>
          <w:p w14:paraId="233C8680" w14:textId="7E5CD9C7"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2.41 (2.33, 2.50)</w:t>
            </w:r>
          </w:p>
        </w:tc>
        <w:tc>
          <w:tcPr>
            <w:tcW w:w="1980" w:type="dxa"/>
            <w:gridSpan w:val="2"/>
            <w:tcBorders>
              <w:top w:val="nil"/>
              <w:left w:val="nil"/>
              <w:bottom w:val="single" w:sz="4" w:space="0" w:color="auto"/>
              <w:right w:val="nil"/>
            </w:tcBorders>
            <w:shd w:val="clear" w:color="000000" w:fill="D9D9D9"/>
            <w:noWrap/>
            <w:hideMark/>
          </w:tcPr>
          <w:p w14:paraId="6400937F" w14:textId="4B1BB548" w:rsidR="00204A5D" w:rsidRPr="00204A5D" w:rsidRDefault="00204A5D" w:rsidP="00204A5D">
            <w:pPr>
              <w:jc w:val="center"/>
              <w:rPr>
                <w:rFonts w:ascii="Times New Roman" w:eastAsia="Times New Roman" w:hAnsi="Times New Roman" w:cs="Times New Roman"/>
                <w:color w:val="000000"/>
                <w:sz w:val="24"/>
                <w:szCs w:val="24"/>
              </w:rPr>
            </w:pPr>
            <w:r w:rsidRPr="00AE0151">
              <w:rPr>
                <w:rFonts w:ascii="Times New Roman" w:hAnsi="Times New Roman" w:cs="Times New Roman"/>
                <w:sz w:val="24"/>
                <w:szCs w:val="24"/>
              </w:rPr>
              <w:t>21.2 (18.3, 23.9)</w:t>
            </w:r>
          </w:p>
        </w:tc>
      </w:tr>
    </w:tbl>
    <w:p w14:paraId="51049B06" w14:textId="77777777" w:rsidR="00CB3FDA" w:rsidRDefault="00CB3FDA" w:rsidP="00CB3FDA">
      <w:pPr>
        <w:rPr>
          <w:rFonts w:ascii="Times New Roman" w:hAnsi="Times New Roman" w:cs="Times New Roman"/>
          <w:sz w:val="24"/>
          <w:szCs w:val="24"/>
        </w:rPr>
      </w:pPr>
      <w:r>
        <w:rPr>
          <w:rFonts w:ascii="Times New Roman" w:hAnsi="Times New Roman" w:cs="Times New Roman"/>
          <w:sz w:val="24"/>
          <w:szCs w:val="24"/>
        </w:rPr>
        <w:lastRenderedPageBreak/>
        <w:t>*Person years at risk; HIV acquisition relative risks were held constant at base case values, rectal RR = 1.97, urethral RR = 1.48.</w:t>
      </w:r>
    </w:p>
    <w:p w14:paraId="5FDE2ABD" w14:textId="77777777" w:rsidR="005448CA" w:rsidRDefault="005448CA" w:rsidP="007751E4">
      <w:pPr>
        <w:spacing w:line="360" w:lineRule="auto"/>
        <w:rPr>
          <w:rFonts w:ascii="Helvetica Neue" w:hAnsi="Helvetica Neue"/>
          <w:sz w:val="20"/>
        </w:rPr>
      </w:pPr>
    </w:p>
    <w:p w14:paraId="357FD08E" w14:textId="670DF583" w:rsidR="005448CA" w:rsidRDefault="005448CA" w:rsidP="005448CA">
      <w:pPr>
        <w:spacing w:line="360" w:lineRule="auto"/>
        <w:rPr>
          <w:rFonts w:ascii="Helvetica Neue" w:hAnsi="Helvetica Neue"/>
          <w:sz w:val="20"/>
        </w:rPr>
      </w:pPr>
      <w:r>
        <w:rPr>
          <w:rFonts w:ascii="Helvetica Neue" w:hAnsi="Helvetica Neue"/>
          <w:sz w:val="20"/>
        </w:rPr>
        <w:t>Table S6. The effect of relative risk for HIV acquisition on HIV incidence. This analysis assumes that when dual STI infection occurs at a single anatomical site that the RRs for each STI multiply.</w:t>
      </w:r>
    </w:p>
    <w:tbl>
      <w:tblPr>
        <w:tblW w:w="6570" w:type="dxa"/>
        <w:tblLook w:val="04A0" w:firstRow="1" w:lastRow="0" w:firstColumn="1" w:lastColumn="0" w:noHBand="0" w:noVBand="1"/>
      </w:tblPr>
      <w:tblGrid>
        <w:gridCol w:w="1008"/>
        <w:gridCol w:w="1692"/>
        <w:gridCol w:w="1890"/>
        <w:gridCol w:w="1980"/>
      </w:tblGrid>
      <w:tr w:rsidR="005448CA" w:rsidRPr="007B651F" w14:paraId="3916D9E6" w14:textId="77777777" w:rsidTr="00C6275A">
        <w:trPr>
          <w:trHeight w:val="600"/>
        </w:trPr>
        <w:tc>
          <w:tcPr>
            <w:tcW w:w="2700" w:type="dxa"/>
            <w:gridSpan w:val="2"/>
            <w:tcBorders>
              <w:top w:val="single" w:sz="4" w:space="0" w:color="auto"/>
              <w:left w:val="nil"/>
              <w:bottom w:val="single" w:sz="4" w:space="0" w:color="auto"/>
              <w:right w:val="nil"/>
            </w:tcBorders>
            <w:shd w:val="clear" w:color="auto" w:fill="auto"/>
            <w:vAlign w:val="bottom"/>
            <w:hideMark/>
          </w:tcPr>
          <w:p w14:paraId="0370AB36" w14:textId="01066D17" w:rsidR="005448CA" w:rsidRPr="007B651F" w:rsidRDefault="005448CA" w:rsidP="006302ED">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 xml:space="preserve">Relative Risk of HIV </w:t>
            </w:r>
            <w:r w:rsidR="006302ED">
              <w:rPr>
                <w:rFonts w:ascii="Times New Roman" w:eastAsia="Times New Roman" w:hAnsi="Times New Roman" w:cs="Times New Roman"/>
                <w:color w:val="000000"/>
                <w:sz w:val="24"/>
                <w:szCs w:val="24"/>
              </w:rPr>
              <w:t>Acquisition</w:t>
            </w:r>
            <w:r w:rsidR="006302ED" w:rsidRPr="007B651F">
              <w:rPr>
                <w:rFonts w:ascii="Times New Roman" w:eastAsia="Times New Roman" w:hAnsi="Times New Roman" w:cs="Times New Roman"/>
                <w:color w:val="000000"/>
                <w:sz w:val="24"/>
                <w:szCs w:val="24"/>
              </w:rPr>
              <w:t xml:space="preserve"> </w:t>
            </w:r>
            <w:r w:rsidRPr="007B651F">
              <w:rPr>
                <w:rFonts w:ascii="Times New Roman" w:eastAsia="Times New Roman" w:hAnsi="Times New Roman" w:cs="Times New Roman"/>
                <w:color w:val="000000"/>
                <w:sz w:val="24"/>
                <w:szCs w:val="24"/>
              </w:rPr>
              <w:t>by STI Site</w:t>
            </w:r>
          </w:p>
        </w:tc>
        <w:tc>
          <w:tcPr>
            <w:tcW w:w="1890" w:type="dxa"/>
            <w:tcBorders>
              <w:top w:val="single" w:sz="4" w:space="0" w:color="auto"/>
              <w:left w:val="nil"/>
              <w:bottom w:val="single" w:sz="4" w:space="0" w:color="auto"/>
              <w:right w:val="nil"/>
            </w:tcBorders>
            <w:shd w:val="clear" w:color="auto" w:fill="auto"/>
            <w:noWrap/>
            <w:vAlign w:val="bottom"/>
            <w:hideMark/>
          </w:tcPr>
          <w:p w14:paraId="1464DF02" w14:textId="77777777" w:rsidR="005448CA" w:rsidRPr="007B651F" w:rsidRDefault="005448CA" w:rsidP="00C6275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HIV Incidence Rate</w:t>
            </w:r>
          </w:p>
        </w:tc>
        <w:tc>
          <w:tcPr>
            <w:tcW w:w="1980" w:type="dxa"/>
            <w:tcBorders>
              <w:top w:val="single" w:sz="4" w:space="0" w:color="auto"/>
              <w:left w:val="nil"/>
              <w:bottom w:val="single" w:sz="4" w:space="0" w:color="auto"/>
              <w:right w:val="nil"/>
            </w:tcBorders>
            <w:shd w:val="clear" w:color="auto" w:fill="auto"/>
            <w:noWrap/>
            <w:vAlign w:val="bottom"/>
            <w:hideMark/>
          </w:tcPr>
          <w:p w14:paraId="7CCBFF87" w14:textId="77777777" w:rsidR="005448CA" w:rsidRPr="007B651F" w:rsidRDefault="005448CA"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Population Attributable Fraction</w:t>
            </w:r>
          </w:p>
        </w:tc>
      </w:tr>
      <w:tr w:rsidR="005448CA" w:rsidRPr="007B651F" w14:paraId="3005A820" w14:textId="77777777" w:rsidTr="00C6275A">
        <w:trPr>
          <w:trHeight w:val="300"/>
        </w:trPr>
        <w:tc>
          <w:tcPr>
            <w:tcW w:w="1008" w:type="dxa"/>
            <w:tcBorders>
              <w:top w:val="single" w:sz="4" w:space="0" w:color="auto"/>
              <w:left w:val="nil"/>
              <w:bottom w:val="single" w:sz="4" w:space="0" w:color="auto"/>
              <w:right w:val="nil"/>
            </w:tcBorders>
            <w:shd w:val="clear" w:color="auto" w:fill="auto"/>
            <w:noWrap/>
            <w:vAlign w:val="bottom"/>
            <w:hideMark/>
          </w:tcPr>
          <w:p w14:paraId="3CB23023" w14:textId="77777777" w:rsidR="005448CA" w:rsidRPr="007B651F" w:rsidRDefault="005448CA" w:rsidP="00C6275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Rectal</w:t>
            </w:r>
          </w:p>
        </w:tc>
        <w:tc>
          <w:tcPr>
            <w:tcW w:w="1692" w:type="dxa"/>
            <w:tcBorders>
              <w:top w:val="single" w:sz="4" w:space="0" w:color="auto"/>
              <w:left w:val="nil"/>
              <w:bottom w:val="single" w:sz="4" w:space="0" w:color="auto"/>
              <w:right w:val="nil"/>
            </w:tcBorders>
            <w:shd w:val="clear" w:color="auto" w:fill="auto"/>
            <w:noWrap/>
            <w:vAlign w:val="bottom"/>
            <w:hideMark/>
          </w:tcPr>
          <w:p w14:paraId="1AED718E" w14:textId="77777777" w:rsidR="005448CA" w:rsidRPr="007B651F" w:rsidRDefault="005448CA" w:rsidP="00C6275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Urethral</w:t>
            </w:r>
          </w:p>
        </w:tc>
        <w:tc>
          <w:tcPr>
            <w:tcW w:w="1890" w:type="dxa"/>
            <w:tcBorders>
              <w:top w:val="single" w:sz="4" w:space="0" w:color="auto"/>
              <w:left w:val="nil"/>
              <w:bottom w:val="single" w:sz="4" w:space="0" w:color="auto"/>
              <w:right w:val="nil"/>
            </w:tcBorders>
            <w:shd w:val="clear" w:color="auto" w:fill="auto"/>
            <w:noWrap/>
            <w:vAlign w:val="bottom"/>
            <w:hideMark/>
          </w:tcPr>
          <w:p w14:paraId="222A08F7" w14:textId="77777777" w:rsidR="005448CA" w:rsidRPr="007B651F" w:rsidRDefault="005448CA" w:rsidP="00C627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Rate per 100 PYAR* (IQR)</w:t>
            </w:r>
          </w:p>
        </w:tc>
        <w:tc>
          <w:tcPr>
            <w:tcW w:w="1980" w:type="dxa"/>
            <w:tcBorders>
              <w:top w:val="single" w:sz="4" w:space="0" w:color="auto"/>
              <w:left w:val="nil"/>
              <w:bottom w:val="single" w:sz="4" w:space="0" w:color="auto"/>
              <w:right w:val="nil"/>
            </w:tcBorders>
            <w:shd w:val="clear" w:color="auto" w:fill="auto"/>
            <w:noWrap/>
            <w:vAlign w:val="bottom"/>
            <w:hideMark/>
          </w:tcPr>
          <w:p w14:paraId="41A69DEF" w14:textId="77777777" w:rsidR="005448CA" w:rsidRPr="007B651F" w:rsidRDefault="005448CA" w:rsidP="00C627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(IQR)</w:t>
            </w:r>
          </w:p>
        </w:tc>
      </w:tr>
      <w:tr w:rsidR="005448CA" w:rsidRPr="007B651F" w14:paraId="3C9BE1CC" w14:textId="77777777" w:rsidTr="00C6275A">
        <w:trPr>
          <w:trHeight w:val="300"/>
        </w:trPr>
        <w:tc>
          <w:tcPr>
            <w:tcW w:w="1008" w:type="dxa"/>
            <w:tcBorders>
              <w:top w:val="single" w:sz="4" w:space="0" w:color="auto"/>
              <w:left w:val="nil"/>
              <w:bottom w:val="nil"/>
              <w:right w:val="nil"/>
            </w:tcBorders>
            <w:shd w:val="clear" w:color="000000" w:fill="D9D9D9"/>
            <w:noWrap/>
            <w:vAlign w:val="bottom"/>
            <w:hideMark/>
          </w:tcPr>
          <w:p w14:paraId="640FA658"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tcBorders>
              <w:top w:val="single" w:sz="4" w:space="0" w:color="auto"/>
              <w:left w:val="nil"/>
              <w:bottom w:val="nil"/>
              <w:right w:val="nil"/>
            </w:tcBorders>
            <w:shd w:val="clear" w:color="000000" w:fill="D9D9D9"/>
            <w:noWrap/>
            <w:vAlign w:val="bottom"/>
            <w:hideMark/>
          </w:tcPr>
          <w:p w14:paraId="476D6C30"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tcBorders>
              <w:top w:val="single" w:sz="4" w:space="0" w:color="auto"/>
              <w:left w:val="nil"/>
              <w:bottom w:val="nil"/>
              <w:right w:val="nil"/>
            </w:tcBorders>
            <w:shd w:val="clear" w:color="000000" w:fill="D9D9D9"/>
            <w:noWrap/>
            <w:vAlign w:val="bottom"/>
            <w:hideMark/>
          </w:tcPr>
          <w:p w14:paraId="4BDC4EB2" w14:textId="69338719"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1.95 (1.91, 2.00)</w:t>
            </w:r>
          </w:p>
        </w:tc>
        <w:tc>
          <w:tcPr>
            <w:tcW w:w="1980" w:type="dxa"/>
            <w:tcBorders>
              <w:top w:val="single" w:sz="4" w:space="0" w:color="auto"/>
              <w:left w:val="nil"/>
              <w:bottom w:val="nil"/>
              <w:right w:val="nil"/>
            </w:tcBorders>
            <w:shd w:val="clear" w:color="000000" w:fill="D9D9D9"/>
            <w:noWrap/>
            <w:vAlign w:val="bottom"/>
            <w:hideMark/>
          </w:tcPr>
          <w:p w14:paraId="5DC3D3A9" w14:textId="32ED2B45"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Ref</w:t>
            </w:r>
          </w:p>
        </w:tc>
      </w:tr>
      <w:tr w:rsidR="005448CA" w:rsidRPr="007B651F" w14:paraId="1693AE7E" w14:textId="77777777" w:rsidTr="00C6275A">
        <w:trPr>
          <w:trHeight w:val="300"/>
        </w:trPr>
        <w:tc>
          <w:tcPr>
            <w:tcW w:w="1008" w:type="dxa"/>
            <w:tcBorders>
              <w:top w:val="nil"/>
              <w:left w:val="nil"/>
              <w:bottom w:val="nil"/>
              <w:right w:val="nil"/>
            </w:tcBorders>
            <w:shd w:val="clear" w:color="000000" w:fill="D9D9D9"/>
            <w:noWrap/>
            <w:vAlign w:val="bottom"/>
            <w:hideMark/>
          </w:tcPr>
          <w:p w14:paraId="43321C10"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tcBorders>
              <w:top w:val="nil"/>
              <w:left w:val="nil"/>
              <w:bottom w:val="nil"/>
              <w:right w:val="nil"/>
            </w:tcBorders>
            <w:shd w:val="clear" w:color="000000" w:fill="D9D9D9"/>
            <w:noWrap/>
            <w:vAlign w:val="bottom"/>
            <w:hideMark/>
          </w:tcPr>
          <w:p w14:paraId="746B5A31"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tcBorders>
              <w:top w:val="nil"/>
              <w:left w:val="nil"/>
              <w:bottom w:val="nil"/>
              <w:right w:val="nil"/>
            </w:tcBorders>
            <w:shd w:val="clear" w:color="000000" w:fill="D9D9D9"/>
            <w:noWrap/>
            <w:vAlign w:val="bottom"/>
            <w:hideMark/>
          </w:tcPr>
          <w:p w14:paraId="556FF579" w14:textId="44ADBD7C"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1.81 (1.77, 1.86)</w:t>
            </w:r>
          </w:p>
        </w:tc>
        <w:tc>
          <w:tcPr>
            <w:tcW w:w="1980" w:type="dxa"/>
            <w:tcBorders>
              <w:top w:val="nil"/>
              <w:left w:val="nil"/>
              <w:bottom w:val="nil"/>
              <w:right w:val="nil"/>
            </w:tcBorders>
            <w:shd w:val="clear" w:color="000000" w:fill="D9D9D9"/>
            <w:noWrap/>
            <w:vAlign w:val="bottom"/>
            <w:hideMark/>
          </w:tcPr>
          <w:p w14:paraId="4328FD8C" w14:textId="0C9255E4"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1.7 (-0.8, 4.2)</w:t>
            </w:r>
          </w:p>
        </w:tc>
      </w:tr>
      <w:tr w:rsidR="005448CA" w:rsidRPr="007B651F" w14:paraId="3D04F9B6" w14:textId="77777777" w:rsidTr="00C6275A">
        <w:trPr>
          <w:trHeight w:val="300"/>
        </w:trPr>
        <w:tc>
          <w:tcPr>
            <w:tcW w:w="1008" w:type="dxa"/>
            <w:tcBorders>
              <w:top w:val="nil"/>
              <w:left w:val="nil"/>
              <w:bottom w:val="nil"/>
              <w:right w:val="nil"/>
            </w:tcBorders>
            <w:shd w:val="clear" w:color="000000" w:fill="D9D9D9"/>
            <w:noWrap/>
            <w:vAlign w:val="bottom"/>
            <w:hideMark/>
          </w:tcPr>
          <w:p w14:paraId="3A99C7F4"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692" w:type="dxa"/>
            <w:tcBorders>
              <w:top w:val="nil"/>
              <w:left w:val="nil"/>
              <w:bottom w:val="nil"/>
              <w:right w:val="nil"/>
            </w:tcBorders>
            <w:shd w:val="clear" w:color="000000" w:fill="D9D9D9"/>
            <w:noWrap/>
            <w:vAlign w:val="bottom"/>
            <w:hideMark/>
          </w:tcPr>
          <w:p w14:paraId="3898AD9D"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tcBorders>
              <w:top w:val="nil"/>
              <w:left w:val="nil"/>
              <w:bottom w:val="nil"/>
              <w:right w:val="nil"/>
            </w:tcBorders>
            <w:shd w:val="clear" w:color="000000" w:fill="D9D9D9"/>
            <w:noWrap/>
            <w:vAlign w:val="bottom"/>
            <w:hideMark/>
          </w:tcPr>
          <w:p w14:paraId="54492EEF" w14:textId="51734D12"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1.85 (1.80, 1.89)</w:t>
            </w:r>
          </w:p>
        </w:tc>
        <w:tc>
          <w:tcPr>
            <w:tcW w:w="1980" w:type="dxa"/>
            <w:tcBorders>
              <w:top w:val="nil"/>
              <w:left w:val="nil"/>
              <w:bottom w:val="nil"/>
              <w:right w:val="nil"/>
            </w:tcBorders>
            <w:shd w:val="clear" w:color="000000" w:fill="D9D9D9"/>
            <w:noWrap/>
            <w:vAlign w:val="bottom"/>
            <w:hideMark/>
          </w:tcPr>
          <w:p w14:paraId="169A6AEE" w14:textId="412C36DB"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3.2 (1.2, 5.5)</w:t>
            </w:r>
          </w:p>
        </w:tc>
      </w:tr>
      <w:tr w:rsidR="005448CA" w:rsidRPr="007B651F" w14:paraId="614FE64E" w14:textId="77777777" w:rsidTr="00C6275A">
        <w:trPr>
          <w:trHeight w:val="300"/>
        </w:trPr>
        <w:tc>
          <w:tcPr>
            <w:tcW w:w="1008" w:type="dxa"/>
            <w:tcBorders>
              <w:top w:val="nil"/>
              <w:left w:val="nil"/>
              <w:bottom w:val="nil"/>
              <w:right w:val="nil"/>
            </w:tcBorders>
            <w:shd w:val="clear" w:color="auto" w:fill="auto"/>
            <w:noWrap/>
            <w:vAlign w:val="bottom"/>
            <w:hideMark/>
          </w:tcPr>
          <w:p w14:paraId="02EC9F60"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tcBorders>
              <w:top w:val="nil"/>
              <w:left w:val="nil"/>
              <w:bottom w:val="nil"/>
              <w:right w:val="nil"/>
            </w:tcBorders>
            <w:shd w:val="clear" w:color="auto" w:fill="auto"/>
            <w:noWrap/>
            <w:vAlign w:val="bottom"/>
            <w:hideMark/>
          </w:tcPr>
          <w:p w14:paraId="4AAADAB3"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tcBorders>
              <w:top w:val="nil"/>
              <w:left w:val="nil"/>
              <w:bottom w:val="nil"/>
              <w:right w:val="nil"/>
            </w:tcBorders>
            <w:shd w:val="clear" w:color="auto" w:fill="auto"/>
            <w:noWrap/>
            <w:vAlign w:val="bottom"/>
            <w:hideMark/>
          </w:tcPr>
          <w:p w14:paraId="1794E10B" w14:textId="46035F3C"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1.88 (1.84, 1.92)</w:t>
            </w:r>
          </w:p>
        </w:tc>
        <w:tc>
          <w:tcPr>
            <w:tcW w:w="1980" w:type="dxa"/>
            <w:tcBorders>
              <w:top w:val="nil"/>
              <w:left w:val="nil"/>
              <w:bottom w:val="nil"/>
              <w:right w:val="nil"/>
            </w:tcBorders>
            <w:shd w:val="clear" w:color="auto" w:fill="auto"/>
            <w:noWrap/>
            <w:vAlign w:val="bottom"/>
            <w:hideMark/>
          </w:tcPr>
          <w:p w14:paraId="458A2F93" w14:textId="5A95AC24"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5.3 (3.0, 7.3)</w:t>
            </w:r>
          </w:p>
        </w:tc>
      </w:tr>
      <w:tr w:rsidR="005448CA" w:rsidRPr="007B651F" w14:paraId="5195FDCE" w14:textId="77777777" w:rsidTr="00C6275A">
        <w:trPr>
          <w:trHeight w:val="300"/>
        </w:trPr>
        <w:tc>
          <w:tcPr>
            <w:tcW w:w="1008" w:type="dxa"/>
            <w:tcBorders>
              <w:top w:val="nil"/>
              <w:left w:val="nil"/>
              <w:bottom w:val="nil"/>
              <w:right w:val="nil"/>
            </w:tcBorders>
            <w:shd w:val="clear" w:color="auto" w:fill="auto"/>
            <w:noWrap/>
            <w:vAlign w:val="bottom"/>
            <w:hideMark/>
          </w:tcPr>
          <w:p w14:paraId="51431840"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tcBorders>
              <w:top w:val="nil"/>
              <w:left w:val="nil"/>
              <w:bottom w:val="nil"/>
              <w:right w:val="nil"/>
            </w:tcBorders>
            <w:shd w:val="clear" w:color="auto" w:fill="auto"/>
            <w:noWrap/>
            <w:vAlign w:val="bottom"/>
            <w:hideMark/>
          </w:tcPr>
          <w:p w14:paraId="160627E5"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tcBorders>
              <w:top w:val="nil"/>
              <w:left w:val="nil"/>
              <w:bottom w:val="nil"/>
              <w:right w:val="nil"/>
            </w:tcBorders>
            <w:shd w:val="clear" w:color="auto" w:fill="auto"/>
            <w:noWrap/>
            <w:vAlign w:val="bottom"/>
            <w:hideMark/>
          </w:tcPr>
          <w:p w14:paraId="05352B1A" w14:textId="096D525F"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1.92 (1.87, 1.96)</w:t>
            </w:r>
          </w:p>
        </w:tc>
        <w:tc>
          <w:tcPr>
            <w:tcW w:w="1980" w:type="dxa"/>
            <w:tcBorders>
              <w:top w:val="nil"/>
              <w:left w:val="nil"/>
              <w:bottom w:val="nil"/>
              <w:right w:val="nil"/>
            </w:tcBorders>
            <w:shd w:val="clear" w:color="auto" w:fill="auto"/>
            <w:noWrap/>
            <w:vAlign w:val="bottom"/>
            <w:hideMark/>
          </w:tcPr>
          <w:p w14:paraId="63C32CAE" w14:textId="1B3F4721"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7.8 (5.9, 10.1)</w:t>
            </w:r>
          </w:p>
        </w:tc>
      </w:tr>
      <w:tr w:rsidR="005448CA" w:rsidRPr="007B651F" w14:paraId="0A38C36A" w14:textId="77777777" w:rsidTr="00C6275A">
        <w:trPr>
          <w:trHeight w:val="300"/>
        </w:trPr>
        <w:tc>
          <w:tcPr>
            <w:tcW w:w="1008" w:type="dxa"/>
            <w:tcBorders>
              <w:top w:val="nil"/>
              <w:left w:val="nil"/>
              <w:bottom w:val="nil"/>
              <w:right w:val="nil"/>
            </w:tcBorders>
            <w:shd w:val="clear" w:color="auto" w:fill="auto"/>
            <w:noWrap/>
            <w:vAlign w:val="bottom"/>
            <w:hideMark/>
          </w:tcPr>
          <w:p w14:paraId="0236A593"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692" w:type="dxa"/>
            <w:tcBorders>
              <w:top w:val="nil"/>
              <w:left w:val="nil"/>
              <w:bottom w:val="nil"/>
              <w:right w:val="nil"/>
            </w:tcBorders>
            <w:shd w:val="clear" w:color="auto" w:fill="auto"/>
            <w:noWrap/>
            <w:vAlign w:val="bottom"/>
            <w:hideMark/>
          </w:tcPr>
          <w:p w14:paraId="057AB4CC"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tcBorders>
              <w:top w:val="nil"/>
              <w:left w:val="nil"/>
              <w:bottom w:val="nil"/>
              <w:right w:val="nil"/>
            </w:tcBorders>
            <w:shd w:val="clear" w:color="auto" w:fill="auto"/>
            <w:noWrap/>
            <w:vAlign w:val="bottom"/>
            <w:hideMark/>
          </w:tcPr>
          <w:p w14:paraId="4F76B906" w14:textId="3BBE48A3"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1.97 (1.93, 2.02)</w:t>
            </w:r>
          </w:p>
        </w:tc>
        <w:tc>
          <w:tcPr>
            <w:tcW w:w="1980" w:type="dxa"/>
            <w:tcBorders>
              <w:top w:val="nil"/>
              <w:left w:val="nil"/>
              <w:bottom w:val="nil"/>
              <w:right w:val="nil"/>
            </w:tcBorders>
            <w:shd w:val="clear" w:color="auto" w:fill="auto"/>
            <w:noWrap/>
            <w:vAlign w:val="bottom"/>
            <w:hideMark/>
          </w:tcPr>
          <w:p w14:paraId="18A4ED85" w14:textId="26AEB96B"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9.9 (7.7, 12.1)</w:t>
            </w:r>
          </w:p>
        </w:tc>
      </w:tr>
      <w:tr w:rsidR="005448CA" w:rsidRPr="007B651F" w14:paraId="03F8052F" w14:textId="77777777" w:rsidTr="00C6275A">
        <w:trPr>
          <w:trHeight w:val="300"/>
        </w:trPr>
        <w:tc>
          <w:tcPr>
            <w:tcW w:w="1008" w:type="dxa"/>
            <w:tcBorders>
              <w:top w:val="nil"/>
              <w:left w:val="nil"/>
              <w:bottom w:val="nil"/>
              <w:right w:val="nil"/>
            </w:tcBorders>
            <w:shd w:val="clear" w:color="000000" w:fill="D9D9D9"/>
            <w:noWrap/>
            <w:vAlign w:val="bottom"/>
            <w:hideMark/>
          </w:tcPr>
          <w:p w14:paraId="3EAD608C"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tcBorders>
              <w:top w:val="nil"/>
              <w:left w:val="nil"/>
              <w:bottom w:val="nil"/>
              <w:right w:val="nil"/>
            </w:tcBorders>
            <w:shd w:val="clear" w:color="000000" w:fill="D9D9D9"/>
            <w:noWrap/>
            <w:vAlign w:val="bottom"/>
            <w:hideMark/>
          </w:tcPr>
          <w:p w14:paraId="1C5DA6B0"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1.0</w:t>
            </w:r>
          </w:p>
        </w:tc>
        <w:tc>
          <w:tcPr>
            <w:tcW w:w="1890" w:type="dxa"/>
            <w:tcBorders>
              <w:top w:val="nil"/>
              <w:left w:val="nil"/>
              <w:bottom w:val="nil"/>
              <w:right w:val="nil"/>
            </w:tcBorders>
            <w:shd w:val="clear" w:color="000000" w:fill="D9D9D9"/>
            <w:noWrap/>
            <w:vAlign w:val="bottom"/>
            <w:hideMark/>
          </w:tcPr>
          <w:p w14:paraId="4FD080E2" w14:textId="1B843FD4"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2.01 (1.97, 2.06)</w:t>
            </w:r>
          </w:p>
        </w:tc>
        <w:tc>
          <w:tcPr>
            <w:tcW w:w="1980" w:type="dxa"/>
            <w:tcBorders>
              <w:top w:val="nil"/>
              <w:left w:val="nil"/>
              <w:bottom w:val="nil"/>
              <w:right w:val="nil"/>
            </w:tcBorders>
            <w:shd w:val="clear" w:color="000000" w:fill="D9D9D9"/>
            <w:noWrap/>
            <w:vAlign w:val="bottom"/>
            <w:hideMark/>
          </w:tcPr>
          <w:p w14:paraId="0CED3ADE" w14:textId="2010D428"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9.9 (7.9, 12.0)</w:t>
            </w:r>
          </w:p>
        </w:tc>
      </w:tr>
      <w:tr w:rsidR="005448CA" w:rsidRPr="007B651F" w14:paraId="08CF94CF" w14:textId="77777777" w:rsidTr="00C6275A">
        <w:trPr>
          <w:trHeight w:val="300"/>
        </w:trPr>
        <w:tc>
          <w:tcPr>
            <w:tcW w:w="1008" w:type="dxa"/>
            <w:tcBorders>
              <w:top w:val="nil"/>
              <w:left w:val="nil"/>
              <w:right w:val="nil"/>
            </w:tcBorders>
            <w:shd w:val="clear" w:color="000000" w:fill="D9D9D9"/>
            <w:noWrap/>
            <w:vAlign w:val="bottom"/>
            <w:hideMark/>
          </w:tcPr>
          <w:p w14:paraId="5CEB87D5"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tcBorders>
              <w:top w:val="nil"/>
              <w:left w:val="nil"/>
              <w:right w:val="nil"/>
            </w:tcBorders>
            <w:shd w:val="clear" w:color="000000" w:fill="D9D9D9"/>
            <w:noWrap/>
            <w:vAlign w:val="bottom"/>
            <w:hideMark/>
          </w:tcPr>
          <w:p w14:paraId="52C6D337"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2.0</w:t>
            </w:r>
          </w:p>
        </w:tc>
        <w:tc>
          <w:tcPr>
            <w:tcW w:w="1890" w:type="dxa"/>
            <w:tcBorders>
              <w:top w:val="nil"/>
              <w:left w:val="nil"/>
              <w:right w:val="nil"/>
            </w:tcBorders>
            <w:shd w:val="clear" w:color="000000" w:fill="D9D9D9"/>
            <w:noWrap/>
            <w:vAlign w:val="bottom"/>
            <w:hideMark/>
          </w:tcPr>
          <w:p w14:paraId="30A1C0D8" w14:textId="568053A1"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2.01 (1.97, 2.06)</w:t>
            </w:r>
          </w:p>
        </w:tc>
        <w:tc>
          <w:tcPr>
            <w:tcW w:w="1980" w:type="dxa"/>
            <w:tcBorders>
              <w:top w:val="nil"/>
              <w:left w:val="nil"/>
              <w:right w:val="nil"/>
            </w:tcBorders>
            <w:shd w:val="clear" w:color="000000" w:fill="D9D9D9"/>
            <w:noWrap/>
            <w:vAlign w:val="bottom"/>
            <w:hideMark/>
          </w:tcPr>
          <w:p w14:paraId="486FEC78" w14:textId="01090DD8"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12.7 (10.7, 14.8)</w:t>
            </w:r>
          </w:p>
        </w:tc>
      </w:tr>
      <w:tr w:rsidR="005448CA" w:rsidRPr="007B651F" w14:paraId="36BEDF8F" w14:textId="77777777" w:rsidTr="00C6275A">
        <w:trPr>
          <w:trHeight w:val="300"/>
        </w:trPr>
        <w:tc>
          <w:tcPr>
            <w:tcW w:w="1008" w:type="dxa"/>
            <w:tcBorders>
              <w:top w:val="nil"/>
              <w:left w:val="nil"/>
              <w:bottom w:val="single" w:sz="4" w:space="0" w:color="auto"/>
              <w:right w:val="nil"/>
            </w:tcBorders>
            <w:shd w:val="clear" w:color="000000" w:fill="D9D9D9"/>
            <w:noWrap/>
            <w:vAlign w:val="bottom"/>
            <w:hideMark/>
          </w:tcPr>
          <w:p w14:paraId="1E8C7B2E"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692" w:type="dxa"/>
            <w:tcBorders>
              <w:top w:val="nil"/>
              <w:left w:val="nil"/>
              <w:bottom w:val="single" w:sz="4" w:space="0" w:color="auto"/>
              <w:right w:val="nil"/>
            </w:tcBorders>
            <w:shd w:val="clear" w:color="000000" w:fill="D9D9D9"/>
            <w:noWrap/>
            <w:vAlign w:val="bottom"/>
            <w:hideMark/>
          </w:tcPr>
          <w:p w14:paraId="0E5E4D1C" w14:textId="77777777" w:rsidR="005448CA" w:rsidRPr="007B651F" w:rsidRDefault="005448CA" w:rsidP="005448CA">
            <w:pPr>
              <w:jc w:val="center"/>
              <w:rPr>
                <w:rFonts w:ascii="Times New Roman" w:eastAsia="Times New Roman" w:hAnsi="Times New Roman" w:cs="Times New Roman"/>
                <w:color w:val="000000"/>
                <w:sz w:val="24"/>
                <w:szCs w:val="24"/>
              </w:rPr>
            </w:pPr>
            <w:r w:rsidRPr="007B651F">
              <w:rPr>
                <w:rFonts w:ascii="Times New Roman" w:eastAsia="Times New Roman" w:hAnsi="Times New Roman" w:cs="Times New Roman"/>
                <w:color w:val="000000"/>
                <w:sz w:val="24"/>
                <w:szCs w:val="24"/>
              </w:rPr>
              <w:t>3.0</w:t>
            </w:r>
          </w:p>
        </w:tc>
        <w:tc>
          <w:tcPr>
            <w:tcW w:w="1890" w:type="dxa"/>
            <w:tcBorders>
              <w:top w:val="nil"/>
              <w:left w:val="nil"/>
              <w:bottom w:val="single" w:sz="4" w:space="0" w:color="auto"/>
              <w:right w:val="nil"/>
            </w:tcBorders>
            <w:shd w:val="clear" w:color="000000" w:fill="D9D9D9"/>
            <w:noWrap/>
            <w:vAlign w:val="bottom"/>
            <w:hideMark/>
          </w:tcPr>
          <w:p w14:paraId="52C0E3E4" w14:textId="0A41DE77"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2.08 (2.03, 2.13)</w:t>
            </w:r>
          </w:p>
        </w:tc>
        <w:tc>
          <w:tcPr>
            <w:tcW w:w="1980" w:type="dxa"/>
            <w:tcBorders>
              <w:top w:val="nil"/>
              <w:left w:val="nil"/>
              <w:bottom w:val="single" w:sz="4" w:space="0" w:color="auto"/>
              <w:right w:val="nil"/>
            </w:tcBorders>
            <w:shd w:val="clear" w:color="000000" w:fill="D9D9D9"/>
            <w:noWrap/>
            <w:vAlign w:val="bottom"/>
            <w:hideMark/>
          </w:tcPr>
          <w:p w14:paraId="4CF38EEC" w14:textId="5E9C22A2" w:rsidR="005448CA" w:rsidRPr="005448CA" w:rsidRDefault="005448CA" w:rsidP="005448CA">
            <w:pPr>
              <w:jc w:val="center"/>
              <w:rPr>
                <w:rFonts w:ascii="Times New Roman" w:eastAsia="Times New Roman" w:hAnsi="Times New Roman" w:cs="Times New Roman"/>
                <w:color w:val="000000"/>
                <w:sz w:val="24"/>
                <w:szCs w:val="24"/>
              </w:rPr>
            </w:pPr>
            <w:r w:rsidRPr="00450D7B">
              <w:rPr>
                <w:rFonts w:ascii="Times New Roman" w:hAnsi="Times New Roman" w:cs="Times New Roman"/>
                <w:color w:val="000000"/>
                <w:sz w:val="24"/>
                <w:szCs w:val="24"/>
              </w:rPr>
              <w:t>13.5 (11.5, 15.5)</w:t>
            </w:r>
          </w:p>
        </w:tc>
      </w:tr>
    </w:tbl>
    <w:p w14:paraId="53933309" w14:textId="37CDB219" w:rsidR="005448CA" w:rsidRDefault="005448CA" w:rsidP="005448CA">
      <w:pPr>
        <w:rPr>
          <w:rFonts w:ascii="Times New Roman" w:hAnsi="Times New Roman" w:cs="Times New Roman"/>
          <w:sz w:val="24"/>
          <w:szCs w:val="24"/>
        </w:rPr>
      </w:pPr>
      <w:r>
        <w:rPr>
          <w:rFonts w:ascii="Times New Roman" w:hAnsi="Times New Roman" w:cs="Times New Roman"/>
          <w:sz w:val="24"/>
          <w:szCs w:val="24"/>
        </w:rPr>
        <w:t>*Person years at risk; HIV transmission relative risks were held constant at rectal RR = 1.3, urethral RR = 1.3.</w:t>
      </w:r>
    </w:p>
    <w:p w14:paraId="05788973" w14:textId="2B770ADC" w:rsidR="005448CA" w:rsidRDefault="005448CA" w:rsidP="007751E4">
      <w:pPr>
        <w:spacing w:line="360" w:lineRule="auto"/>
        <w:rPr>
          <w:rFonts w:ascii="Helvetica Neue" w:hAnsi="Helvetica Neue"/>
          <w:sz w:val="20"/>
        </w:rPr>
      </w:pPr>
    </w:p>
    <w:p w14:paraId="11B66B31" w14:textId="0A45CB63" w:rsidR="00C6275A" w:rsidRDefault="00C6275A" w:rsidP="00C6275A">
      <w:pPr>
        <w:rPr>
          <w:rFonts w:ascii="Times New Roman" w:hAnsi="Times New Roman" w:cs="Times New Roman"/>
          <w:sz w:val="24"/>
          <w:szCs w:val="24"/>
        </w:rPr>
      </w:pPr>
      <w:r>
        <w:rPr>
          <w:rFonts w:ascii="Times New Roman" w:hAnsi="Times New Roman" w:cs="Times New Roman"/>
          <w:sz w:val="24"/>
          <w:szCs w:val="24"/>
        </w:rPr>
        <w:t>Table S7. Proportion of transmission events in which site- and role-specific rectal and/or urethral STI were present.</w:t>
      </w:r>
      <w:r w:rsidR="00820178">
        <w:rPr>
          <w:rFonts w:ascii="Times New Roman" w:hAnsi="Times New Roman" w:cs="Times New Roman"/>
          <w:sz w:val="24"/>
          <w:szCs w:val="24"/>
        </w:rPr>
        <w:t xml:space="preserve"> </w:t>
      </w:r>
      <w:r w:rsidR="00820178" w:rsidRPr="00820178">
        <w:rPr>
          <w:rFonts w:ascii="Times New Roman" w:hAnsi="Times New Roman" w:cs="Times New Roman"/>
          <w:sz w:val="24"/>
          <w:szCs w:val="24"/>
        </w:rPr>
        <w:t>This analysis assumes that when dual STI infection occurs at a single anatomical site that the RRs for each STI multiply.</w:t>
      </w:r>
    </w:p>
    <w:tbl>
      <w:tblPr>
        <w:tblW w:w="9102" w:type="dxa"/>
        <w:tblLook w:val="04A0" w:firstRow="1" w:lastRow="0" w:firstColumn="1" w:lastColumn="0" w:noHBand="0" w:noVBand="1"/>
      </w:tblPr>
      <w:tblGrid>
        <w:gridCol w:w="1240"/>
        <w:gridCol w:w="1240"/>
        <w:gridCol w:w="460"/>
        <w:gridCol w:w="1380"/>
        <w:gridCol w:w="1440"/>
        <w:gridCol w:w="1530"/>
        <w:gridCol w:w="1812"/>
      </w:tblGrid>
      <w:tr w:rsidR="00C6275A" w:rsidRPr="009D42B5" w14:paraId="17A5D82B" w14:textId="77777777" w:rsidTr="00AE0151">
        <w:trPr>
          <w:trHeight w:val="270"/>
        </w:trPr>
        <w:tc>
          <w:tcPr>
            <w:tcW w:w="2940" w:type="dxa"/>
            <w:gridSpan w:val="3"/>
            <w:vMerge w:val="restart"/>
            <w:tcBorders>
              <w:top w:val="single" w:sz="4" w:space="0" w:color="auto"/>
              <w:left w:val="nil"/>
            </w:tcBorders>
            <w:shd w:val="clear" w:color="auto" w:fill="auto"/>
            <w:vAlign w:val="bottom"/>
            <w:hideMark/>
          </w:tcPr>
          <w:p w14:paraId="1E3AE9E7" w14:textId="77777777" w:rsidR="00C6275A" w:rsidRPr="009D42B5" w:rsidRDefault="00C6275A" w:rsidP="00C6275A">
            <w:pPr>
              <w:jc w:val="center"/>
              <w:rPr>
                <w:rFonts w:ascii="Calibri" w:eastAsia="Times New Roman" w:hAnsi="Calibri" w:cs="Calibri"/>
                <w:b/>
                <w:color w:val="000000"/>
              </w:rPr>
            </w:pPr>
            <w:r w:rsidRPr="009D42B5">
              <w:rPr>
                <w:rFonts w:ascii="Calibri" w:eastAsia="Times New Roman" w:hAnsi="Calibri" w:cs="Calibri"/>
                <w:b/>
                <w:color w:val="000000"/>
              </w:rPr>
              <w:t>Relative Risk</w:t>
            </w:r>
            <w:r>
              <w:rPr>
                <w:rFonts w:ascii="Calibri" w:eastAsia="Times New Roman" w:hAnsi="Calibri" w:cs="Calibri"/>
                <w:b/>
                <w:color w:val="000000"/>
              </w:rPr>
              <w:t xml:space="preserve"> of HIV Transmission by STI</w:t>
            </w:r>
          </w:p>
        </w:tc>
        <w:tc>
          <w:tcPr>
            <w:tcW w:w="6162" w:type="dxa"/>
            <w:gridSpan w:val="4"/>
            <w:tcBorders>
              <w:top w:val="single" w:sz="4" w:space="0" w:color="auto"/>
              <w:left w:val="nil"/>
              <w:bottom w:val="single" w:sz="4" w:space="0" w:color="auto"/>
            </w:tcBorders>
            <w:shd w:val="clear" w:color="auto" w:fill="auto"/>
            <w:vAlign w:val="bottom"/>
          </w:tcPr>
          <w:p w14:paraId="552C181C" w14:textId="77777777" w:rsidR="00C6275A" w:rsidRPr="009D42B5" w:rsidRDefault="00C6275A" w:rsidP="00C6275A">
            <w:pPr>
              <w:jc w:val="center"/>
              <w:rPr>
                <w:rFonts w:ascii="Calibri" w:eastAsia="Times New Roman" w:hAnsi="Calibri" w:cs="Calibri"/>
                <w:b/>
                <w:color w:val="000000"/>
              </w:rPr>
            </w:pPr>
            <w:r>
              <w:rPr>
                <w:rFonts w:ascii="Calibri" w:eastAsia="Times New Roman" w:hAnsi="Calibri" w:cs="Calibri"/>
                <w:b/>
                <w:color w:val="000000"/>
              </w:rPr>
              <w:t>Sites of Sexual Activity with Prevalent STI</w:t>
            </w:r>
          </w:p>
        </w:tc>
      </w:tr>
      <w:tr w:rsidR="00C6275A" w:rsidRPr="009D42B5" w14:paraId="7735AE33" w14:textId="77777777" w:rsidTr="00AE0151">
        <w:trPr>
          <w:trHeight w:val="270"/>
        </w:trPr>
        <w:tc>
          <w:tcPr>
            <w:tcW w:w="2940" w:type="dxa"/>
            <w:gridSpan w:val="3"/>
            <w:vMerge/>
            <w:tcBorders>
              <w:left w:val="nil"/>
              <w:bottom w:val="single" w:sz="4" w:space="0" w:color="auto"/>
            </w:tcBorders>
            <w:shd w:val="clear" w:color="auto" w:fill="auto"/>
            <w:vAlign w:val="bottom"/>
          </w:tcPr>
          <w:p w14:paraId="5062B5F9" w14:textId="77777777" w:rsidR="00C6275A" w:rsidRPr="009D42B5" w:rsidRDefault="00C6275A" w:rsidP="00C6275A">
            <w:pPr>
              <w:jc w:val="center"/>
              <w:rPr>
                <w:rFonts w:ascii="Calibri" w:eastAsia="Times New Roman" w:hAnsi="Calibri" w:cs="Calibri"/>
                <w:b/>
                <w:color w:val="000000"/>
              </w:rPr>
            </w:pPr>
          </w:p>
        </w:tc>
        <w:tc>
          <w:tcPr>
            <w:tcW w:w="6162" w:type="dxa"/>
            <w:gridSpan w:val="4"/>
            <w:tcBorders>
              <w:top w:val="single" w:sz="4" w:space="0" w:color="auto"/>
              <w:left w:val="nil"/>
              <w:bottom w:val="single" w:sz="4" w:space="0" w:color="auto"/>
            </w:tcBorders>
            <w:shd w:val="clear" w:color="auto" w:fill="auto"/>
            <w:vAlign w:val="bottom"/>
          </w:tcPr>
          <w:p w14:paraId="75EBEED1" w14:textId="77777777" w:rsidR="00C6275A" w:rsidRDefault="00C6275A" w:rsidP="00C6275A">
            <w:pPr>
              <w:jc w:val="center"/>
              <w:rPr>
                <w:rFonts w:ascii="Calibri" w:eastAsia="Times New Roman" w:hAnsi="Calibri" w:cs="Calibri"/>
                <w:b/>
                <w:color w:val="000000"/>
              </w:rPr>
            </w:pPr>
            <w:r>
              <w:rPr>
                <w:rFonts w:ascii="Calibri" w:eastAsia="Times New Roman" w:hAnsi="Calibri" w:cs="Calibri"/>
                <w:b/>
                <w:color w:val="000000"/>
              </w:rPr>
              <w:t>Median (IQR) Proportion of Transmission Events</w:t>
            </w:r>
          </w:p>
        </w:tc>
      </w:tr>
      <w:tr w:rsidR="00C6275A" w:rsidRPr="009D42B5" w14:paraId="63E712C7" w14:textId="77777777" w:rsidTr="00AE0151">
        <w:trPr>
          <w:trHeight w:val="300"/>
        </w:trPr>
        <w:tc>
          <w:tcPr>
            <w:tcW w:w="1240" w:type="dxa"/>
            <w:tcBorders>
              <w:top w:val="nil"/>
              <w:left w:val="nil"/>
            </w:tcBorders>
            <w:shd w:val="clear" w:color="auto" w:fill="auto"/>
            <w:noWrap/>
            <w:vAlign w:val="bottom"/>
            <w:hideMark/>
          </w:tcPr>
          <w:p w14:paraId="6168D87B"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Gonorrhea</w:t>
            </w:r>
          </w:p>
        </w:tc>
        <w:tc>
          <w:tcPr>
            <w:tcW w:w="1240" w:type="dxa"/>
            <w:tcBorders>
              <w:top w:val="nil"/>
            </w:tcBorders>
            <w:shd w:val="clear" w:color="auto" w:fill="auto"/>
            <w:noWrap/>
            <w:vAlign w:val="bottom"/>
            <w:hideMark/>
          </w:tcPr>
          <w:p w14:paraId="0E45CD90"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Chlamydia</w:t>
            </w:r>
          </w:p>
        </w:tc>
        <w:tc>
          <w:tcPr>
            <w:tcW w:w="1840" w:type="dxa"/>
            <w:gridSpan w:val="2"/>
            <w:tcBorders>
              <w:top w:val="nil"/>
            </w:tcBorders>
            <w:shd w:val="clear" w:color="auto" w:fill="auto"/>
            <w:vAlign w:val="bottom"/>
            <w:hideMark/>
          </w:tcPr>
          <w:p w14:paraId="26EBCFDA"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Rectal and Urethral</w:t>
            </w:r>
          </w:p>
        </w:tc>
        <w:tc>
          <w:tcPr>
            <w:tcW w:w="1440" w:type="dxa"/>
            <w:tcBorders>
              <w:top w:val="nil"/>
            </w:tcBorders>
            <w:shd w:val="clear" w:color="auto" w:fill="auto"/>
            <w:vAlign w:val="bottom"/>
            <w:hideMark/>
          </w:tcPr>
          <w:p w14:paraId="3F919D0F"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Rectal Only</w:t>
            </w:r>
          </w:p>
        </w:tc>
        <w:tc>
          <w:tcPr>
            <w:tcW w:w="1530" w:type="dxa"/>
            <w:tcBorders>
              <w:top w:val="nil"/>
            </w:tcBorders>
            <w:shd w:val="clear" w:color="auto" w:fill="auto"/>
            <w:vAlign w:val="bottom"/>
            <w:hideMark/>
          </w:tcPr>
          <w:p w14:paraId="5043317F"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Urethral Only</w:t>
            </w:r>
          </w:p>
        </w:tc>
        <w:tc>
          <w:tcPr>
            <w:tcW w:w="1808" w:type="dxa"/>
            <w:tcBorders>
              <w:top w:val="nil"/>
            </w:tcBorders>
            <w:shd w:val="clear" w:color="auto" w:fill="auto"/>
            <w:vAlign w:val="bottom"/>
            <w:hideMark/>
          </w:tcPr>
          <w:p w14:paraId="3CCEC84D"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Neither</w:t>
            </w:r>
          </w:p>
        </w:tc>
      </w:tr>
      <w:tr w:rsidR="006302ED" w:rsidRPr="009D42B5" w14:paraId="553E0730" w14:textId="77777777" w:rsidTr="00AE0151">
        <w:trPr>
          <w:trHeight w:val="300"/>
        </w:trPr>
        <w:tc>
          <w:tcPr>
            <w:tcW w:w="1240" w:type="dxa"/>
            <w:tcBorders>
              <w:top w:val="nil"/>
              <w:left w:val="nil"/>
              <w:bottom w:val="nil"/>
            </w:tcBorders>
            <w:shd w:val="clear" w:color="000000" w:fill="D9D9D9"/>
            <w:noWrap/>
            <w:vAlign w:val="bottom"/>
            <w:hideMark/>
          </w:tcPr>
          <w:p w14:paraId="32C85035"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49B9DB05"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000000" w:fill="D9D9D9"/>
            <w:noWrap/>
            <w:vAlign w:val="bottom"/>
            <w:hideMark/>
          </w:tcPr>
          <w:p w14:paraId="7A141984" w14:textId="6E93CE57" w:rsidR="006302ED" w:rsidRPr="009D42B5" w:rsidRDefault="006302ED" w:rsidP="006302ED">
            <w:pPr>
              <w:jc w:val="center"/>
              <w:rPr>
                <w:rFonts w:ascii="Calibri" w:eastAsia="Times New Roman" w:hAnsi="Calibri" w:cs="Calibri"/>
                <w:color w:val="000000"/>
              </w:rPr>
            </w:pPr>
            <w:r>
              <w:rPr>
                <w:rFonts w:ascii="Calibri" w:hAnsi="Calibri" w:cs="Calibri"/>
                <w:color w:val="000000"/>
              </w:rPr>
              <w:t>6.4 (6.1, 6.9)</w:t>
            </w:r>
          </w:p>
        </w:tc>
        <w:tc>
          <w:tcPr>
            <w:tcW w:w="1440" w:type="dxa"/>
            <w:tcBorders>
              <w:top w:val="nil"/>
              <w:bottom w:val="nil"/>
            </w:tcBorders>
            <w:shd w:val="clear" w:color="000000" w:fill="D9D9D9"/>
            <w:noWrap/>
            <w:vAlign w:val="bottom"/>
            <w:hideMark/>
          </w:tcPr>
          <w:p w14:paraId="7023E0D3" w14:textId="375FC848" w:rsidR="006302ED" w:rsidRPr="009D42B5" w:rsidRDefault="006302ED" w:rsidP="006302ED">
            <w:pPr>
              <w:jc w:val="center"/>
              <w:rPr>
                <w:rFonts w:ascii="Calibri" w:eastAsia="Times New Roman" w:hAnsi="Calibri" w:cs="Calibri"/>
                <w:color w:val="000000"/>
              </w:rPr>
            </w:pPr>
            <w:r>
              <w:rPr>
                <w:rFonts w:ascii="Calibri" w:hAnsi="Calibri" w:cs="Calibri"/>
                <w:color w:val="000000"/>
              </w:rPr>
              <w:t>5.3 (5, 5.8)</w:t>
            </w:r>
          </w:p>
        </w:tc>
        <w:tc>
          <w:tcPr>
            <w:tcW w:w="1530" w:type="dxa"/>
            <w:tcBorders>
              <w:top w:val="nil"/>
              <w:bottom w:val="nil"/>
            </w:tcBorders>
            <w:shd w:val="clear" w:color="000000" w:fill="D9D9D9"/>
            <w:noWrap/>
            <w:vAlign w:val="bottom"/>
            <w:hideMark/>
          </w:tcPr>
          <w:p w14:paraId="2B74F2DE" w14:textId="70934E17" w:rsidR="006302ED" w:rsidRPr="009D42B5" w:rsidRDefault="006302ED" w:rsidP="006302ED">
            <w:pPr>
              <w:jc w:val="center"/>
              <w:rPr>
                <w:rFonts w:ascii="Calibri" w:eastAsia="Times New Roman" w:hAnsi="Calibri" w:cs="Calibri"/>
                <w:color w:val="000000"/>
              </w:rPr>
            </w:pPr>
            <w:r>
              <w:rPr>
                <w:rFonts w:ascii="Calibri" w:hAnsi="Calibri" w:cs="Calibri"/>
                <w:color w:val="000000"/>
              </w:rPr>
              <w:t>2.7 (2.3, 3)</w:t>
            </w:r>
          </w:p>
        </w:tc>
        <w:tc>
          <w:tcPr>
            <w:tcW w:w="1808" w:type="dxa"/>
            <w:tcBorders>
              <w:top w:val="nil"/>
              <w:bottom w:val="nil"/>
            </w:tcBorders>
            <w:shd w:val="clear" w:color="000000" w:fill="D9D9D9"/>
            <w:noWrap/>
            <w:vAlign w:val="bottom"/>
            <w:hideMark/>
          </w:tcPr>
          <w:p w14:paraId="4095FDFF" w14:textId="5E27C3B0" w:rsidR="006302ED" w:rsidRPr="009D42B5" w:rsidRDefault="006302ED" w:rsidP="006302ED">
            <w:pPr>
              <w:jc w:val="center"/>
              <w:rPr>
                <w:rFonts w:ascii="Calibri" w:eastAsia="Times New Roman" w:hAnsi="Calibri" w:cs="Calibri"/>
                <w:color w:val="000000"/>
              </w:rPr>
            </w:pPr>
            <w:r>
              <w:rPr>
                <w:rFonts w:ascii="Calibri" w:hAnsi="Calibri" w:cs="Calibri"/>
                <w:color w:val="000000"/>
              </w:rPr>
              <w:t>85.6 (86.6, 84.3)</w:t>
            </w:r>
          </w:p>
        </w:tc>
      </w:tr>
      <w:tr w:rsidR="006302ED" w:rsidRPr="009D42B5" w14:paraId="6736E757" w14:textId="77777777" w:rsidTr="00AE0151">
        <w:trPr>
          <w:trHeight w:val="300"/>
        </w:trPr>
        <w:tc>
          <w:tcPr>
            <w:tcW w:w="1240" w:type="dxa"/>
            <w:tcBorders>
              <w:top w:val="nil"/>
              <w:left w:val="nil"/>
              <w:bottom w:val="nil"/>
            </w:tcBorders>
            <w:shd w:val="clear" w:color="000000" w:fill="D9D9D9"/>
            <w:noWrap/>
            <w:vAlign w:val="bottom"/>
            <w:hideMark/>
          </w:tcPr>
          <w:p w14:paraId="47A69753"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5D0831A7"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bottom w:val="nil"/>
            </w:tcBorders>
            <w:shd w:val="clear" w:color="000000" w:fill="D9D9D9"/>
            <w:noWrap/>
            <w:vAlign w:val="bottom"/>
            <w:hideMark/>
          </w:tcPr>
          <w:p w14:paraId="1E65C017" w14:textId="368B102E" w:rsidR="006302ED" w:rsidRPr="009D42B5" w:rsidRDefault="006302ED" w:rsidP="006302ED">
            <w:pPr>
              <w:jc w:val="center"/>
              <w:rPr>
                <w:rFonts w:ascii="Calibri" w:eastAsia="Times New Roman" w:hAnsi="Calibri" w:cs="Calibri"/>
                <w:color w:val="000000"/>
              </w:rPr>
            </w:pPr>
            <w:r>
              <w:rPr>
                <w:rFonts w:ascii="Calibri" w:hAnsi="Calibri" w:cs="Calibri"/>
                <w:color w:val="000000"/>
              </w:rPr>
              <w:t>8.5 (8.2, 8.8)</w:t>
            </w:r>
          </w:p>
        </w:tc>
        <w:tc>
          <w:tcPr>
            <w:tcW w:w="1440" w:type="dxa"/>
            <w:tcBorders>
              <w:top w:val="nil"/>
              <w:bottom w:val="nil"/>
            </w:tcBorders>
            <w:shd w:val="clear" w:color="000000" w:fill="D9D9D9"/>
            <w:noWrap/>
            <w:vAlign w:val="bottom"/>
            <w:hideMark/>
          </w:tcPr>
          <w:p w14:paraId="408705D3" w14:textId="0FF87501" w:rsidR="006302ED" w:rsidRPr="009D42B5" w:rsidRDefault="006302ED" w:rsidP="006302ED">
            <w:pPr>
              <w:jc w:val="center"/>
              <w:rPr>
                <w:rFonts w:ascii="Calibri" w:eastAsia="Times New Roman" w:hAnsi="Calibri" w:cs="Calibri"/>
                <w:color w:val="000000"/>
              </w:rPr>
            </w:pPr>
            <w:r>
              <w:rPr>
                <w:rFonts w:ascii="Calibri" w:hAnsi="Calibri" w:cs="Calibri"/>
                <w:color w:val="000000"/>
              </w:rPr>
              <w:t>5.4 (5.1, 5.7)</w:t>
            </w:r>
          </w:p>
        </w:tc>
        <w:tc>
          <w:tcPr>
            <w:tcW w:w="1530" w:type="dxa"/>
            <w:tcBorders>
              <w:top w:val="nil"/>
              <w:bottom w:val="nil"/>
            </w:tcBorders>
            <w:shd w:val="clear" w:color="000000" w:fill="D9D9D9"/>
            <w:noWrap/>
            <w:vAlign w:val="bottom"/>
            <w:hideMark/>
          </w:tcPr>
          <w:p w14:paraId="16F756D5" w14:textId="49AD54FF" w:rsidR="006302ED" w:rsidRPr="009D42B5" w:rsidRDefault="006302ED" w:rsidP="006302ED">
            <w:pPr>
              <w:jc w:val="center"/>
              <w:rPr>
                <w:rFonts w:ascii="Calibri" w:eastAsia="Times New Roman" w:hAnsi="Calibri" w:cs="Calibri"/>
                <w:color w:val="000000"/>
              </w:rPr>
            </w:pPr>
            <w:r>
              <w:rPr>
                <w:rFonts w:ascii="Calibri" w:hAnsi="Calibri" w:cs="Calibri"/>
                <w:color w:val="000000"/>
              </w:rPr>
              <w:t>3.9 (3.6, 4.2)</w:t>
            </w:r>
          </w:p>
        </w:tc>
        <w:tc>
          <w:tcPr>
            <w:tcW w:w="1808" w:type="dxa"/>
            <w:tcBorders>
              <w:top w:val="nil"/>
              <w:bottom w:val="nil"/>
            </w:tcBorders>
            <w:shd w:val="clear" w:color="000000" w:fill="D9D9D9"/>
            <w:noWrap/>
            <w:vAlign w:val="bottom"/>
            <w:hideMark/>
          </w:tcPr>
          <w:p w14:paraId="29CAE16D" w14:textId="19A285DE" w:rsidR="006302ED" w:rsidRPr="009D42B5" w:rsidRDefault="006302ED" w:rsidP="006302ED">
            <w:pPr>
              <w:jc w:val="center"/>
              <w:rPr>
                <w:rFonts w:ascii="Calibri" w:eastAsia="Times New Roman" w:hAnsi="Calibri" w:cs="Calibri"/>
                <w:color w:val="000000"/>
              </w:rPr>
            </w:pPr>
            <w:r>
              <w:rPr>
                <w:rFonts w:ascii="Calibri" w:hAnsi="Calibri" w:cs="Calibri"/>
                <w:color w:val="000000"/>
              </w:rPr>
              <w:t>82.2 (83.2, 81.2)</w:t>
            </w:r>
          </w:p>
        </w:tc>
      </w:tr>
      <w:tr w:rsidR="006302ED" w:rsidRPr="009D42B5" w14:paraId="7FB0729C" w14:textId="77777777" w:rsidTr="00AE0151">
        <w:trPr>
          <w:trHeight w:val="300"/>
        </w:trPr>
        <w:tc>
          <w:tcPr>
            <w:tcW w:w="1240" w:type="dxa"/>
            <w:tcBorders>
              <w:top w:val="nil"/>
              <w:left w:val="nil"/>
              <w:bottom w:val="nil"/>
            </w:tcBorders>
            <w:shd w:val="clear" w:color="000000" w:fill="D9D9D9"/>
            <w:noWrap/>
            <w:vAlign w:val="bottom"/>
            <w:hideMark/>
          </w:tcPr>
          <w:p w14:paraId="4055DF27"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395EC03F"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nil"/>
            </w:tcBorders>
            <w:shd w:val="clear" w:color="000000" w:fill="D9D9D9"/>
            <w:noWrap/>
            <w:vAlign w:val="bottom"/>
            <w:hideMark/>
          </w:tcPr>
          <w:p w14:paraId="03020C01" w14:textId="0AF65737" w:rsidR="006302ED" w:rsidRPr="009D42B5" w:rsidRDefault="006302ED" w:rsidP="006302ED">
            <w:pPr>
              <w:jc w:val="center"/>
              <w:rPr>
                <w:rFonts w:ascii="Calibri" w:eastAsia="Times New Roman" w:hAnsi="Calibri" w:cs="Calibri"/>
                <w:color w:val="000000"/>
              </w:rPr>
            </w:pPr>
            <w:r>
              <w:rPr>
                <w:rFonts w:ascii="Calibri" w:hAnsi="Calibri" w:cs="Calibri"/>
                <w:color w:val="000000"/>
              </w:rPr>
              <w:t>10.3 (9.8, 10.7)</w:t>
            </w:r>
          </w:p>
        </w:tc>
        <w:tc>
          <w:tcPr>
            <w:tcW w:w="1440" w:type="dxa"/>
            <w:tcBorders>
              <w:top w:val="nil"/>
              <w:bottom w:val="nil"/>
            </w:tcBorders>
            <w:shd w:val="clear" w:color="000000" w:fill="D9D9D9"/>
            <w:noWrap/>
            <w:vAlign w:val="bottom"/>
            <w:hideMark/>
          </w:tcPr>
          <w:p w14:paraId="0093310C" w14:textId="277C89FC" w:rsidR="006302ED" w:rsidRPr="009D42B5" w:rsidRDefault="006302ED" w:rsidP="006302ED">
            <w:pPr>
              <w:jc w:val="center"/>
              <w:rPr>
                <w:rFonts w:ascii="Calibri" w:eastAsia="Times New Roman" w:hAnsi="Calibri" w:cs="Calibri"/>
                <w:color w:val="000000"/>
              </w:rPr>
            </w:pPr>
            <w:r>
              <w:rPr>
                <w:rFonts w:ascii="Calibri" w:hAnsi="Calibri" w:cs="Calibri"/>
                <w:color w:val="000000"/>
              </w:rPr>
              <w:t>5.8 (5.4, 6)</w:t>
            </w:r>
          </w:p>
        </w:tc>
        <w:tc>
          <w:tcPr>
            <w:tcW w:w="1530" w:type="dxa"/>
            <w:tcBorders>
              <w:top w:val="nil"/>
              <w:bottom w:val="nil"/>
            </w:tcBorders>
            <w:shd w:val="clear" w:color="000000" w:fill="D9D9D9"/>
            <w:noWrap/>
            <w:vAlign w:val="bottom"/>
            <w:hideMark/>
          </w:tcPr>
          <w:p w14:paraId="29CD530F" w14:textId="6FC65A71" w:rsidR="006302ED" w:rsidRPr="009D42B5" w:rsidRDefault="006302ED" w:rsidP="006302ED">
            <w:pPr>
              <w:jc w:val="center"/>
              <w:rPr>
                <w:rFonts w:ascii="Calibri" w:eastAsia="Times New Roman" w:hAnsi="Calibri" w:cs="Calibri"/>
                <w:color w:val="000000"/>
              </w:rPr>
            </w:pPr>
            <w:r>
              <w:rPr>
                <w:rFonts w:ascii="Calibri" w:hAnsi="Calibri" w:cs="Calibri"/>
                <w:color w:val="000000"/>
              </w:rPr>
              <w:t>5 (4.7, 5.3)</w:t>
            </w:r>
          </w:p>
        </w:tc>
        <w:tc>
          <w:tcPr>
            <w:tcW w:w="1808" w:type="dxa"/>
            <w:tcBorders>
              <w:top w:val="nil"/>
              <w:bottom w:val="nil"/>
            </w:tcBorders>
            <w:shd w:val="clear" w:color="000000" w:fill="D9D9D9"/>
            <w:noWrap/>
            <w:vAlign w:val="bottom"/>
            <w:hideMark/>
          </w:tcPr>
          <w:p w14:paraId="44F82BAD" w14:textId="27888F59" w:rsidR="006302ED" w:rsidRPr="009D42B5" w:rsidRDefault="006302ED" w:rsidP="006302ED">
            <w:pPr>
              <w:jc w:val="center"/>
              <w:rPr>
                <w:rFonts w:ascii="Calibri" w:eastAsia="Times New Roman" w:hAnsi="Calibri" w:cs="Calibri"/>
                <w:color w:val="000000"/>
              </w:rPr>
            </w:pPr>
            <w:r>
              <w:rPr>
                <w:rFonts w:ascii="Calibri" w:hAnsi="Calibri" w:cs="Calibri"/>
                <w:color w:val="000000"/>
              </w:rPr>
              <w:t>78.9 (80.1, 77.9)</w:t>
            </w:r>
          </w:p>
        </w:tc>
      </w:tr>
      <w:tr w:rsidR="006302ED" w:rsidRPr="009D42B5" w14:paraId="562E844C" w14:textId="77777777" w:rsidTr="00AE0151">
        <w:trPr>
          <w:trHeight w:val="300"/>
        </w:trPr>
        <w:tc>
          <w:tcPr>
            <w:tcW w:w="1240" w:type="dxa"/>
            <w:tcBorders>
              <w:top w:val="nil"/>
              <w:left w:val="nil"/>
              <w:bottom w:val="nil"/>
            </w:tcBorders>
            <w:shd w:val="clear" w:color="auto" w:fill="auto"/>
            <w:noWrap/>
            <w:vAlign w:val="bottom"/>
            <w:hideMark/>
          </w:tcPr>
          <w:p w14:paraId="2F29BC44"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6F283E43"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auto" w:fill="auto"/>
            <w:noWrap/>
            <w:vAlign w:val="bottom"/>
            <w:hideMark/>
          </w:tcPr>
          <w:p w14:paraId="75E98E11" w14:textId="3CF00B32" w:rsidR="006302ED" w:rsidRPr="009D42B5" w:rsidRDefault="006302ED" w:rsidP="006302ED">
            <w:pPr>
              <w:jc w:val="center"/>
              <w:rPr>
                <w:rFonts w:ascii="Calibri" w:eastAsia="Times New Roman" w:hAnsi="Calibri" w:cs="Calibri"/>
                <w:color w:val="000000"/>
              </w:rPr>
            </w:pPr>
            <w:r>
              <w:rPr>
                <w:rFonts w:ascii="Calibri" w:hAnsi="Calibri" w:cs="Calibri"/>
                <w:color w:val="000000"/>
              </w:rPr>
              <w:t>7.7 (7.3, 7.9)</w:t>
            </w:r>
          </w:p>
        </w:tc>
        <w:tc>
          <w:tcPr>
            <w:tcW w:w="1440" w:type="dxa"/>
            <w:tcBorders>
              <w:top w:val="nil"/>
              <w:bottom w:val="nil"/>
            </w:tcBorders>
            <w:shd w:val="clear" w:color="auto" w:fill="auto"/>
            <w:noWrap/>
            <w:vAlign w:val="bottom"/>
            <w:hideMark/>
          </w:tcPr>
          <w:p w14:paraId="1BFC1A97" w14:textId="5FEA4A0A" w:rsidR="006302ED" w:rsidRPr="009D42B5" w:rsidRDefault="006302ED" w:rsidP="006302ED">
            <w:pPr>
              <w:jc w:val="center"/>
              <w:rPr>
                <w:rFonts w:ascii="Calibri" w:eastAsia="Times New Roman" w:hAnsi="Calibri" w:cs="Calibri"/>
                <w:color w:val="000000"/>
              </w:rPr>
            </w:pPr>
            <w:r>
              <w:rPr>
                <w:rFonts w:ascii="Calibri" w:hAnsi="Calibri" w:cs="Calibri"/>
                <w:color w:val="000000"/>
              </w:rPr>
              <w:t>5.7 (5.3, 6)</w:t>
            </w:r>
          </w:p>
        </w:tc>
        <w:tc>
          <w:tcPr>
            <w:tcW w:w="1530" w:type="dxa"/>
            <w:tcBorders>
              <w:top w:val="nil"/>
              <w:bottom w:val="nil"/>
            </w:tcBorders>
            <w:shd w:val="clear" w:color="auto" w:fill="auto"/>
            <w:noWrap/>
            <w:vAlign w:val="bottom"/>
            <w:hideMark/>
          </w:tcPr>
          <w:p w14:paraId="3194C270" w14:textId="3A274969" w:rsidR="006302ED" w:rsidRPr="009D42B5" w:rsidRDefault="006302ED" w:rsidP="006302ED">
            <w:pPr>
              <w:jc w:val="center"/>
              <w:rPr>
                <w:rFonts w:ascii="Calibri" w:eastAsia="Times New Roman" w:hAnsi="Calibri" w:cs="Calibri"/>
                <w:color w:val="000000"/>
              </w:rPr>
            </w:pPr>
            <w:r>
              <w:rPr>
                <w:rFonts w:ascii="Calibri" w:hAnsi="Calibri" w:cs="Calibri"/>
                <w:color w:val="000000"/>
              </w:rPr>
              <w:t>3.1 (2.9, 3.4)</w:t>
            </w:r>
          </w:p>
        </w:tc>
        <w:tc>
          <w:tcPr>
            <w:tcW w:w="1808" w:type="dxa"/>
            <w:tcBorders>
              <w:top w:val="nil"/>
              <w:bottom w:val="nil"/>
            </w:tcBorders>
            <w:shd w:val="clear" w:color="auto" w:fill="auto"/>
            <w:noWrap/>
            <w:vAlign w:val="bottom"/>
            <w:hideMark/>
          </w:tcPr>
          <w:p w14:paraId="32F40347" w14:textId="10380A94" w:rsidR="006302ED" w:rsidRPr="009D42B5" w:rsidRDefault="006302ED" w:rsidP="006302ED">
            <w:pPr>
              <w:jc w:val="center"/>
              <w:rPr>
                <w:rFonts w:ascii="Calibri" w:eastAsia="Times New Roman" w:hAnsi="Calibri" w:cs="Calibri"/>
                <w:color w:val="000000"/>
              </w:rPr>
            </w:pPr>
            <w:r>
              <w:rPr>
                <w:rFonts w:ascii="Calibri" w:hAnsi="Calibri" w:cs="Calibri"/>
                <w:color w:val="000000"/>
              </w:rPr>
              <w:t>83.6 (84.5, 82.6)</w:t>
            </w:r>
          </w:p>
        </w:tc>
      </w:tr>
      <w:tr w:rsidR="006302ED" w:rsidRPr="009D42B5" w14:paraId="23471B76" w14:textId="77777777" w:rsidTr="00AE0151">
        <w:trPr>
          <w:trHeight w:val="300"/>
        </w:trPr>
        <w:tc>
          <w:tcPr>
            <w:tcW w:w="1240" w:type="dxa"/>
            <w:tcBorders>
              <w:top w:val="nil"/>
              <w:left w:val="nil"/>
              <w:bottom w:val="nil"/>
            </w:tcBorders>
            <w:shd w:val="clear" w:color="auto" w:fill="auto"/>
            <w:noWrap/>
            <w:vAlign w:val="bottom"/>
            <w:hideMark/>
          </w:tcPr>
          <w:p w14:paraId="519638B7"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0B0AADE8"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bottom w:val="nil"/>
            </w:tcBorders>
            <w:shd w:val="clear" w:color="auto" w:fill="auto"/>
            <w:noWrap/>
            <w:vAlign w:val="bottom"/>
            <w:hideMark/>
          </w:tcPr>
          <w:p w14:paraId="33BE6690" w14:textId="50FA838A" w:rsidR="006302ED" w:rsidRPr="009D42B5" w:rsidRDefault="006302ED" w:rsidP="006302ED">
            <w:pPr>
              <w:jc w:val="center"/>
              <w:rPr>
                <w:rFonts w:ascii="Calibri" w:eastAsia="Times New Roman" w:hAnsi="Calibri" w:cs="Calibri"/>
                <w:color w:val="000000"/>
              </w:rPr>
            </w:pPr>
            <w:r>
              <w:rPr>
                <w:rFonts w:ascii="Calibri" w:hAnsi="Calibri" w:cs="Calibri"/>
                <w:color w:val="000000"/>
              </w:rPr>
              <w:t>10.2 (9.8, 10.5)</w:t>
            </w:r>
          </w:p>
        </w:tc>
        <w:tc>
          <w:tcPr>
            <w:tcW w:w="1440" w:type="dxa"/>
            <w:tcBorders>
              <w:top w:val="nil"/>
              <w:bottom w:val="nil"/>
            </w:tcBorders>
            <w:shd w:val="clear" w:color="auto" w:fill="auto"/>
            <w:noWrap/>
            <w:vAlign w:val="bottom"/>
            <w:hideMark/>
          </w:tcPr>
          <w:p w14:paraId="2A716E84" w14:textId="359532AE" w:rsidR="006302ED" w:rsidRPr="009D42B5" w:rsidRDefault="006302ED" w:rsidP="006302ED">
            <w:pPr>
              <w:jc w:val="center"/>
              <w:rPr>
                <w:rFonts w:ascii="Calibri" w:eastAsia="Times New Roman" w:hAnsi="Calibri" w:cs="Calibri"/>
                <w:color w:val="000000"/>
              </w:rPr>
            </w:pPr>
            <w:r>
              <w:rPr>
                <w:rFonts w:ascii="Calibri" w:hAnsi="Calibri" w:cs="Calibri"/>
                <w:color w:val="000000"/>
              </w:rPr>
              <w:t>6 (5.9, 6.4)</w:t>
            </w:r>
          </w:p>
        </w:tc>
        <w:tc>
          <w:tcPr>
            <w:tcW w:w="1530" w:type="dxa"/>
            <w:tcBorders>
              <w:top w:val="nil"/>
              <w:bottom w:val="nil"/>
            </w:tcBorders>
            <w:shd w:val="clear" w:color="auto" w:fill="auto"/>
            <w:noWrap/>
            <w:vAlign w:val="bottom"/>
            <w:hideMark/>
          </w:tcPr>
          <w:p w14:paraId="5CA98D60" w14:textId="37C6061E" w:rsidR="006302ED" w:rsidRPr="009D42B5" w:rsidRDefault="006302ED" w:rsidP="006302ED">
            <w:pPr>
              <w:jc w:val="center"/>
              <w:rPr>
                <w:rFonts w:ascii="Calibri" w:eastAsia="Times New Roman" w:hAnsi="Calibri" w:cs="Calibri"/>
                <w:color w:val="000000"/>
              </w:rPr>
            </w:pPr>
            <w:r>
              <w:rPr>
                <w:rFonts w:ascii="Calibri" w:hAnsi="Calibri" w:cs="Calibri"/>
                <w:color w:val="000000"/>
              </w:rPr>
              <w:t>4.5 (4.1, 4.8)</w:t>
            </w:r>
          </w:p>
        </w:tc>
        <w:tc>
          <w:tcPr>
            <w:tcW w:w="1808" w:type="dxa"/>
            <w:tcBorders>
              <w:top w:val="nil"/>
              <w:bottom w:val="nil"/>
            </w:tcBorders>
            <w:shd w:val="clear" w:color="auto" w:fill="auto"/>
            <w:noWrap/>
            <w:vAlign w:val="bottom"/>
            <w:hideMark/>
          </w:tcPr>
          <w:p w14:paraId="6FA18A64" w14:textId="42E57C9F" w:rsidR="006302ED" w:rsidRPr="009D42B5" w:rsidRDefault="006302ED" w:rsidP="006302ED">
            <w:pPr>
              <w:jc w:val="center"/>
              <w:rPr>
                <w:rFonts w:ascii="Calibri" w:eastAsia="Times New Roman" w:hAnsi="Calibri" w:cs="Calibri"/>
                <w:color w:val="000000"/>
              </w:rPr>
            </w:pPr>
            <w:r>
              <w:rPr>
                <w:rFonts w:ascii="Calibri" w:hAnsi="Calibri" w:cs="Calibri"/>
                <w:color w:val="000000"/>
              </w:rPr>
              <w:t>79.3 (80.2, 78.4)</w:t>
            </w:r>
          </w:p>
        </w:tc>
      </w:tr>
      <w:tr w:rsidR="006302ED" w:rsidRPr="009D42B5" w14:paraId="17A6F78C" w14:textId="77777777" w:rsidTr="00AE0151">
        <w:trPr>
          <w:trHeight w:val="300"/>
        </w:trPr>
        <w:tc>
          <w:tcPr>
            <w:tcW w:w="1240" w:type="dxa"/>
            <w:tcBorders>
              <w:top w:val="nil"/>
              <w:left w:val="nil"/>
              <w:bottom w:val="nil"/>
            </w:tcBorders>
            <w:shd w:val="clear" w:color="auto" w:fill="auto"/>
            <w:noWrap/>
            <w:vAlign w:val="bottom"/>
            <w:hideMark/>
          </w:tcPr>
          <w:p w14:paraId="79F53E87"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506CB7E1"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nil"/>
            </w:tcBorders>
            <w:shd w:val="clear" w:color="auto" w:fill="auto"/>
            <w:noWrap/>
            <w:vAlign w:val="bottom"/>
            <w:hideMark/>
          </w:tcPr>
          <w:p w14:paraId="75D70FDF" w14:textId="78EAC3CA" w:rsidR="006302ED" w:rsidRPr="009D42B5" w:rsidRDefault="006302ED" w:rsidP="006302ED">
            <w:pPr>
              <w:jc w:val="center"/>
              <w:rPr>
                <w:rFonts w:ascii="Calibri" w:eastAsia="Times New Roman" w:hAnsi="Calibri" w:cs="Calibri"/>
                <w:color w:val="000000"/>
              </w:rPr>
            </w:pPr>
            <w:r>
              <w:rPr>
                <w:rFonts w:ascii="Calibri" w:hAnsi="Calibri" w:cs="Calibri"/>
                <w:color w:val="000000"/>
              </w:rPr>
              <w:t>11.9 (11.7, 12.3)</w:t>
            </w:r>
          </w:p>
        </w:tc>
        <w:tc>
          <w:tcPr>
            <w:tcW w:w="1440" w:type="dxa"/>
            <w:tcBorders>
              <w:top w:val="nil"/>
              <w:bottom w:val="nil"/>
            </w:tcBorders>
            <w:shd w:val="clear" w:color="auto" w:fill="auto"/>
            <w:noWrap/>
            <w:vAlign w:val="bottom"/>
            <w:hideMark/>
          </w:tcPr>
          <w:p w14:paraId="5688D5BF" w14:textId="61660907" w:rsidR="006302ED" w:rsidRPr="009D42B5" w:rsidRDefault="006302ED" w:rsidP="006302ED">
            <w:pPr>
              <w:jc w:val="center"/>
              <w:rPr>
                <w:rFonts w:ascii="Calibri" w:eastAsia="Times New Roman" w:hAnsi="Calibri" w:cs="Calibri"/>
                <w:color w:val="000000"/>
              </w:rPr>
            </w:pPr>
            <w:r>
              <w:rPr>
                <w:rFonts w:ascii="Calibri" w:hAnsi="Calibri" w:cs="Calibri"/>
                <w:color w:val="000000"/>
              </w:rPr>
              <w:t>6.9 (6.5, 7.1)</w:t>
            </w:r>
          </w:p>
        </w:tc>
        <w:tc>
          <w:tcPr>
            <w:tcW w:w="1530" w:type="dxa"/>
            <w:tcBorders>
              <w:top w:val="nil"/>
              <w:bottom w:val="nil"/>
            </w:tcBorders>
            <w:shd w:val="clear" w:color="auto" w:fill="auto"/>
            <w:noWrap/>
            <w:vAlign w:val="bottom"/>
            <w:hideMark/>
          </w:tcPr>
          <w:p w14:paraId="5A7CE46A" w14:textId="22753A12" w:rsidR="006302ED" w:rsidRPr="009D42B5" w:rsidRDefault="006302ED" w:rsidP="006302ED">
            <w:pPr>
              <w:jc w:val="center"/>
              <w:rPr>
                <w:rFonts w:ascii="Calibri" w:eastAsia="Times New Roman" w:hAnsi="Calibri" w:cs="Calibri"/>
                <w:color w:val="000000"/>
              </w:rPr>
            </w:pPr>
            <w:r>
              <w:rPr>
                <w:rFonts w:ascii="Calibri" w:hAnsi="Calibri" w:cs="Calibri"/>
                <w:color w:val="000000"/>
              </w:rPr>
              <w:t>5.8 (5.4, 6.1)</w:t>
            </w:r>
          </w:p>
        </w:tc>
        <w:tc>
          <w:tcPr>
            <w:tcW w:w="1808" w:type="dxa"/>
            <w:tcBorders>
              <w:top w:val="nil"/>
              <w:bottom w:val="nil"/>
            </w:tcBorders>
            <w:shd w:val="clear" w:color="auto" w:fill="auto"/>
            <w:noWrap/>
            <w:vAlign w:val="bottom"/>
            <w:hideMark/>
          </w:tcPr>
          <w:p w14:paraId="0453A328" w14:textId="064186EE" w:rsidR="006302ED" w:rsidRPr="009D42B5" w:rsidRDefault="006302ED" w:rsidP="006302ED">
            <w:pPr>
              <w:jc w:val="center"/>
              <w:rPr>
                <w:rFonts w:ascii="Calibri" w:eastAsia="Times New Roman" w:hAnsi="Calibri" w:cs="Calibri"/>
                <w:color w:val="000000"/>
              </w:rPr>
            </w:pPr>
            <w:r>
              <w:rPr>
                <w:rFonts w:ascii="Calibri" w:hAnsi="Calibri" w:cs="Calibri"/>
                <w:color w:val="000000"/>
              </w:rPr>
              <w:t>75.5 (76.4, 74.5)</w:t>
            </w:r>
          </w:p>
        </w:tc>
      </w:tr>
      <w:tr w:rsidR="006302ED" w:rsidRPr="009D42B5" w14:paraId="080DAAE6" w14:textId="77777777" w:rsidTr="00AE0151">
        <w:trPr>
          <w:trHeight w:val="300"/>
        </w:trPr>
        <w:tc>
          <w:tcPr>
            <w:tcW w:w="1240" w:type="dxa"/>
            <w:tcBorders>
              <w:top w:val="nil"/>
              <w:left w:val="nil"/>
              <w:bottom w:val="nil"/>
            </w:tcBorders>
            <w:shd w:val="clear" w:color="000000" w:fill="D9D9D9"/>
            <w:noWrap/>
            <w:vAlign w:val="bottom"/>
            <w:hideMark/>
          </w:tcPr>
          <w:p w14:paraId="7B736A4E"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15C2383C"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000000" w:fill="D9D9D9"/>
            <w:noWrap/>
            <w:vAlign w:val="bottom"/>
            <w:hideMark/>
          </w:tcPr>
          <w:p w14:paraId="56F4200D" w14:textId="1AE20964" w:rsidR="006302ED" w:rsidRPr="009D42B5" w:rsidRDefault="006302ED" w:rsidP="006302ED">
            <w:pPr>
              <w:jc w:val="center"/>
              <w:rPr>
                <w:rFonts w:ascii="Calibri" w:eastAsia="Times New Roman" w:hAnsi="Calibri" w:cs="Calibri"/>
                <w:color w:val="000000"/>
              </w:rPr>
            </w:pPr>
            <w:r>
              <w:rPr>
                <w:rFonts w:ascii="Calibri" w:hAnsi="Calibri" w:cs="Calibri"/>
                <w:color w:val="000000"/>
              </w:rPr>
              <w:t>8.4 (8.1, 8.8)</w:t>
            </w:r>
          </w:p>
        </w:tc>
        <w:tc>
          <w:tcPr>
            <w:tcW w:w="1440" w:type="dxa"/>
            <w:tcBorders>
              <w:top w:val="nil"/>
              <w:bottom w:val="nil"/>
            </w:tcBorders>
            <w:shd w:val="clear" w:color="000000" w:fill="D9D9D9"/>
            <w:noWrap/>
            <w:vAlign w:val="bottom"/>
            <w:hideMark/>
          </w:tcPr>
          <w:p w14:paraId="6E7E6CC9" w14:textId="6C8F0C41" w:rsidR="006302ED" w:rsidRPr="009D42B5" w:rsidRDefault="006302ED" w:rsidP="006302ED">
            <w:pPr>
              <w:jc w:val="center"/>
              <w:rPr>
                <w:rFonts w:ascii="Calibri" w:eastAsia="Times New Roman" w:hAnsi="Calibri" w:cs="Calibri"/>
                <w:color w:val="000000"/>
              </w:rPr>
            </w:pPr>
            <w:r>
              <w:rPr>
                <w:rFonts w:ascii="Calibri" w:hAnsi="Calibri" w:cs="Calibri"/>
                <w:color w:val="000000"/>
              </w:rPr>
              <w:t>5.9 (5.6, 6.2)</w:t>
            </w:r>
          </w:p>
        </w:tc>
        <w:tc>
          <w:tcPr>
            <w:tcW w:w="1530" w:type="dxa"/>
            <w:tcBorders>
              <w:top w:val="nil"/>
              <w:bottom w:val="nil"/>
            </w:tcBorders>
            <w:shd w:val="clear" w:color="000000" w:fill="D9D9D9"/>
            <w:noWrap/>
            <w:vAlign w:val="bottom"/>
            <w:hideMark/>
          </w:tcPr>
          <w:p w14:paraId="0320419A" w14:textId="1C985079" w:rsidR="006302ED" w:rsidRPr="009D42B5" w:rsidRDefault="006302ED" w:rsidP="006302ED">
            <w:pPr>
              <w:jc w:val="center"/>
              <w:rPr>
                <w:rFonts w:ascii="Calibri" w:eastAsia="Times New Roman" w:hAnsi="Calibri" w:cs="Calibri"/>
                <w:color w:val="000000"/>
              </w:rPr>
            </w:pPr>
            <w:r>
              <w:rPr>
                <w:rFonts w:ascii="Calibri" w:hAnsi="Calibri" w:cs="Calibri"/>
                <w:color w:val="000000"/>
              </w:rPr>
              <w:t>3.5 (3.2, 3.7)</w:t>
            </w:r>
          </w:p>
        </w:tc>
        <w:tc>
          <w:tcPr>
            <w:tcW w:w="1808" w:type="dxa"/>
            <w:tcBorders>
              <w:top w:val="nil"/>
              <w:bottom w:val="nil"/>
            </w:tcBorders>
            <w:shd w:val="clear" w:color="000000" w:fill="D9D9D9"/>
            <w:noWrap/>
            <w:vAlign w:val="bottom"/>
            <w:hideMark/>
          </w:tcPr>
          <w:p w14:paraId="078157B0" w14:textId="1A53E2F6" w:rsidR="006302ED" w:rsidRPr="009D42B5" w:rsidRDefault="006302ED" w:rsidP="006302ED">
            <w:pPr>
              <w:jc w:val="center"/>
              <w:rPr>
                <w:rFonts w:ascii="Calibri" w:eastAsia="Times New Roman" w:hAnsi="Calibri" w:cs="Calibri"/>
                <w:color w:val="000000"/>
              </w:rPr>
            </w:pPr>
            <w:r>
              <w:rPr>
                <w:rFonts w:ascii="Calibri" w:hAnsi="Calibri" w:cs="Calibri"/>
                <w:color w:val="000000"/>
              </w:rPr>
              <w:t>82.3 (83.2, 81.3)</w:t>
            </w:r>
          </w:p>
        </w:tc>
      </w:tr>
      <w:tr w:rsidR="006302ED" w:rsidRPr="009D42B5" w14:paraId="2AE238D2" w14:textId="77777777" w:rsidTr="00AE0151">
        <w:trPr>
          <w:trHeight w:val="300"/>
        </w:trPr>
        <w:tc>
          <w:tcPr>
            <w:tcW w:w="1240" w:type="dxa"/>
            <w:tcBorders>
              <w:top w:val="nil"/>
              <w:left w:val="nil"/>
              <w:bottom w:val="nil"/>
            </w:tcBorders>
            <w:shd w:val="clear" w:color="000000" w:fill="D9D9D9"/>
            <w:noWrap/>
            <w:vAlign w:val="bottom"/>
            <w:hideMark/>
          </w:tcPr>
          <w:p w14:paraId="0F61E741"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39F16B8E"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bottom w:val="nil"/>
            </w:tcBorders>
            <w:shd w:val="clear" w:color="000000" w:fill="D9D9D9"/>
            <w:noWrap/>
            <w:vAlign w:val="bottom"/>
            <w:hideMark/>
          </w:tcPr>
          <w:p w14:paraId="7DB7E958" w14:textId="1F36C944" w:rsidR="006302ED" w:rsidRPr="009D42B5" w:rsidRDefault="006302ED" w:rsidP="006302ED">
            <w:pPr>
              <w:jc w:val="center"/>
              <w:rPr>
                <w:rFonts w:ascii="Calibri" w:eastAsia="Times New Roman" w:hAnsi="Calibri" w:cs="Calibri"/>
                <w:color w:val="000000"/>
              </w:rPr>
            </w:pPr>
            <w:r>
              <w:rPr>
                <w:rFonts w:ascii="Calibri" w:hAnsi="Calibri" w:cs="Calibri"/>
                <w:color w:val="000000"/>
              </w:rPr>
              <w:t>11.4 (11, 11.7)</w:t>
            </w:r>
          </w:p>
        </w:tc>
        <w:tc>
          <w:tcPr>
            <w:tcW w:w="1440" w:type="dxa"/>
            <w:tcBorders>
              <w:top w:val="nil"/>
              <w:bottom w:val="nil"/>
            </w:tcBorders>
            <w:shd w:val="clear" w:color="000000" w:fill="D9D9D9"/>
            <w:noWrap/>
            <w:vAlign w:val="bottom"/>
            <w:hideMark/>
          </w:tcPr>
          <w:p w14:paraId="137FCF1B" w14:textId="13D3FDA3" w:rsidR="006302ED" w:rsidRPr="009D42B5" w:rsidRDefault="006302ED" w:rsidP="006302ED">
            <w:pPr>
              <w:jc w:val="center"/>
              <w:rPr>
                <w:rFonts w:ascii="Calibri" w:eastAsia="Times New Roman" w:hAnsi="Calibri" w:cs="Calibri"/>
                <w:color w:val="000000"/>
              </w:rPr>
            </w:pPr>
            <w:r>
              <w:rPr>
                <w:rFonts w:ascii="Calibri" w:hAnsi="Calibri" w:cs="Calibri"/>
                <w:color w:val="000000"/>
              </w:rPr>
              <w:t>6.9 (6.6, 7.3)</w:t>
            </w:r>
          </w:p>
        </w:tc>
        <w:tc>
          <w:tcPr>
            <w:tcW w:w="1530" w:type="dxa"/>
            <w:tcBorders>
              <w:top w:val="nil"/>
              <w:bottom w:val="nil"/>
            </w:tcBorders>
            <w:shd w:val="clear" w:color="000000" w:fill="D9D9D9"/>
            <w:noWrap/>
            <w:vAlign w:val="bottom"/>
            <w:hideMark/>
          </w:tcPr>
          <w:p w14:paraId="2938F548" w14:textId="46B61814" w:rsidR="006302ED" w:rsidRPr="009D42B5" w:rsidRDefault="006302ED" w:rsidP="006302ED">
            <w:pPr>
              <w:jc w:val="center"/>
              <w:rPr>
                <w:rFonts w:ascii="Calibri" w:eastAsia="Times New Roman" w:hAnsi="Calibri" w:cs="Calibri"/>
                <w:color w:val="000000"/>
              </w:rPr>
            </w:pPr>
            <w:r>
              <w:rPr>
                <w:rFonts w:ascii="Calibri" w:hAnsi="Calibri" w:cs="Calibri"/>
                <w:color w:val="000000"/>
              </w:rPr>
              <w:t>4.9 (4.6, 5.3)</w:t>
            </w:r>
          </w:p>
        </w:tc>
        <w:tc>
          <w:tcPr>
            <w:tcW w:w="1808" w:type="dxa"/>
            <w:tcBorders>
              <w:top w:val="nil"/>
              <w:bottom w:val="nil"/>
            </w:tcBorders>
            <w:shd w:val="clear" w:color="000000" w:fill="D9D9D9"/>
            <w:noWrap/>
            <w:vAlign w:val="bottom"/>
            <w:hideMark/>
          </w:tcPr>
          <w:p w14:paraId="0926A706" w14:textId="52C68424" w:rsidR="006302ED" w:rsidRPr="009D42B5" w:rsidRDefault="006302ED" w:rsidP="006302ED">
            <w:pPr>
              <w:jc w:val="center"/>
              <w:rPr>
                <w:rFonts w:ascii="Calibri" w:eastAsia="Times New Roman" w:hAnsi="Calibri" w:cs="Calibri"/>
                <w:color w:val="000000"/>
              </w:rPr>
            </w:pPr>
            <w:r>
              <w:rPr>
                <w:rFonts w:ascii="Calibri" w:hAnsi="Calibri" w:cs="Calibri"/>
                <w:color w:val="000000"/>
              </w:rPr>
              <w:t>76.7 (77.7, 75.6)</w:t>
            </w:r>
          </w:p>
        </w:tc>
      </w:tr>
      <w:tr w:rsidR="006302ED" w:rsidRPr="009D42B5" w14:paraId="00123571" w14:textId="77777777" w:rsidTr="00AE0151">
        <w:trPr>
          <w:trHeight w:val="300"/>
        </w:trPr>
        <w:tc>
          <w:tcPr>
            <w:tcW w:w="1240" w:type="dxa"/>
            <w:tcBorders>
              <w:top w:val="nil"/>
              <w:left w:val="nil"/>
              <w:bottom w:val="nil"/>
            </w:tcBorders>
            <w:shd w:val="clear" w:color="000000" w:fill="D9D9D9"/>
            <w:noWrap/>
            <w:vAlign w:val="bottom"/>
            <w:hideMark/>
          </w:tcPr>
          <w:p w14:paraId="43AA8723"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000F220F"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nil"/>
            </w:tcBorders>
            <w:shd w:val="clear" w:color="000000" w:fill="D9D9D9"/>
            <w:noWrap/>
            <w:vAlign w:val="bottom"/>
            <w:hideMark/>
          </w:tcPr>
          <w:p w14:paraId="5F9A52D8" w14:textId="24C840DB" w:rsidR="006302ED" w:rsidRPr="009D42B5" w:rsidRDefault="006302ED" w:rsidP="006302ED">
            <w:pPr>
              <w:jc w:val="center"/>
              <w:rPr>
                <w:rFonts w:ascii="Calibri" w:eastAsia="Times New Roman" w:hAnsi="Calibri" w:cs="Calibri"/>
                <w:color w:val="000000"/>
              </w:rPr>
            </w:pPr>
            <w:r>
              <w:rPr>
                <w:rFonts w:ascii="Calibri" w:hAnsi="Calibri" w:cs="Calibri"/>
                <w:color w:val="000000"/>
              </w:rPr>
              <w:t>13.3 (13, 13.5)</w:t>
            </w:r>
          </w:p>
        </w:tc>
        <w:tc>
          <w:tcPr>
            <w:tcW w:w="1440" w:type="dxa"/>
            <w:tcBorders>
              <w:top w:val="nil"/>
              <w:bottom w:val="nil"/>
            </w:tcBorders>
            <w:shd w:val="clear" w:color="000000" w:fill="D9D9D9"/>
            <w:noWrap/>
            <w:vAlign w:val="bottom"/>
            <w:hideMark/>
          </w:tcPr>
          <w:p w14:paraId="3E69078E" w14:textId="316CDAFD" w:rsidR="006302ED" w:rsidRPr="009D42B5" w:rsidRDefault="006302ED" w:rsidP="006302ED">
            <w:pPr>
              <w:jc w:val="center"/>
              <w:rPr>
                <w:rFonts w:ascii="Calibri" w:eastAsia="Times New Roman" w:hAnsi="Calibri" w:cs="Calibri"/>
                <w:color w:val="000000"/>
              </w:rPr>
            </w:pPr>
            <w:r>
              <w:rPr>
                <w:rFonts w:ascii="Calibri" w:hAnsi="Calibri" w:cs="Calibri"/>
                <w:color w:val="000000"/>
              </w:rPr>
              <w:t>8.1 (7.8, 8.5)</w:t>
            </w:r>
          </w:p>
        </w:tc>
        <w:tc>
          <w:tcPr>
            <w:tcW w:w="1530" w:type="dxa"/>
            <w:tcBorders>
              <w:top w:val="nil"/>
              <w:bottom w:val="nil"/>
            </w:tcBorders>
            <w:shd w:val="clear" w:color="000000" w:fill="D9D9D9"/>
            <w:noWrap/>
            <w:vAlign w:val="bottom"/>
            <w:hideMark/>
          </w:tcPr>
          <w:p w14:paraId="5E53A6F4" w14:textId="3819F60D" w:rsidR="006302ED" w:rsidRPr="009D42B5" w:rsidRDefault="006302ED" w:rsidP="006302ED">
            <w:pPr>
              <w:jc w:val="center"/>
              <w:rPr>
                <w:rFonts w:ascii="Calibri" w:eastAsia="Times New Roman" w:hAnsi="Calibri" w:cs="Calibri"/>
                <w:color w:val="000000"/>
              </w:rPr>
            </w:pPr>
            <w:r>
              <w:rPr>
                <w:rFonts w:ascii="Calibri" w:hAnsi="Calibri" w:cs="Calibri"/>
                <w:color w:val="000000"/>
              </w:rPr>
              <w:t>6.8 (6.6, 7.1)</w:t>
            </w:r>
          </w:p>
        </w:tc>
        <w:tc>
          <w:tcPr>
            <w:tcW w:w="1808" w:type="dxa"/>
            <w:tcBorders>
              <w:top w:val="nil"/>
              <w:bottom w:val="nil"/>
            </w:tcBorders>
            <w:shd w:val="clear" w:color="000000" w:fill="D9D9D9"/>
            <w:noWrap/>
            <w:vAlign w:val="bottom"/>
            <w:hideMark/>
          </w:tcPr>
          <w:p w14:paraId="4A38CCB6" w14:textId="570117E7" w:rsidR="006302ED" w:rsidRPr="009D42B5" w:rsidRDefault="006302ED" w:rsidP="006302ED">
            <w:pPr>
              <w:jc w:val="center"/>
              <w:rPr>
                <w:rFonts w:ascii="Calibri" w:eastAsia="Times New Roman" w:hAnsi="Calibri" w:cs="Calibri"/>
                <w:color w:val="000000"/>
              </w:rPr>
            </w:pPr>
            <w:r>
              <w:rPr>
                <w:rFonts w:ascii="Calibri" w:hAnsi="Calibri" w:cs="Calibri"/>
                <w:color w:val="000000"/>
              </w:rPr>
              <w:t>71.7 (72.6, 70.9)</w:t>
            </w:r>
          </w:p>
        </w:tc>
      </w:tr>
      <w:tr w:rsidR="00C6275A" w:rsidRPr="009D42B5" w14:paraId="5D5F9B61" w14:textId="77777777" w:rsidTr="00AE0151">
        <w:trPr>
          <w:trHeight w:val="300"/>
        </w:trPr>
        <w:tc>
          <w:tcPr>
            <w:tcW w:w="2940" w:type="dxa"/>
            <w:gridSpan w:val="3"/>
            <w:vMerge w:val="restart"/>
            <w:tcBorders>
              <w:top w:val="single" w:sz="4" w:space="0" w:color="auto"/>
              <w:left w:val="nil"/>
            </w:tcBorders>
            <w:shd w:val="clear" w:color="auto" w:fill="auto"/>
            <w:vAlign w:val="bottom"/>
            <w:hideMark/>
          </w:tcPr>
          <w:p w14:paraId="5598E2ED" w14:textId="77777777" w:rsidR="00C6275A" w:rsidRPr="009D42B5" w:rsidRDefault="00C6275A" w:rsidP="00C6275A">
            <w:pPr>
              <w:jc w:val="center"/>
              <w:rPr>
                <w:rFonts w:ascii="Calibri" w:eastAsia="Times New Roman" w:hAnsi="Calibri" w:cs="Calibri"/>
                <w:b/>
                <w:color w:val="000000"/>
              </w:rPr>
            </w:pPr>
            <w:r w:rsidRPr="009D42B5">
              <w:rPr>
                <w:rFonts w:ascii="Calibri" w:eastAsia="Times New Roman" w:hAnsi="Calibri" w:cs="Calibri"/>
                <w:b/>
                <w:color w:val="000000"/>
              </w:rPr>
              <w:t>Relative Risk of HIV Acquisition by STI Site</w:t>
            </w:r>
          </w:p>
        </w:tc>
        <w:tc>
          <w:tcPr>
            <w:tcW w:w="6162" w:type="dxa"/>
            <w:gridSpan w:val="4"/>
            <w:tcBorders>
              <w:top w:val="single" w:sz="4" w:space="0" w:color="auto"/>
              <w:left w:val="nil"/>
              <w:bottom w:val="single" w:sz="4" w:space="0" w:color="auto"/>
            </w:tcBorders>
            <w:shd w:val="clear" w:color="auto" w:fill="auto"/>
            <w:vAlign w:val="bottom"/>
          </w:tcPr>
          <w:p w14:paraId="654684C0" w14:textId="77777777" w:rsidR="00C6275A" w:rsidRPr="009D42B5" w:rsidRDefault="00C6275A" w:rsidP="00C6275A">
            <w:pPr>
              <w:jc w:val="center"/>
              <w:rPr>
                <w:rFonts w:ascii="Calibri" w:eastAsia="Times New Roman" w:hAnsi="Calibri" w:cs="Calibri"/>
                <w:b/>
                <w:color w:val="000000"/>
              </w:rPr>
            </w:pPr>
            <w:r>
              <w:rPr>
                <w:rFonts w:ascii="Calibri" w:eastAsia="Times New Roman" w:hAnsi="Calibri" w:cs="Calibri"/>
                <w:b/>
                <w:color w:val="000000"/>
              </w:rPr>
              <w:t>Sites of Sexual Activity with Prevalent STI</w:t>
            </w:r>
          </w:p>
        </w:tc>
      </w:tr>
      <w:tr w:rsidR="00C6275A" w:rsidRPr="009D42B5" w14:paraId="64CEAAA3" w14:textId="77777777" w:rsidTr="00AE0151">
        <w:trPr>
          <w:trHeight w:val="300"/>
        </w:trPr>
        <w:tc>
          <w:tcPr>
            <w:tcW w:w="2940" w:type="dxa"/>
            <w:gridSpan w:val="3"/>
            <w:vMerge/>
            <w:tcBorders>
              <w:top w:val="single" w:sz="4" w:space="0" w:color="auto"/>
              <w:left w:val="nil"/>
              <w:bottom w:val="single" w:sz="4" w:space="0" w:color="auto"/>
            </w:tcBorders>
            <w:shd w:val="clear" w:color="auto" w:fill="auto"/>
            <w:vAlign w:val="bottom"/>
          </w:tcPr>
          <w:p w14:paraId="37D8CC14" w14:textId="77777777" w:rsidR="00C6275A" w:rsidRPr="009D42B5" w:rsidRDefault="00C6275A" w:rsidP="00C6275A">
            <w:pPr>
              <w:jc w:val="center"/>
              <w:rPr>
                <w:rFonts w:ascii="Calibri" w:eastAsia="Times New Roman" w:hAnsi="Calibri" w:cs="Calibri"/>
                <w:b/>
                <w:color w:val="000000"/>
              </w:rPr>
            </w:pPr>
          </w:p>
        </w:tc>
        <w:tc>
          <w:tcPr>
            <w:tcW w:w="6162" w:type="dxa"/>
            <w:gridSpan w:val="4"/>
            <w:tcBorders>
              <w:top w:val="single" w:sz="4" w:space="0" w:color="auto"/>
              <w:left w:val="nil"/>
              <w:bottom w:val="single" w:sz="4" w:space="0" w:color="auto"/>
            </w:tcBorders>
            <w:shd w:val="clear" w:color="auto" w:fill="auto"/>
            <w:vAlign w:val="bottom"/>
          </w:tcPr>
          <w:p w14:paraId="1319EE11" w14:textId="77777777" w:rsidR="00C6275A" w:rsidRDefault="00C6275A" w:rsidP="00C6275A">
            <w:pPr>
              <w:jc w:val="center"/>
              <w:rPr>
                <w:rFonts w:ascii="Calibri" w:eastAsia="Times New Roman" w:hAnsi="Calibri" w:cs="Calibri"/>
                <w:b/>
                <w:color w:val="000000"/>
              </w:rPr>
            </w:pPr>
            <w:r>
              <w:rPr>
                <w:rFonts w:ascii="Calibri" w:eastAsia="Times New Roman" w:hAnsi="Calibri" w:cs="Calibri"/>
                <w:b/>
                <w:color w:val="000000"/>
              </w:rPr>
              <w:t>Median (IQR) Proportion of Transmission Events</w:t>
            </w:r>
          </w:p>
        </w:tc>
      </w:tr>
      <w:tr w:rsidR="00C6275A" w:rsidRPr="009D42B5" w14:paraId="61763147" w14:textId="77777777" w:rsidTr="00AE0151">
        <w:trPr>
          <w:trHeight w:val="300"/>
        </w:trPr>
        <w:tc>
          <w:tcPr>
            <w:tcW w:w="1240" w:type="dxa"/>
            <w:tcBorders>
              <w:top w:val="nil"/>
              <w:left w:val="nil"/>
            </w:tcBorders>
            <w:shd w:val="clear" w:color="auto" w:fill="auto"/>
            <w:noWrap/>
            <w:vAlign w:val="bottom"/>
            <w:hideMark/>
          </w:tcPr>
          <w:p w14:paraId="67750C59"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Rectal</w:t>
            </w:r>
          </w:p>
        </w:tc>
        <w:tc>
          <w:tcPr>
            <w:tcW w:w="1240" w:type="dxa"/>
            <w:tcBorders>
              <w:top w:val="nil"/>
            </w:tcBorders>
            <w:shd w:val="clear" w:color="auto" w:fill="auto"/>
            <w:noWrap/>
            <w:vAlign w:val="bottom"/>
            <w:hideMark/>
          </w:tcPr>
          <w:p w14:paraId="1067AA12"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Urethral</w:t>
            </w:r>
          </w:p>
        </w:tc>
        <w:tc>
          <w:tcPr>
            <w:tcW w:w="1840" w:type="dxa"/>
            <w:gridSpan w:val="2"/>
            <w:tcBorders>
              <w:top w:val="nil"/>
            </w:tcBorders>
            <w:shd w:val="clear" w:color="auto" w:fill="auto"/>
            <w:vAlign w:val="bottom"/>
            <w:hideMark/>
          </w:tcPr>
          <w:p w14:paraId="73F4320D"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Rectal and Urethral</w:t>
            </w:r>
          </w:p>
        </w:tc>
        <w:tc>
          <w:tcPr>
            <w:tcW w:w="1440" w:type="dxa"/>
            <w:tcBorders>
              <w:top w:val="nil"/>
            </w:tcBorders>
            <w:shd w:val="clear" w:color="auto" w:fill="auto"/>
            <w:vAlign w:val="bottom"/>
            <w:hideMark/>
          </w:tcPr>
          <w:p w14:paraId="7A3121CB"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Rectal Only</w:t>
            </w:r>
          </w:p>
        </w:tc>
        <w:tc>
          <w:tcPr>
            <w:tcW w:w="1530" w:type="dxa"/>
            <w:tcBorders>
              <w:top w:val="nil"/>
            </w:tcBorders>
            <w:shd w:val="clear" w:color="auto" w:fill="auto"/>
            <w:vAlign w:val="bottom"/>
            <w:hideMark/>
          </w:tcPr>
          <w:p w14:paraId="49EA595D"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Urethral Only</w:t>
            </w:r>
          </w:p>
        </w:tc>
        <w:tc>
          <w:tcPr>
            <w:tcW w:w="1808" w:type="dxa"/>
            <w:tcBorders>
              <w:top w:val="nil"/>
            </w:tcBorders>
            <w:shd w:val="clear" w:color="auto" w:fill="auto"/>
            <w:vAlign w:val="bottom"/>
            <w:hideMark/>
          </w:tcPr>
          <w:p w14:paraId="3E731EED" w14:textId="77777777" w:rsidR="00C6275A" w:rsidRPr="009D42B5" w:rsidRDefault="00C6275A" w:rsidP="00C6275A">
            <w:pPr>
              <w:jc w:val="center"/>
              <w:rPr>
                <w:rFonts w:ascii="Calibri" w:eastAsia="Times New Roman" w:hAnsi="Calibri" w:cs="Calibri"/>
                <w:color w:val="000000"/>
              </w:rPr>
            </w:pPr>
            <w:r w:rsidRPr="009D42B5">
              <w:rPr>
                <w:rFonts w:ascii="Calibri" w:eastAsia="Times New Roman" w:hAnsi="Calibri" w:cs="Calibri"/>
                <w:color w:val="000000"/>
              </w:rPr>
              <w:t>Neither</w:t>
            </w:r>
          </w:p>
        </w:tc>
      </w:tr>
      <w:tr w:rsidR="00820178" w:rsidRPr="009D42B5" w14:paraId="3D5B9E3E" w14:textId="77777777" w:rsidTr="00AE0151">
        <w:trPr>
          <w:trHeight w:val="300"/>
        </w:trPr>
        <w:tc>
          <w:tcPr>
            <w:tcW w:w="1240" w:type="dxa"/>
            <w:tcBorders>
              <w:top w:val="nil"/>
              <w:left w:val="nil"/>
              <w:bottom w:val="nil"/>
            </w:tcBorders>
            <w:shd w:val="clear" w:color="auto" w:fill="auto"/>
            <w:noWrap/>
            <w:vAlign w:val="bottom"/>
            <w:hideMark/>
          </w:tcPr>
          <w:p w14:paraId="0E4D6011"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1.97</w:t>
            </w:r>
          </w:p>
        </w:tc>
        <w:tc>
          <w:tcPr>
            <w:tcW w:w="1240" w:type="dxa"/>
            <w:tcBorders>
              <w:top w:val="nil"/>
              <w:bottom w:val="nil"/>
            </w:tcBorders>
            <w:shd w:val="clear" w:color="auto" w:fill="auto"/>
            <w:noWrap/>
            <w:vAlign w:val="bottom"/>
            <w:hideMark/>
          </w:tcPr>
          <w:p w14:paraId="496B1589"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1.48</w:t>
            </w:r>
          </w:p>
        </w:tc>
        <w:tc>
          <w:tcPr>
            <w:tcW w:w="1840" w:type="dxa"/>
            <w:gridSpan w:val="2"/>
            <w:tcBorders>
              <w:top w:val="nil"/>
              <w:bottom w:val="nil"/>
            </w:tcBorders>
            <w:shd w:val="clear" w:color="auto" w:fill="auto"/>
            <w:noWrap/>
            <w:vAlign w:val="bottom"/>
            <w:hideMark/>
          </w:tcPr>
          <w:p w14:paraId="2C260CCD" w14:textId="5F66DA86" w:rsidR="00820178" w:rsidRPr="009D42B5" w:rsidRDefault="00820178" w:rsidP="00820178">
            <w:pPr>
              <w:jc w:val="center"/>
              <w:rPr>
                <w:rFonts w:ascii="Calibri" w:eastAsia="Times New Roman" w:hAnsi="Calibri" w:cs="Calibri"/>
                <w:color w:val="000000"/>
              </w:rPr>
            </w:pPr>
            <w:r>
              <w:rPr>
                <w:rFonts w:ascii="Calibri" w:hAnsi="Calibri" w:cs="Calibri"/>
                <w:color w:val="000000"/>
              </w:rPr>
              <w:t>7.2 (6.8, 7.6)</w:t>
            </w:r>
          </w:p>
        </w:tc>
        <w:tc>
          <w:tcPr>
            <w:tcW w:w="1440" w:type="dxa"/>
            <w:tcBorders>
              <w:top w:val="nil"/>
              <w:bottom w:val="nil"/>
            </w:tcBorders>
            <w:shd w:val="clear" w:color="auto" w:fill="auto"/>
            <w:noWrap/>
            <w:vAlign w:val="bottom"/>
            <w:hideMark/>
          </w:tcPr>
          <w:p w14:paraId="4AC5DAC1" w14:textId="5AB60B18" w:rsidR="00820178" w:rsidRPr="009D42B5" w:rsidRDefault="00820178" w:rsidP="00820178">
            <w:pPr>
              <w:jc w:val="center"/>
              <w:rPr>
                <w:rFonts w:ascii="Calibri" w:eastAsia="Times New Roman" w:hAnsi="Calibri" w:cs="Calibri"/>
                <w:color w:val="000000"/>
              </w:rPr>
            </w:pPr>
            <w:r>
              <w:rPr>
                <w:rFonts w:ascii="Calibri" w:hAnsi="Calibri" w:cs="Calibri"/>
                <w:color w:val="000000"/>
              </w:rPr>
              <w:t>5.2 (4.8, 5.5)</w:t>
            </w:r>
          </w:p>
        </w:tc>
        <w:tc>
          <w:tcPr>
            <w:tcW w:w="1530" w:type="dxa"/>
            <w:tcBorders>
              <w:top w:val="nil"/>
              <w:bottom w:val="nil"/>
            </w:tcBorders>
            <w:shd w:val="clear" w:color="auto" w:fill="auto"/>
            <w:noWrap/>
            <w:vAlign w:val="bottom"/>
            <w:hideMark/>
          </w:tcPr>
          <w:p w14:paraId="2366067E" w14:textId="3562E921" w:rsidR="00820178" w:rsidRPr="009D42B5" w:rsidRDefault="00820178" w:rsidP="00820178">
            <w:pPr>
              <w:jc w:val="center"/>
              <w:rPr>
                <w:rFonts w:ascii="Calibri" w:eastAsia="Times New Roman" w:hAnsi="Calibri" w:cs="Calibri"/>
                <w:color w:val="000000"/>
              </w:rPr>
            </w:pPr>
            <w:r>
              <w:rPr>
                <w:rFonts w:ascii="Calibri" w:hAnsi="Calibri" w:cs="Calibri"/>
                <w:color w:val="000000"/>
              </w:rPr>
              <w:t>3 (2.7, 3.3)</w:t>
            </w:r>
          </w:p>
        </w:tc>
        <w:tc>
          <w:tcPr>
            <w:tcW w:w="1808" w:type="dxa"/>
            <w:tcBorders>
              <w:top w:val="nil"/>
              <w:bottom w:val="nil"/>
            </w:tcBorders>
            <w:shd w:val="clear" w:color="auto" w:fill="auto"/>
            <w:noWrap/>
            <w:vAlign w:val="bottom"/>
            <w:hideMark/>
          </w:tcPr>
          <w:p w14:paraId="1C13C43A" w14:textId="5CF4A0DE" w:rsidR="00820178" w:rsidRPr="009D42B5" w:rsidRDefault="00820178" w:rsidP="00820178">
            <w:pPr>
              <w:jc w:val="center"/>
              <w:rPr>
                <w:rFonts w:ascii="Calibri" w:eastAsia="Times New Roman" w:hAnsi="Calibri" w:cs="Calibri"/>
                <w:color w:val="000000"/>
              </w:rPr>
            </w:pPr>
            <w:r>
              <w:rPr>
                <w:rFonts w:ascii="Calibri" w:hAnsi="Calibri" w:cs="Calibri"/>
                <w:color w:val="000000"/>
              </w:rPr>
              <w:t>84.5 (85.6, 83.6)</w:t>
            </w:r>
          </w:p>
        </w:tc>
      </w:tr>
      <w:tr w:rsidR="00820178" w:rsidRPr="009D42B5" w14:paraId="2B1B799F" w14:textId="77777777" w:rsidTr="00AE0151">
        <w:trPr>
          <w:trHeight w:val="300"/>
        </w:trPr>
        <w:tc>
          <w:tcPr>
            <w:tcW w:w="1240" w:type="dxa"/>
            <w:tcBorders>
              <w:top w:val="nil"/>
              <w:left w:val="nil"/>
              <w:bottom w:val="nil"/>
            </w:tcBorders>
            <w:shd w:val="clear" w:color="000000" w:fill="D9D9D9"/>
            <w:noWrap/>
            <w:vAlign w:val="bottom"/>
            <w:hideMark/>
          </w:tcPr>
          <w:p w14:paraId="7ED27AB3"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6BBA1E7C"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000000" w:fill="D9D9D9"/>
            <w:noWrap/>
            <w:vAlign w:val="bottom"/>
            <w:hideMark/>
          </w:tcPr>
          <w:p w14:paraId="5E3065D1" w14:textId="4A6928DD" w:rsidR="00820178" w:rsidRPr="009D42B5" w:rsidRDefault="00820178" w:rsidP="00820178">
            <w:pPr>
              <w:jc w:val="center"/>
              <w:rPr>
                <w:rFonts w:ascii="Calibri" w:eastAsia="Times New Roman" w:hAnsi="Calibri" w:cs="Calibri"/>
                <w:color w:val="000000"/>
              </w:rPr>
            </w:pPr>
            <w:r>
              <w:rPr>
                <w:rFonts w:ascii="Calibri" w:hAnsi="Calibri" w:cs="Calibri"/>
                <w:color w:val="000000"/>
              </w:rPr>
              <w:t>4.5 (4.2, 4.9)</w:t>
            </w:r>
          </w:p>
        </w:tc>
        <w:tc>
          <w:tcPr>
            <w:tcW w:w="1440" w:type="dxa"/>
            <w:tcBorders>
              <w:top w:val="nil"/>
              <w:bottom w:val="nil"/>
            </w:tcBorders>
            <w:shd w:val="clear" w:color="000000" w:fill="D9D9D9"/>
            <w:noWrap/>
            <w:vAlign w:val="bottom"/>
            <w:hideMark/>
          </w:tcPr>
          <w:p w14:paraId="01BEFCFD" w14:textId="378FDC10" w:rsidR="00820178" w:rsidRPr="009D42B5" w:rsidRDefault="00820178" w:rsidP="00820178">
            <w:pPr>
              <w:jc w:val="center"/>
              <w:rPr>
                <w:rFonts w:ascii="Calibri" w:eastAsia="Times New Roman" w:hAnsi="Calibri" w:cs="Calibri"/>
                <w:color w:val="000000"/>
              </w:rPr>
            </w:pPr>
            <w:r>
              <w:rPr>
                <w:rFonts w:ascii="Calibri" w:hAnsi="Calibri" w:cs="Calibri"/>
                <w:color w:val="000000"/>
              </w:rPr>
              <w:t>3.4 (3.1, 3.7)</w:t>
            </w:r>
          </w:p>
        </w:tc>
        <w:tc>
          <w:tcPr>
            <w:tcW w:w="1530" w:type="dxa"/>
            <w:tcBorders>
              <w:top w:val="nil"/>
              <w:bottom w:val="nil"/>
            </w:tcBorders>
            <w:shd w:val="clear" w:color="000000" w:fill="D9D9D9"/>
            <w:noWrap/>
            <w:vAlign w:val="bottom"/>
            <w:hideMark/>
          </w:tcPr>
          <w:p w14:paraId="16FC2545" w14:textId="28DA4056" w:rsidR="00820178" w:rsidRPr="009D42B5" w:rsidRDefault="00820178" w:rsidP="00820178">
            <w:pPr>
              <w:jc w:val="center"/>
              <w:rPr>
                <w:rFonts w:ascii="Calibri" w:eastAsia="Times New Roman" w:hAnsi="Calibri" w:cs="Calibri"/>
                <w:color w:val="000000"/>
              </w:rPr>
            </w:pPr>
            <w:r>
              <w:rPr>
                <w:rFonts w:ascii="Calibri" w:hAnsi="Calibri" w:cs="Calibri"/>
                <w:color w:val="000000"/>
              </w:rPr>
              <w:t>2.8 (2.5, 3.1)</w:t>
            </w:r>
          </w:p>
        </w:tc>
        <w:tc>
          <w:tcPr>
            <w:tcW w:w="1808" w:type="dxa"/>
            <w:tcBorders>
              <w:top w:val="nil"/>
              <w:bottom w:val="nil"/>
            </w:tcBorders>
            <w:shd w:val="clear" w:color="000000" w:fill="D9D9D9"/>
            <w:noWrap/>
            <w:vAlign w:val="bottom"/>
            <w:hideMark/>
          </w:tcPr>
          <w:p w14:paraId="622E73C0" w14:textId="3A503D96" w:rsidR="00820178" w:rsidRPr="009D42B5" w:rsidRDefault="00820178" w:rsidP="00820178">
            <w:pPr>
              <w:jc w:val="center"/>
              <w:rPr>
                <w:rFonts w:ascii="Calibri" w:eastAsia="Times New Roman" w:hAnsi="Calibri" w:cs="Calibri"/>
                <w:color w:val="000000"/>
              </w:rPr>
            </w:pPr>
            <w:r>
              <w:rPr>
                <w:rFonts w:ascii="Calibri" w:hAnsi="Calibri" w:cs="Calibri"/>
                <w:color w:val="000000"/>
              </w:rPr>
              <w:t>89.3 (90.2, 88.3)</w:t>
            </w:r>
          </w:p>
        </w:tc>
      </w:tr>
      <w:tr w:rsidR="00820178" w:rsidRPr="009D42B5" w14:paraId="3A2C2D27" w14:textId="77777777" w:rsidTr="00AE0151">
        <w:trPr>
          <w:trHeight w:val="300"/>
        </w:trPr>
        <w:tc>
          <w:tcPr>
            <w:tcW w:w="1240" w:type="dxa"/>
            <w:tcBorders>
              <w:top w:val="nil"/>
              <w:left w:val="nil"/>
              <w:bottom w:val="nil"/>
            </w:tcBorders>
            <w:shd w:val="clear" w:color="000000" w:fill="D9D9D9"/>
            <w:noWrap/>
            <w:vAlign w:val="bottom"/>
            <w:hideMark/>
          </w:tcPr>
          <w:p w14:paraId="58159FAD"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lastRenderedPageBreak/>
              <w:t>1.0</w:t>
            </w:r>
          </w:p>
        </w:tc>
        <w:tc>
          <w:tcPr>
            <w:tcW w:w="1240" w:type="dxa"/>
            <w:tcBorders>
              <w:top w:val="nil"/>
              <w:bottom w:val="nil"/>
            </w:tcBorders>
            <w:shd w:val="clear" w:color="000000" w:fill="D9D9D9"/>
            <w:noWrap/>
            <w:vAlign w:val="bottom"/>
            <w:hideMark/>
          </w:tcPr>
          <w:p w14:paraId="509BA4A9"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bottom w:val="nil"/>
            </w:tcBorders>
            <w:shd w:val="clear" w:color="000000" w:fill="D9D9D9"/>
            <w:noWrap/>
            <w:vAlign w:val="bottom"/>
            <w:hideMark/>
          </w:tcPr>
          <w:p w14:paraId="7E08C80C" w14:textId="3CE62945" w:rsidR="00820178" w:rsidRPr="009D42B5" w:rsidRDefault="00820178" w:rsidP="00820178">
            <w:pPr>
              <w:jc w:val="center"/>
              <w:rPr>
                <w:rFonts w:ascii="Calibri" w:eastAsia="Times New Roman" w:hAnsi="Calibri" w:cs="Calibri"/>
                <w:color w:val="000000"/>
              </w:rPr>
            </w:pPr>
            <w:r>
              <w:rPr>
                <w:rFonts w:ascii="Calibri" w:hAnsi="Calibri" w:cs="Calibri"/>
                <w:color w:val="000000"/>
              </w:rPr>
              <w:t>5.2 (4.9, 5.6)</w:t>
            </w:r>
          </w:p>
        </w:tc>
        <w:tc>
          <w:tcPr>
            <w:tcW w:w="1440" w:type="dxa"/>
            <w:tcBorders>
              <w:top w:val="nil"/>
              <w:bottom w:val="nil"/>
            </w:tcBorders>
            <w:shd w:val="clear" w:color="000000" w:fill="D9D9D9"/>
            <w:noWrap/>
            <w:vAlign w:val="bottom"/>
            <w:hideMark/>
          </w:tcPr>
          <w:p w14:paraId="31EF80B4" w14:textId="36052A7B" w:rsidR="00820178" w:rsidRPr="009D42B5" w:rsidRDefault="00820178" w:rsidP="00820178">
            <w:pPr>
              <w:jc w:val="center"/>
              <w:rPr>
                <w:rFonts w:ascii="Calibri" w:eastAsia="Times New Roman" w:hAnsi="Calibri" w:cs="Calibri"/>
                <w:color w:val="000000"/>
              </w:rPr>
            </w:pPr>
            <w:r>
              <w:rPr>
                <w:rFonts w:ascii="Calibri" w:hAnsi="Calibri" w:cs="Calibri"/>
                <w:color w:val="000000"/>
              </w:rPr>
              <w:t>4.0 (3.7, 4.4)</w:t>
            </w:r>
          </w:p>
        </w:tc>
        <w:tc>
          <w:tcPr>
            <w:tcW w:w="1530" w:type="dxa"/>
            <w:tcBorders>
              <w:top w:val="nil"/>
              <w:bottom w:val="nil"/>
            </w:tcBorders>
            <w:shd w:val="clear" w:color="000000" w:fill="D9D9D9"/>
            <w:noWrap/>
            <w:vAlign w:val="bottom"/>
            <w:hideMark/>
          </w:tcPr>
          <w:p w14:paraId="4C29351C" w14:textId="2B719A84" w:rsidR="00820178" w:rsidRPr="009D42B5" w:rsidRDefault="00820178" w:rsidP="00820178">
            <w:pPr>
              <w:jc w:val="center"/>
              <w:rPr>
                <w:rFonts w:ascii="Calibri" w:eastAsia="Times New Roman" w:hAnsi="Calibri" w:cs="Calibri"/>
                <w:color w:val="000000"/>
              </w:rPr>
            </w:pPr>
            <w:r>
              <w:rPr>
                <w:rFonts w:ascii="Calibri" w:hAnsi="Calibri" w:cs="Calibri"/>
                <w:color w:val="000000"/>
              </w:rPr>
              <w:t>3.3 (3.0, 3.5)</w:t>
            </w:r>
          </w:p>
        </w:tc>
        <w:tc>
          <w:tcPr>
            <w:tcW w:w="1808" w:type="dxa"/>
            <w:tcBorders>
              <w:top w:val="nil"/>
              <w:bottom w:val="nil"/>
            </w:tcBorders>
            <w:shd w:val="clear" w:color="000000" w:fill="D9D9D9"/>
            <w:noWrap/>
            <w:vAlign w:val="bottom"/>
            <w:hideMark/>
          </w:tcPr>
          <w:p w14:paraId="63E74418" w14:textId="2BEA05C9" w:rsidR="00820178" w:rsidRPr="009D42B5" w:rsidRDefault="00820178" w:rsidP="00820178">
            <w:pPr>
              <w:jc w:val="center"/>
              <w:rPr>
                <w:rFonts w:ascii="Calibri" w:eastAsia="Times New Roman" w:hAnsi="Calibri" w:cs="Calibri"/>
                <w:color w:val="000000"/>
              </w:rPr>
            </w:pPr>
            <w:r>
              <w:rPr>
                <w:rFonts w:ascii="Calibri" w:hAnsi="Calibri" w:cs="Calibri"/>
                <w:color w:val="000000"/>
              </w:rPr>
              <w:t>87.5 (88.5, 86.6)</w:t>
            </w:r>
          </w:p>
        </w:tc>
      </w:tr>
      <w:tr w:rsidR="00820178" w:rsidRPr="009D42B5" w14:paraId="3B58E95F" w14:textId="77777777" w:rsidTr="00AE0151">
        <w:trPr>
          <w:trHeight w:val="300"/>
        </w:trPr>
        <w:tc>
          <w:tcPr>
            <w:tcW w:w="1240" w:type="dxa"/>
            <w:tcBorders>
              <w:top w:val="nil"/>
              <w:left w:val="nil"/>
              <w:bottom w:val="nil"/>
            </w:tcBorders>
            <w:shd w:val="clear" w:color="000000" w:fill="D9D9D9"/>
            <w:noWrap/>
            <w:vAlign w:val="bottom"/>
            <w:hideMark/>
          </w:tcPr>
          <w:p w14:paraId="4BCD023D"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12DBCC88"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nil"/>
            </w:tcBorders>
            <w:shd w:val="clear" w:color="000000" w:fill="D9D9D9"/>
            <w:noWrap/>
            <w:vAlign w:val="bottom"/>
            <w:hideMark/>
          </w:tcPr>
          <w:p w14:paraId="1542463D" w14:textId="5453E240" w:rsidR="00820178" w:rsidRPr="009D42B5" w:rsidRDefault="00820178" w:rsidP="00820178">
            <w:pPr>
              <w:jc w:val="center"/>
              <w:rPr>
                <w:rFonts w:ascii="Calibri" w:eastAsia="Times New Roman" w:hAnsi="Calibri" w:cs="Calibri"/>
                <w:color w:val="000000"/>
              </w:rPr>
            </w:pPr>
            <w:r>
              <w:rPr>
                <w:rFonts w:ascii="Calibri" w:hAnsi="Calibri" w:cs="Calibri"/>
                <w:color w:val="000000"/>
              </w:rPr>
              <w:t>5.8 (5.4, 6.1)</w:t>
            </w:r>
          </w:p>
        </w:tc>
        <w:tc>
          <w:tcPr>
            <w:tcW w:w="1440" w:type="dxa"/>
            <w:tcBorders>
              <w:top w:val="nil"/>
              <w:bottom w:val="nil"/>
            </w:tcBorders>
            <w:shd w:val="clear" w:color="000000" w:fill="D9D9D9"/>
            <w:noWrap/>
            <w:vAlign w:val="bottom"/>
            <w:hideMark/>
          </w:tcPr>
          <w:p w14:paraId="2A8D5AEB" w14:textId="0A856E15" w:rsidR="00820178" w:rsidRPr="009D42B5" w:rsidRDefault="00820178" w:rsidP="00820178">
            <w:pPr>
              <w:jc w:val="center"/>
              <w:rPr>
                <w:rFonts w:ascii="Calibri" w:eastAsia="Times New Roman" w:hAnsi="Calibri" w:cs="Calibri"/>
                <w:color w:val="000000"/>
              </w:rPr>
            </w:pPr>
            <w:r>
              <w:rPr>
                <w:rFonts w:ascii="Calibri" w:hAnsi="Calibri" w:cs="Calibri"/>
                <w:color w:val="000000"/>
              </w:rPr>
              <w:t>4.4 (4.2, 4.7)</w:t>
            </w:r>
          </w:p>
        </w:tc>
        <w:tc>
          <w:tcPr>
            <w:tcW w:w="1530" w:type="dxa"/>
            <w:tcBorders>
              <w:top w:val="nil"/>
              <w:bottom w:val="nil"/>
            </w:tcBorders>
            <w:shd w:val="clear" w:color="000000" w:fill="D9D9D9"/>
            <w:noWrap/>
            <w:vAlign w:val="bottom"/>
            <w:hideMark/>
          </w:tcPr>
          <w:p w14:paraId="0BE5AB29" w14:textId="1EA0ABE6" w:rsidR="00820178" w:rsidRPr="009D42B5" w:rsidRDefault="00820178" w:rsidP="00820178">
            <w:pPr>
              <w:jc w:val="center"/>
              <w:rPr>
                <w:rFonts w:ascii="Calibri" w:eastAsia="Times New Roman" w:hAnsi="Calibri" w:cs="Calibri"/>
                <w:color w:val="000000"/>
              </w:rPr>
            </w:pPr>
            <w:r>
              <w:rPr>
                <w:rFonts w:ascii="Calibri" w:hAnsi="Calibri" w:cs="Calibri"/>
                <w:color w:val="000000"/>
              </w:rPr>
              <w:t>3.6 (3.4, 3.9)</w:t>
            </w:r>
          </w:p>
        </w:tc>
        <w:tc>
          <w:tcPr>
            <w:tcW w:w="1808" w:type="dxa"/>
            <w:tcBorders>
              <w:top w:val="nil"/>
              <w:bottom w:val="nil"/>
            </w:tcBorders>
            <w:shd w:val="clear" w:color="000000" w:fill="D9D9D9"/>
            <w:noWrap/>
            <w:vAlign w:val="bottom"/>
            <w:hideMark/>
          </w:tcPr>
          <w:p w14:paraId="04E409CE" w14:textId="3F58F424" w:rsidR="00820178" w:rsidRPr="009D42B5" w:rsidRDefault="00820178" w:rsidP="00820178">
            <w:pPr>
              <w:jc w:val="center"/>
              <w:rPr>
                <w:rFonts w:ascii="Calibri" w:eastAsia="Times New Roman" w:hAnsi="Calibri" w:cs="Calibri"/>
                <w:color w:val="000000"/>
              </w:rPr>
            </w:pPr>
            <w:r>
              <w:rPr>
                <w:rFonts w:ascii="Calibri" w:hAnsi="Calibri" w:cs="Calibri"/>
                <w:color w:val="000000"/>
              </w:rPr>
              <w:t>86.2 (87.1, 85.3)</w:t>
            </w:r>
          </w:p>
        </w:tc>
      </w:tr>
      <w:tr w:rsidR="00820178" w:rsidRPr="009D42B5" w14:paraId="446D5170" w14:textId="77777777" w:rsidTr="00AE0151">
        <w:trPr>
          <w:trHeight w:val="300"/>
        </w:trPr>
        <w:tc>
          <w:tcPr>
            <w:tcW w:w="1240" w:type="dxa"/>
            <w:tcBorders>
              <w:top w:val="nil"/>
              <w:left w:val="nil"/>
              <w:bottom w:val="nil"/>
            </w:tcBorders>
            <w:shd w:val="clear" w:color="auto" w:fill="auto"/>
            <w:noWrap/>
            <w:vAlign w:val="bottom"/>
            <w:hideMark/>
          </w:tcPr>
          <w:p w14:paraId="5CFDAA91"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0A855A57"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auto" w:fill="auto"/>
            <w:noWrap/>
            <w:vAlign w:val="bottom"/>
            <w:hideMark/>
          </w:tcPr>
          <w:p w14:paraId="38E77108" w14:textId="1B8A1CD6" w:rsidR="00820178" w:rsidRPr="009D42B5" w:rsidRDefault="00820178" w:rsidP="00820178">
            <w:pPr>
              <w:jc w:val="center"/>
              <w:rPr>
                <w:rFonts w:ascii="Calibri" w:eastAsia="Times New Roman" w:hAnsi="Calibri" w:cs="Calibri"/>
                <w:color w:val="000000"/>
              </w:rPr>
            </w:pPr>
            <w:r>
              <w:rPr>
                <w:rFonts w:ascii="Calibri" w:hAnsi="Calibri" w:cs="Calibri"/>
                <w:color w:val="000000"/>
              </w:rPr>
              <w:t>7.0 (6.5, 7.3)</w:t>
            </w:r>
          </w:p>
        </w:tc>
        <w:tc>
          <w:tcPr>
            <w:tcW w:w="1440" w:type="dxa"/>
            <w:tcBorders>
              <w:top w:val="nil"/>
              <w:bottom w:val="nil"/>
            </w:tcBorders>
            <w:shd w:val="clear" w:color="auto" w:fill="auto"/>
            <w:noWrap/>
            <w:vAlign w:val="bottom"/>
            <w:hideMark/>
          </w:tcPr>
          <w:p w14:paraId="21E806F1" w14:textId="1E7B4BED" w:rsidR="00820178" w:rsidRPr="009D42B5" w:rsidRDefault="00820178" w:rsidP="00820178">
            <w:pPr>
              <w:jc w:val="center"/>
              <w:rPr>
                <w:rFonts w:ascii="Calibri" w:eastAsia="Times New Roman" w:hAnsi="Calibri" w:cs="Calibri"/>
                <w:color w:val="000000"/>
              </w:rPr>
            </w:pPr>
            <w:r>
              <w:rPr>
                <w:rFonts w:ascii="Calibri" w:hAnsi="Calibri" w:cs="Calibri"/>
                <w:color w:val="000000"/>
              </w:rPr>
              <w:t>4.9 (4.6, 5.3)</w:t>
            </w:r>
          </w:p>
        </w:tc>
        <w:tc>
          <w:tcPr>
            <w:tcW w:w="1530" w:type="dxa"/>
            <w:tcBorders>
              <w:top w:val="nil"/>
              <w:bottom w:val="nil"/>
            </w:tcBorders>
            <w:shd w:val="clear" w:color="auto" w:fill="auto"/>
            <w:noWrap/>
            <w:vAlign w:val="bottom"/>
            <w:hideMark/>
          </w:tcPr>
          <w:p w14:paraId="5D5F0685" w14:textId="0F4B2813" w:rsidR="00820178" w:rsidRPr="009D42B5" w:rsidRDefault="00820178" w:rsidP="00820178">
            <w:pPr>
              <w:jc w:val="center"/>
              <w:rPr>
                <w:rFonts w:ascii="Calibri" w:eastAsia="Times New Roman" w:hAnsi="Calibri" w:cs="Calibri"/>
                <w:color w:val="000000"/>
              </w:rPr>
            </w:pPr>
            <w:r>
              <w:rPr>
                <w:rFonts w:ascii="Calibri" w:hAnsi="Calibri" w:cs="Calibri"/>
                <w:color w:val="000000"/>
              </w:rPr>
              <w:t>2.9 (2.6, 3.2)</w:t>
            </w:r>
          </w:p>
        </w:tc>
        <w:tc>
          <w:tcPr>
            <w:tcW w:w="1808" w:type="dxa"/>
            <w:tcBorders>
              <w:top w:val="nil"/>
              <w:bottom w:val="nil"/>
            </w:tcBorders>
            <w:shd w:val="clear" w:color="auto" w:fill="auto"/>
            <w:noWrap/>
            <w:vAlign w:val="bottom"/>
            <w:hideMark/>
          </w:tcPr>
          <w:p w14:paraId="2189F449" w14:textId="18217BBC" w:rsidR="00820178" w:rsidRPr="009D42B5" w:rsidRDefault="00820178" w:rsidP="00820178">
            <w:pPr>
              <w:jc w:val="center"/>
              <w:rPr>
                <w:rFonts w:ascii="Calibri" w:eastAsia="Times New Roman" w:hAnsi="Calibri" w:cs="Calibri"/>
                <w:color w:val="000000"/>
              </w:rPr>
            </w:pPr>
            <w:r>
              <w:rPr>
                <w:rFonts w:ascii="Calibri" w:hAnsi="Calibri" w:cs="Calibri"/>
                <w:color w:val="000000"/>
              </w:rPr>
              <w:t>85.2 (86.3, 84.2)</w:t>
            </w:r>
          </w:p>
        </w:tc>
      </w:tr>
      <w:tr w:rsidR="00820178" w:rsidRPr="009D42B5" w14:paraId="669C4C86" w14:textId="77777777" w:rsidTr="00AE0151">
        <w:trPr>
          <w:trHeight w:val="300"/>
        </w:trPr>
        <w:tc>
          <w:tcPr>
            <w:tcW w:w="1240" w:type="dxa"/>
            <w:tcBorders>
              <w:top w:val="nil"/>
              <w:left w:val="nil"/>
              <w:bottom w:val="nil"/>
            </w:tcBorders>
            <w:shd w:val="clear" w:color="auto" w:fill="auto"/>
            <w:noWrap/>
            <w:vAlign w:val="bottom"/>
            <w:hideMark/>
          </w:tcPr>
          <w:p w14:paraId="30DA0304"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36B27550"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bottom w:val="nil"/>
            </w:tcBorders>
            <w:shd w:val="clear" w:color="auto" w:fill="auto"/>
            <w:noWrap/>
            <w:vAlign w:val="bottom"/>
            <w:hideMark/>
          </w:tcPr>
          <w:p w14:paraId="774B5520" w14:textId="7DA2A0A5" w:rsidR="00820178" w:rsidRPr="009D42B5" w:rsidRDefault="00820178" w:rsidP="00820178">
            <w:pPr>
              <w:jc w:val="center"/>
              <w:rPr>
                <w:rFonts w:ascii="Calibri" w:eastAsia="Times New Roman" w:hAnsi="Calibri" w:cs="Calibri"/>
                <w:color w:val="000000"/>
              </w:rPr>
            </w:pPr>
            <w:r>
              <w:rPr>
                <w:rFonts w:ascii="Calibri" w:hAnsi="Calibri" w:cs="Calibri"/>
                <w:color w:val="000000"/>
              </w:rPr>
              <w:t>7.8 (7.4, 8.2)</w:t>
            </w:r>
          </w:p>
        </w:tc>
        <w:tc>
          <w:tcPr>
            <w:tcW w:w="1440" w:type="dxa"/>
            <w:tcBorders>
              <w:top w:val="nil"/>
              <w:bottom w:val="nil"/>
            </w:tcBorders>
            <w:shd w:val="clear" w:color="auto" w:fill="auto"/>
            <w:noWrap/>
            <w:vAlign w:val="bottom"/>
            <w:hideMark/>
          </w:tcPr>
          <w:p w14:paraId="200DAF61" w14:textId="2444256F" w:rsidR="00820178" w:rsidRPr="009D42B5" w:rsidRDefault="00820178" w:rsidP="00820178">
            <w:pPr>
              <w:jc w:val="center"/>
              <w:rPr>
                <w:rFonts w:ascii="Calibri" w:eastAsia="Times New Roman" w:hAnsi="Calibri" w:cs="Calibri"/>
                <w:color w:val="000000"/>
              </w:rPr>
            </w:pPr>
            <w:r>
              <w:rPr>
                <w:rFonts w:ascii="Calibri" w:hAnsi="Calibri" w:cs="Calibri"/>
                <w:color w:val="000000"/>
              </w:rPr>
              <w:t>5.6 (5.3, 5.9)</w:t>
            </w:r>
          </w:p>
        </w:tc>
        <w:tc>
          <w:tcPr>
            <w:tcW w:w="1530" w:type="dxa"/>
            <w:tcBorders>
              <w:top w:val="nil"/>
              <w:bottom w:val="nil"/>
            </w:tcBorders>
            <w:shd w:val="clear" w:color="auto" w:fill="auto"/>
            <w:noWrap/>
            <w:vAlign w:val="bottom"/>
            <w:hideMark/>
          </w:tcPr>
          <w:p w14:paraId="480DCE5D" w14:textId="36FAED57" w:rsidR="00820178" w:rsidRPr="009D42B5" w:rsidRDefault="00820178" w:rsidP="00820178">
            <w:pPr>
              <w:jc w:val="center"/>
              <w:rPr>
                <w:rFonts w:ascii="Calibri" w:eastAsia="Times New Roman" w:hAnsi="Calibri" w:cs="Calibri"/>
                <w:color w:val="000000"/>
              </w:rPr>
            </w:pPr>
            <w:r>
              <w:rPr>
                <w:rFonts w:ascii="Calibri" w:hAnsi="Calibri" w:cs="Calibri"/>
                <w:color w:val="000000"/>
              </w:rPr>
              <w:t>3.2 (2.9, 3.5)</w:t>
            </w:r>
          </w:p>
        </w:tc>
        <w:tc>
          <w:tcPr>
            <w:tcW w:w="1808" w:type="dxa"/>
            <w:tcBorders>
              <w:top w:val="nil"/>
              <w:bottom w:val="nil"/>
            </w:tcBorders>
            <w:shd w:val="clear" w:color="auto" w:fill="auto"/>
            <w:noWrap/>
            <w:vAlign w:val="bottom"/>
            <w:hideMark/>
          </w:tcPr>
          <w:p w14:paraId="54B2B37B" w14:textId="06EFF8B9" w:rsidR="00820178" w:rsidRPr="009D42B5" w:rsidRDefault="00820178" w:rsidP="00820178">
            <w:pPr>
              <w:jc w:val="center"/>
              <w:rPr>
                <w:rFonts w:ascii="Calibri" w:eastAsia="Times New Roman" w:hAnsi="Calibri" w:cs="Calibri"/>
                <w:color w:val="000000"/>
              </w:rPr>
            </w:pPr>
            <w:r>
              <w:rPr>
                <w:rFonts w:ascii="Calibri" w:hAnsi="Calibri" w:cs="Calibri"/>
                <w:color w:val="000000"/>
              </w:rPr>
              <w:t>83.4 (84.4, 82.4)</w:t>
            </w:r>
          </w:p>
        </w:tc>
      </w:tr>
      <w:tr w:rsidR="00820178" w:rsidRPr="009D42B5" w14:paraId="7FDA0878" w14:textId="77777777" w:rsidTr="00AE0151">
        <w:trPr>
          <w:trHeight w:val="300"/>
        </w:trPr>
        <w:tc>
          <w:tcPr>
            <w:tcW w:w="1240" w:type="dxa"/>
            <w:tcBorders>
              <w:top w:val="nil"/>
              <w:left w:val="nil"/>
              <w:bottom w:val="nil"/>
            </w:tcBorders>
            <w:shd w:val="clear" w:color="auto" w:fill="auto"/>
            <w:noWrap/>
            <w:vAlign w:val="bottom"/>
            <w:hideMark/>
          </w:tcPr>
          <w:p w14:paraId="15309E87"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053E5F76"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nil"/>
            </w:tcBorders>
            <w:shd w:val="clear" w:color="auto" w:fill="auto"/>
            <w:noWrap/>
            <w:vAlign w:val="bottom"/>
            <w:hideMark/>
          </w:tcPr>
          <w:p w14:paraId="44E0F11B" w14:textId="1ECD0ED3" w:rsidR="00820178" w:rsidRPr="009D42B5" w:rsidRDefault="00820178" w:rsidP="00820178">
            <w:pPr>
              <w:jc w:val="center"/>
              <w:rPr>
                <w:rFonts w:ascii="Calibri" w:eastAsia="Times New Roman" w:hAnsi="Calibri" w:cs="Calibri"/>
                <w:color w:val="000000"/>
              </w:rPr>
            </w:pPr>
            <w:r>
              <w:rPr>
                <w:rFonts w:ascii="Calibri" w:hAnsi="Calibri" w:cs="Calibri"/>
                <w:color w:val="000000"/>
              </w:rPr>
              <w:t>8.5 (8.2, 8.8)</w:t>
            </w:r>
          </w:p>
        </w:tc>
        <w:tc>
          <w:tcPr>
            <w:tcW w:w="1440" w:type="dxa"/>
            <w:tcBorders>
              <w:top w:val="nil"/>
              <w:bottom w:val="nil"/>
            </w:tcBorders>
            <w:shd w:val="clear" w:color="auto" w:fill="auto"/>
            <w:noWrap/>
            <w:vAlign w:val="bottom"/>
            <w:hideMark/>
          </w:tcPr>
          <w:p w14:paraId="048E7E57" w14:textId="14AA54C6" w:rsidR="00820178" w:rsidRPr="009D42B5" w:rsidRDefault="00820178" w:rsidP="00820178">
            <w:pPr>
              <w:jc w:val="center"/>
              <w:rPr>
                <w:rFonts w:ascii="Calibri" w:eastAsia="Times New Roman" w:hAnsi="Calibri" w:cs="Calibri"/>
                <w:color w:val="000000"/>
              </w:rPr>
            </w:pPr>
            <w:r>
              <w:rPr>
                <w:rFonts w:ascii="Calibri" w:hAnsi="Calibri" w:cs="Calibri"/>
                <w:color w:val="000000"/>
              </w:rPr>
              <w:t>6.1 (5.7, 6.5)</w:t>
            </w:r>
          </w:p>
        </w:tc>
        <w:tc>
          <w:tcPr>
            <w:tcW w:w="1530" w:type="dxa"/>
            <w:tcBorders>
              <w:top w:val="nil"/>
              <w:bottom w:val="nil"/>
            </w:tcBorders>
            <w:shd w:val="clear" w:color="auto" w:fill="auto"/>
            <w:noWrap/>
            <w:vAlign w:val="bottom"/>
            <w:hideMark/>
          </w:tcPr>
          <w:p w14:paraId="699187CD" w14:textId="69358022" w:rsidR="00820178" w:rsidRPr="009D42B5" w:rsidRDefault="00820178" w:rsidP="00820178">
            <w:pPr>
              <w:jc w:val="center"/>
              <w:rPr>
                <w:rFonts w:ascii="Calibri" w:eastAsia="Times New Roman" w:hAnsi="Calibri" w:cs="Calibri"/>
                <w:color w:val="000000"/>
              </w:rPr>
            </w:pPr>
            <w:r>
              <w:rPr>
                <w:rFonts w:ascii="Calibri" w:hAnsi="Calibri" w:cs="Calibri"/>
                <w:color w:val="000000"/>
              </w:rPr>
              <w:t>3.6 (3.3, 3.9)</w:t>
            </w:r>
          </w:p>
        </w:tc>
        <w:tc>
          <w:tcPr>
            <w:tcW w:w="1808" w:type="dxa"/>
            <w:tcBorders>
              <w:top w:val="nil"/>
              <w:bottom w:val="nil"/>
            </w:tcBorders>
            <w:shd w:val="clear" w:color="auto" w:fill="auto"/>
            <w:noWrap/>
            <w:vAlign w:val="bottom"/>
            <w:hideMark/>
          </w:tcPr>
          <w:p w14:paraId="0F13A628" w14:textId="3483DECF" w:rsidR="00820178" w:rsidRPr="009D42B5" w:rsidRDefault="00820178" w:rsidP="00820178">
            <w:pPr>
              <w:jc w:val="center"/>
              <w:rPr>
                <w:rFonts w:ascii="Calibri" w:eastAsia="Times New Roman" w:hAnsi="Calibri" w:cs="Calibri"/>
                <w:color w:val="000000"/>
              </w:rPr>
            </w:pPr>
            <w:r>
              <w:rPr>
                <w:rFonts w:ascii="Calibri" w:hAnsi="Calibri" w:cs="Calibri"/>
                <w:color w:val="000000"/>
              </w:rPr>
              <w:t>81.7 (82.8, 80.8)</w:t>
            </w:r>
          </w:p>
        </w:tc>
      </w:tr>
      <w:tr w:rsidR="00820178" w:rsidRPr="009D42B5" w14:paraId="5A2462C9" w14:textId="77777777" w:rsidTr="00AE0151">
        <w:trPr>
          <w:trHeight w:val="300"/>
        </w:trPr>
        <w:tc>
          <w:tcPr>
            <w:tcW w:w="1240" w:type="dxa"/>
            <w:tcBorders>
              <w:top w:val="nil"/>
              <w:left w:val="nil"/>
              <w:bottom w:val="nil"/>
            </w:tcBorders>
            <w:shd w:val="clear" w:color="000000" w:fill="D9D9D9"/>
            <w:noWrap/>
            <w:vAlign w:val="bottom"/>
            <w:hideMark/>
          </w:tcPr>
          <w:p w14:paraId="6A83EFC8"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6292C62A"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840" w:type="dxa"/>
            <w:gridSpan w:val="2"/>
            <w:tcBorders>
              <w:top w:val="nil"/>
              <w:bottom w:val="nil"/>
            </w:tcBorders>
            <w:shd w:val="clear" w:color="000000" w:fill="D9D9D9"/>
            <w:noWrap/>
            <w:vAlign w:val="bottom"/>
            <w:hideMark/>
          </w:tcPr>
          <w:p w14:paraId="33C9126C" w14:textId="3359FB65" w:rsidR="00820178" w:rsidRPr="009D42B5" w:rsidRDefault="00820178" w:rsidP="00820178">
            <w:pPr>
              <w:jc w:val="center"/>
              <w:rPr>
                <w:rFonts w:ascii="Calibri" w:eastAsia="Times New Roman" w:hAnsi="Calibri" w:cs="Calibri"/>
                <w:color w:val="000000"/>
              </w:rPr>
            </w:pPr>
            <w:r>
              <w:rPr>
                <w:rFonts w:ascii="Calibri" w:hAnsi="Calibri" w:cs="Calibri"/>
                <w:color w:val="000000"/>
              </w:rPr>
              <w:t>8.7 (8.4, 9.0)</w:t>
            </w:r>
          </w:p>
        </w:tc>
        <w:tc>
          <w:tcPr>
            <w:tcW w:w="1440" w:type="dxa"/>
            <w:tcBorders>
              <w:top w:val="nil"/>
              <w:bottom w:val="nil"/>
            </w:tcBorders>
            <w:shd w:val="clear" w:color="000000" w:fill="D9D9D9"/>
            <w:noWrap/>
            <w:vAlign w:val="bottom"/>
            <w:hideMark/>
          </w:tcPr>
          <w:p w14:paraId="43D498EB" w14:textId="1FABDD76" w:rsidR="00820178" w:rsidRPr="009D42B5" w:rsidRDefault="00820178" w:rsidP="00820178">
            <w:pPr>
              <w:jc w:val="center"/>
              <w:rPr>
                <w:rFonts w:ascii="Calibri" w:eastAsia="Times New Roman" w:hAnsi="Calibri" w:cs="Calibri"/>
                <w:color w:val="000000"/>
              </w:rPr>
            </w:pPr>
            <w:r>
              <w:rPr>
                <w:rFonts w:ascii="Calibri" w:hAnsi="Calibri" w:cs="Calibri"/>
                <w:color w:val="000000"/>
              </w:rPr>
              <w:t>6.3 (6.0, 6.6)</w:t>
            </w:r>
          </w:p>
        </w:tc>
        <w:tc>
          <w:tcPr>
            <w:tcW w:w="1530" w:type="dxa"/>
            <w:tcBorders>
              <w:top w:val="nil"/>
              <w:bottom w:val="nil"/>
            </w:tcBorders>
            <w:shd w:val="clear" w:color="000000" w:fill="D9D9D9"/>
            <w:noWrap/>
            <w:vAlign w:val="bottom"/>
            <w:hideMark/>
          </w:tcPr>
          <w:p w14:paraId="4DFB477C" w14:textId="1D52C36A" w:rsidR="00820178" w:rsidRPr="009D42B5" w:rsidRDefault="00820178" w:rsidP="00820178">
            <w:pPr>
              <w:jc w:val="center"/>
              <w:rPr>
                <w:rFonts w:ascii="Calibri" w:eastAsia="Times New Roman" w:hAnsi="Calibri" w:cs="Calibri"/>
                <w:color w:val="000000"/>
              </w:rPr>
            </w:pPr>
            <w:r>
              <w:rPr>
                <w:rFonts w:ascii="Calibri" w:hAnsi="Calibri" w:cs="Calibri"/>
                <w:color w:val="000000"/>
              </w:rPr>
              <w:t>2.9 (2.7, 3.1)</w:t>
            </w:r>
          </w:p>
        </w:tc>
        <w:tc>
          <w:tcPr>
            <w:tcW w:w="1808" w:type="dxa"/>
            <w:tcBorders>
              <w:top w:val="nil"/>
              <w:bottom w:val="nil"/>
            </w:tcBorders>
            <w:shd w:val="clear" w:color="000000" w:fill="D9D9D9"/>
            <w:noWrap/>
            <w:vAlign w:val="bottom"/>
            <w:hideMark/>
          </w:tcPr>
          <w:p w14:paraId="3BF25144" w14:textId="53BB2225" w:rsidR="00820178" w:rsidRPr="009D42B5" w:rsidRDefault="00820178" w:rsidP="00820178">
            <w:pPr>
              <w:jc w:val="center"/>
              <w:rPr>
                <w:rFonts w:ascii="Calibri" w:eastAsia="Times New Roman" w:hAnsi="Calibri" w:cs="Calibri"/>
                <w:color w:val="000000"/>
              </w:rPr>
            </w:pPr>
            <w:r>
              <w:rPr>
                <w:rFonts w:ascii="Calibri" w:hAnsi="Calibri" w:cs="Calibri"/>
                <w:color w:val="000000"/>
              </w:rPr>
              <w:t>82.2 (83.0, 81.2)</w:t>
            </w:r>
          </w:p>
        </w:tc>
      </w:tr>
      <w:tr w:rsidR="00820178" w:rsidRPr="009D42B5" w14:paraId="505EA4FB" w14:textId="77777777" w:rsidTr="00AE0151">
        <w:trPr>
          <w:trHeight w:val="300"/>
        </w:trPr>
        <w:tc>
          <w:tcPr>
            <w:tcW w:w="1240" w:type="dxa"/>
            <w:tcBorders>
              <w:top w:val="nil"/>
              <w:left w:val="nil"/>
            </w:tcBorders>
            <w:shd w:val="clear" w:color="000000" w:fill="D9D9D9"/>
            <w:noWrap/>
            <w:vAlign w:val="bottom"/>
            <w:hideMark/>
          </w:tcPr>
          <w:p w14:paraId="40EEA4FE"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tcBorders>
            <w:shd w:val="clear" w:color="000000" w:fill="D9D9D9"/>
            <w:noWrap/>
            <w:vAlign w:val="bottom"/>
            <w:hideMark/>
          </w:tcPr>
          <w:p w14:paraId="1E3C744D"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840" w:type="dxa"/>
            <w:gridSpan w:val="2"/>
            <w:tcBorders>
              <w:top w:val="nil"/>
            </w:tcBorders>
            <w:shd w:val="clear" w:color="000000" w:fill="D9D9D9"/>
            <w:noWrap/>
            <w:vAlign w:val="bottom"/>
            <w:hideMark/>
          </w:tcPr>
          <w:p w14:paraId="10466127" w14:textId="6F254654" w:rsidR="00820178" w:rsidRPr="009D42B5" w:rsidRDefault="00820178" w:rsidP="00820178">
            <w:pPr>
              <w:jc w:val="center"/>
              <w:rPr>
                <w:rFonts w:ascii="Calibri" w:eastAsia="Times New Roman" w:hAnsi="Calibri" w:cs="Calibri"/>
                <w:color w:val="000000"/>
              </w:rPr>
            </w:pPr>
            <w:r>
              <w:rPr>
                <w:rFonts w:ascii="Calibri" w:hAnsi="Calibri" w:cs="Calibri"/>
                <w:color w:val="000000"/>
              </w:rPr>
              <w:t>9.5 (9.2, 9.8)</w:t>
            </w:r>
          </w:p>
        </w:tc>
        <w:tc>
          <w:tcPr>
            <w:tcW w:w="1440" w:type="dxa"/>
            <w:tcBorders>
              <w:top w:val="nil"/>
            </w:tcBorders>
            <w:shd w:val="clear" w:color="000000" w:fill="D9D9D9"/>
            <w:noWrap/>
            <w:vAlign w:val="bottom"/>
            <w:hideMark/>
          </w:tcPr>
          <w:p w14:paraId="7709CAF7" w14:textId="3E2C0C52" w:rsidR="00820178" w:rsidRPr="009D42B5" w:rsidRDefault="00820178" w:rsidP="00820178">
            <w:pPr>
              <w:jc w:val="center"/>
              <w:rPr>
                <w:rFonts w:ascii="Calibri" w:eastAsia="Times New Roman" w:hAnsi="Calibri" w:cs="Calibri"/>
                <w:color w:val="000000"/>
              </w:rPr>
            </w:pPr>
            <w:r>
              <w:rPr>
                <w:rFonts w:ascii="Calibri" w:hAnsi="Calibri" w:cs="Calibri"/>
                <w:color w:val="000000"/>
              </w:rPr>
              <w:t>6.9 (6.5, 7.2)</w:t>
            </w:r>
          </w:p>
        </w:tc>
        <w:tc>
          <w:tcPr>
            <w:tcW w:w="1530" w:type="dxa"/>
            <w:tcBorders>
              <w:top w:val="nil"/>
            </w:tcBorders>
            <w:shd w:val="clear" w:color="000000" w:fill="D9D9D9"/>
            <w:noWrap/>
            <w:vAlign w:val="bottom"/>
            <w:hideMark/>
          </w:tcPr>
          <w:p w14:paraId="4DBC4F9B" w14:textId="78B62BFA" w:rsidR="00820178" w:rsidRPr="009D42B5" w:rsidRDefault="00820178" w:rsidP="00820178">
            <w:pPr>
              <w:jc w:val="center"/>
              <w:rPr>
                <w:rFonts w:ascii="Calibri" w:eastAsia="Times New Roman" w:hAnsi="Calibri" w:cs="Calibri"/>
                <w:color w:val="000000"/>
              </w:rPr>
            </w:pPr>
            <w:r>
              <w:rPr>
                <w:rFonts w:ascii="Calibri" w:hAnsi="Calibri" w:cs="Calibri"/>
                <w:color w:val="000000"/>
              </w:rPr>
              <w:t>3.2 (3.0, 3.5)</w:t>
            </w:r>
          </w:p>
        </w:tc>
        <w:tc>
          <w:tcPr>
            <w:tcW w:w="1808" w:type="dxa"/>
            <w:tcBorders>
              <w:top w:val="nil"/>
            </w:tcBorders>
            <w:shd w:val="clear" w:color="000000" w:fill="D9D9D9"/>
            <w:noWrap/>
            <w:vAlign w:val="bottom"/>
            <w:hideMark/>
          </w:tcPr>
          <w:p w14:paraId="4C46BA1C" w14:textId="5027C024" w:rsidR="00820178" w:rsidRPr="009D42B5" w:rsidRDefault="00820178" w:rsidP="00820178">
            <w:pPr>
              <w:jc w:val="center"/>
              <w:rPr>
                <w:rFonts w:ascii="Calibri" w:eastAsia="Times New Roman" w:hAnsi="Calibri" w:cs="Calibri"/>
                <w:color w:val="000000"/>
              </w:rPr>
            </w:pPr>
            <w:r>
              <w:rPr>
                <w:rFonts w:ascii="Calibri" w:hAnsi="Calibri" w:cs="Calibri"/>
                <w:color w:val="000000"/>
              </w:rPr>
              <w:t>80.4 (81.2, 79.5)</w:t>
            </w:r>
          </w:p>
        </w:tc>
      </w:tr>
      <w:tr w:rsidR="00820178" w:rsidRPr="009D42B5" w14:paraId="65A7E280" w14:textId="77777777" w:rsidTr="00AE0151">
        <w:trPr>
          <w:trHeight w:val="300"/>
        </w:trPr>
        <w:tc>
          <w:tcPr>
            <w:tcW w:w="1240" w:type="dxa"/>
            <w:tcBorders>
              <w:top w:val="nil"/>
              <w:left w:val="nil"/>
              <w:bottom w:val="single" w:sz="4" w:space="0" w:color="auto"/>
            </w:tcBorders>
            <w:shd w:val="clear" w:color="000000" w:fill="D9D9D9"/>
            <w:noWrap/>
            <w:vAlign w:val="bottom"/>
            <w:hideMark/>
          </w:tcPr>
          <w:p w14:paraId="59EBFEBC"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single" w:sz="4" w:space="0" w:color="auto"/>
            </w:tcBorders>
            <w:shd w:val="clear" w:color="000000" w:fill="D9D9D9"/>
            <w:noWrap/>
            <w:vAlign w:val="bottom"/>
            <w:hideMark/>
          </w:tcPr>
          <w:p w14:paraId="4D984C0F" w14:textId="77777777" w:rsidR="00820178" w:rsidRPr="009D42B5" w:rsidRDefault="00820178" w:rsidP="00820178">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840" w:type="dxa"/>
            <w:gridSpan w:val="2"/>
            <w:tcBorders>
              <w:top w:val="nil"/>
              <w:bottom w:val="single" w:sz="4" w:space="0" w:color="auto"/>
            </w:tcBorders>
            <w:shd w:val="clear" w:color="000000" w:fill="D9D9D9"/>
            <w:noWrap/>
            <w:vAlign w:val="bottom"/>
            <w:hideMark/>
          </w:tcPr>
          <w:p w14:paraId="66AACC84" w14:textId="2EA6C749" w:rsidR="00820178" w:rsidRPr="009D42B5" w:rsidRDefault="00820178" w:rsidP="00820178">
            <w:pPr>
              <w:jc w:val="center"/>
              <w:rPr>
                <w:rFonts w:ascii="Calibri" w:eastAsia="Times New Roman" w:hAnsi="Calibri" w:cs="Calibri"/>
                <w:color w:val="000000"/>
              </w:rPr>
            </w:pPr>
            <w:r>
              <w:rPr>
                <w:rFonts w:ascii="Calibri" w:hAnsi="Calibri" w:cs="Calibri"/>
                <w:color w:val="000000"/>
              </w:rPr>
              <w:t>10.1 (9.8, 10.4)</w:t>
            </w:r>
          </w:p>
        </w:tc>
        <w:tc>
          <w:tcPr>
            <w:tcW w:w="1440" w:type="dxa"/>
            <w:tcBorders>
              <w:top w:val="nil"/>
              <w:bottom w:val="single" w:sz="4" w:space="0" w:color="auto"/>
            </w:tcBorders>
            <w:shd w:val="clear" w:color="000000" w:fill="D9D9D9"/>
            <w:noWrap/>
            <w:vAlign w:val="bottom"/>
            <w:hideMark/>
          </w:tcPr>
          <w:p w14:paraId="4174C177" w14:textId="32F79A5B" w:rsidR="00820178" w:rsidRPr="009D42B5" w:rsidRDefault="00820178" w:rsidP="00820178">
            <w:pPr>
              <w:jc w:val="center"/>
              <w:rPr>
                <w:rFonts w:ascii="Calibri" w:eastAsia="Times New Roman" w:hAnsi="Calibri" w:cs="Calibri"/>
                <w:color w:val="000000"/>
              </w:rPr>
            </w:pPr>
            <w:r>
              <w:rPr>
                <w:rFonts w:ascii="Calibri" w:hAnsi="Calibri" w:cs="Calibri"/>
                <w:color w:val="000000"/>
              </w:rPr>
              <w:t>7.3 (6.9, 7.5)</w:t>
            </w:r>
          </w:p>
        </w:tc>
        <w:tc>
          <w:tcPr>
            <w:tcW w:w="1530" w:type="dxa"/>
            <w:tcBorders>
              <w:top w:val="nil"/>
              <w:bottom w:val="single" w:sz="4" w:space="0" w:color="auto"/>
            </w:tcBorders>
            <w:shd w:val="clear" w:color="000000" w:fill="D9D9D9"/>
            <w:noWrap/>
            <w:vAlign w:val="bottom"/>
            <w:hideMark/>
          </w:tcPr>
          <w:p w14:paraId="372EC015" w14:textId="1A0836F4" w:rsidR="00820178" w:rsidRPr="009D42B5" w:rsidRDefault="00820178" w:rsidP="00820178">
            <w:pPr>
              <w:jc w:val="center"/>
              <w:rPr>
                <w:rFonts w:ascii="Calibri" w:eastAsia="Times New Roman" w:hAnsi="Calibri" w:cs="Calibri"/>
                <w:color w:val="000000"/>
              </w:rPr>
            </w:pPr>
            <w:r>
              <w:rPr>
                <w:rFonts w:ascii="Calibri" w:hAnsi="Calibri" w:cs="Calibri"/>
                <w:color w:val="000000"/>
              </w:rPr>
              <w:t>3.6 (3.2, 3.8)</w:t>
            </w:r>
          </w:p>
        </w:tc>
        <w:tc>
          <w:tcPr>
            <w:tcW w:w="1808" w:type="dxa"/>
            <w:tcBorders>
              <w:top w:val="nil"/>
              <w:bottom w:val="single" w:sz="4" w:space="0" w:color="auto"/>
            </w:tcBorders>
            <w:shd w:val="clear" w:color="000000" w:fill="D9D9D9"/>
            <w:noWrap/>
            <w:vAlign w:val="bottom"/>
            <w:hideMark/>
          </w:tcPr>
          <w:p w14:paraId="178BB4E8" w14:textId="17062312" w:rsidR="00820178" w:rsidRPr="009D42B5" w:rsidRDefault="00820178" w:rsidP="00820178">
            <w:pPr>
              <w:jc w:val="center"/>
              <w:rPr>
                <w:rFonts w:ascii="Calibri" w:eastAsia="Times New Roman" w:hAnsi="Calibri" w:cs="Calibri"/>
                <w:color w:val="000000"/>
              </w:rPr>
            </w:pPr>
            <w:r>
              <w:rPr>
                <w:rFonts w:ascii="Calibri" w:hAnsi="Calibri" w:cs="Calibri"/>
                <w:color w:val="000000"/>
              </w:rPr>
              <w:t>79.0 (80.0, 78.3)</w:t>
            </w:r>
          </w:p>
        </w:tc>
      </w:tr>
    </w:tbl>
    <w:p w14:paraId="10E85F4F" w14:textId="7156D6E3" w:rsidR="0007304E" w:rsidRDefault="0007304E" w:rsidP="007751E4">
      <w:pPr>
        <w:spacing w:line="360" w:lineRule="auto"/>
        <w:rPr>
          <w:rFonts w:ascii="Helvetica Neue" w:hAnsi="Helvetica Neue"/>
          <w:sz w:val="20"/>
        </w:rPr>
      </w:pPr>
    </w:p>
    <w:p w14:paraId="2893CA3B" w14:textId="51878680" w:rsidR="00692DE7" w:rsidRDefault="00692DE7" w:rsidP="00692DE7">
      <w:pPr>
        <w:rPr>
          <w:rFonts w:ascii="Times New Roman" w:hAnsi="Times New Roman" w:cs="Times New Roman"/>
          <w:sz w:val="24"/>
          <w:szCs w:val="24"/>
        </w:rPr>
      </w:pPr>
      <w:r>
        <w:rPr>
          <w:rFonts w:ascii="Times New Roman" w:hAnsi="Times New Roman" w:cs="Times New Roman"/>
          <w:sz w:val="24"/>
          <w:szCs w:val="24"/>
        </w:rPr>
        <w:t>Table S8. Proportion of transmission events in which the newly HIV-infected partner had site- and role-specific gonorrhea and/or chlamydia.</w:t>
      </w:r>
    </w:p>
    <w:tbl>
      <w:tblPr>
        <w:tblW w:w="8820" w:type="dxa"/>
        <w:tblLook w:val="04A0" w:firstRow="1" w:lastRow="0" w:firstColumn="1" w:lastColumn="0" w:noHBand="0" w:noVBand="1"/>
      </w:tblPr>
      <w:tblGrid>
        <w:gridCol w:w="1240"/>
        <w:gridCol w:w="1240"/>
        <w:gridCol w:w="460"/>
        <w:gridCol w:w="1110"/>
        <w:gridCol w:w="1350"/>
        <w:gridCol w:w="1710"/>
        <w:gridCol w:w="1710"/>
      </w:tblGrid>
      <w:tr w:rsidR="00692DE7" w:rsidRPr="009D42B5" w14:paraId="1FF153A2" w14:textId="77777777" w:rsidTr="00952220">
        <w:trPr>
          <w:trHeight w:val="270"/>
        </w:trPr>
        <w:tc>
          <w:tcPr>
            <w:tcW w:w="2940" w:type="dxa"/>
            <w:gridSpan w:val="3"/>
            <w:vMerge w:val="restart"/>
            <w:tcBorders>
              <w:top w:val="single" w:sz="4" w:space="0" w:color="auto"/>
              <w:left w:val="nil"/>
              <w:bottom w:val="single" w:sz="4" w:space="0" w:color="auto"/>
            </w:tcBorders>
            <w:shd w:val="clear" w:color="auto" w:fill="auto"/>
            <w:vAlign w:val="bottom"/>
            <w:hideMark/>
          </w:tcPr>
          <w:p w14:paraId="48C1F334" w14:textId="77777777" w:rsidR="00692DE7" w:rsidRPr="009D42B5" w:rsidRDefault="00692DE7" w:rsidP="00952220">
            <w:pPr>
              <w:jc w:val="center"/>
              <w:rPr>
                <w:rFonts w:ascii="Calibri" w:eastAsia="Times New Roman" w:hAnsi="Calibri" w:cs="Calibri"/>
                <w:b/>
                <w:color w:val="000000"/>
              </w:rPr>
            </w:pPr>
            <w:r w:rsidRPr="009D42B5">
              <w:rPr>
                <w:rFonts w:ascii="Calibri" w:eastAsia="Times New Roman" w:hAnsi="Calibri" w:cs="Calibri"/>
                <w:b/>
                <w:color w:val="000000"/>
              </w:rPr>
              <w:t>Relative Risk</w:t>
            </w:r>
            <w:r>
              <w:rPr>
                <w:rFonts w:ascii="Calibri" w:eastAsia="Times New Roman" w:hAnsi="Calibri" w:cs="Calibri"/>
                <w:b/>
                <w:color w:val="000000"/>
              </w:rPr>
              <w:t xml:space="preserve"> of HIV Transmission by STI</w:t>
            </w:r>
          </w:p>
        </w:tc>
        <w:tc>
          <w:tcPr>
            <w:tcW w:w="5880" w:type="dxa"/>
            <w:gridSpan w:val="4"/>
            <w:tcBorders>
              <w:top w:val="single" w:sz="4" w:space="0" w:color="auto"/>
              <w:left w:val="nil"/>
              <w:bottom w:val="single" w:sz="4" w:space="0" w:color="auto"/>
            </w:tcBorders>
            <w:shd w:val="clear" w:color="auto" w:fill="auto"/>
            <w:vAlign w:val="bottom"/>
          </w:tcPr>
          <w:p w14:paraId="539BED74" w14:textId="77777777" w:rsidR="00692DE7" w:rsidRPr="009D42B5" w:rsidRDefault="00692DE7" w:rsidP="00952220">
            <w:pPr>
              <w:jc w:val="center"/>
              <w:rPr>
                <w:rFonts w:ascii="Calibri" w:eastAsia="Times New Roman" w:hAnsi="Calibri" w:cs="Calibri"/>
                <w:b/>
                <w:color w:val="000000"/>
              </w:rPr>
            </w:pPr>
            <w:r>
              <w:rPr>
                <w:rFonts w:ascii="Calibri" w:eastAsia="Times New Roman" w:hAnsi="Calibri" w:cs="Calibri"/>
                <w:b/>
                <w:color w:val="000000"/>
              </w:rPr>
              <w:t>STI Status of Newly HIV-Infected Partner</w:t>
            </w:r>
          </w:p>
        </w:tc>
      </w:tr>
      <w:tr w:rsidR="00692DE7" w:rsidRPr="009D42B5" w14:paraId="13CB58DB" w14:textId="77777777" w:rsidTr="00952220">
        <w:trPr>
          <w:trHeight w:val="270"/>
        </w:trPr>
        <w:tc>
          <w:tcPr>
            <w:tcW w:w="2940" w:type="dxa"/>
            <w:gridSpan w:val="3"/>
            <w:vMerge/>
            <w:tcBorders>
              <w:top w:val="single" w:sz="4" w:space="0" w:color="auto"/>
              <w:left w:val="nil"/>
              <w:bottom w:val="single" w:sz="4" w:space="0" w:color="auto"/>
            </w:tcBorders>
            <w:shd w:val="clear" w:color="auto" w:fill="auto"/>
            <w:vAlign w:val="bottom"/>
          </w:tcPr>
          <w:p w14:paraId="08223530" w14:textId="77777777" w:rsidR="00692DE7" w:rsidRPr="009D42B5" w:rsidRDefault="00692DE7" w:rsidP="00952220">
            <w:pPr>
              <w:jc w:val="center"/>
              <w:rPr>
                <w:rFonts w:ascii="Calibri" w:eastAsia="Times New Roman" w:hAnsi="Calibri" w:cs="Calibri"/>
                <w:b/>
                <w:color w:val="000000"/>
              </w:rPr>
            </w:pPr>
          </w:p>
        </w:tc>
        <w:tc>
          <w:tcPr>
            <w:tcW w:w="5880" w:type="dxa"/>
            <w:gridSpan w:val="4"/>
            <w:tcBorders>
              <w:top w:val="single" w:sz="4" w:space="0" w:color="auto"/>
              <w:left w:val="nil"/>
              <w:bottom w:val="single" w:sz="4" w:space="0" w:color="auto"/>
            </w:tcBorders>
            <w:shd w:val="clear" w:color="auto" w:fill="auto"/>
            <w:vAlign w:val="bottom"/>
          </w:tcPr>
          <w:p w14:paraId="235F22EB" w14:textId="77777777" w:rsidR="00692DE7" w:rsidRDefault="00692DE7" w:rsidP="00952220">
            <w:pPr>
              <w:jc w:val="center"/>
              <w:rPr>
                <w:rFonts w:ascii="Calibri" w:eastAsia="Times New Roman" w:hAnsi="Calibri" w:cs="Calibri"/>
                <w:b/>
                <w:color w:val="000000"/>
              </w:rPr>
            </w:pPr>
            <w:r>
              <w:rPr>
                <w:rFonts w:ascii="Calibri" w:eastAsia="Times New Roman" w:hAnsi="Calibri" w:cs="Calibri"/>
                <w:b/>
                <w:color w:val="000000"/>
              </w:rPr>
              <w:t>Median (IQR) Proportion of Transmission Events</w:t>
            </w:r>
          </w:p>
        </w:tc>
      </w:tr>
      <w:tr w:rsidR="00692DE7" w:rsidRPr="009D42B5" w14:paraId="2AB524AD" w14:textId="77777777" w:rsidTr="00952220">
        <w:trPr>
          <w:trHeight w:val="300"/>
        </w:trPr>
        <w:tc>
          <w:tcPr>
            <w:tcW w:w="1240" w:type="dxa"/>
            <w:tcBorders>
              <w:top w:val="nil"/>
              <w:left w:val="nil"/>
            </w:tcBorders>
            <w:shd w:val="clear" w:color="auto" w:fill="auto"/>
            <w:noWrap/>
            <w:vAlign w:val="bottom"/>
            <w:hideMark/>
          </w:tcPr>
          <w:p w14:paraId="7B1C87F8"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Gonorrhea</w:t>
            </w:r>
          </w:p>
        </w:tc>
        <w:tc>
          <w:tcPr>
            <w:tcW w:w="1240" w:type="dxa"/>
            <w:tcBorders>
              <w:top w:val="nil"/>
            </w:tcBorders>
            <w:shd w:val="clear" w:color="auto" w:fill="auto"/>
            <w:noWrap/>
            <w:vAlign w:val="bottom"/>
            <w:hideMark/>
          </w:tcPr>
          <w:p w14:paraId="10994110"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Chlamydia</w:t>
            </w:r>
          </w:p>
        </w:tc>
        <w:tc>
          <w:tcPr>
            <w:tcW w:w="1570" w:type="dxa"/>
            <w:gridSpan w:val="2"/>
            <w:tcBorders>
              <w:top w:val="nil"/>
            </w:tcBorders>
            <w:shd w:val="clear" w:color="auto" w:fill="auto"/>
            <w:vAlign w:val="bottom"/>
            <w:hideMark/>
          </w:tcPr>
          <w:p w14:paraId="6261C1FA"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Gonorrhea and Chlamydia</w:t>
            </w:r>
          </w:p>
        </w:tc>
        <w:tc>
          <w:tcPr>
            <w:tcW w:w="1350" w:type="dxa"/>
            <w:tcBorders>
              <w:top w:val="nil"/>
            </w:tcBorders>
            <w:shd w:val="clear" w:color="auto" w:fill="auto"/>
            <w:vAlign w:val="bottom"/>
            <w:hideMark/>
          </w:tcPr>
          <w:p w14:paraId="5B5B7261"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Gonorrhea Only</w:t>
            </w:r>
          </w:p>
        </w:tc>
        <w:tc>
          <w:tcPr>
            <w:tcW w:w="1710" w:type="dxa"/>
            <w:tcBorders>
              <w:top w:val="nil"/>
            </w:tcBorders>
            <w:shd w:val="clear" w:color="auto" w:fill="auto"/>
            <w:vAlign w:val="bottom"/>
            <w:hideMark/>
          </w:tcPr>
          <w:p w14:paraId="5E3FD5EB"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Chlamydia Only</w:t>
            </w:r>
          </w:p>
        </w:tc>
        <w:tc>
          <w:tcPr>
            <w:tcW w:w="1710" w:type="dxa"/>
            <w:tcBorders>
              <w:top w:val="nil"/>
            </w:tcBorders>
            <w:shd w:val="clear" w:color="auto" w:fill="auto"/>
            <w:vAlign w:val="bottom"/>
            <w:hideMark/>
          </w:tcPr>
          <w:p w14:paraId="51FE7AAD"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Neither</w:t>
            </w:r>
          </w:p>
        </w:tc>
      </w:tr>
      <w:tr w:rsidR="006302ED" w:rsidRPr="009D42B5" w14:paraId="23BCA5A9" w14:textId="77777777" w:rsidTr="00952220">
        <w:trPr>
          <w:trHeight w:val="300"/>
        </w:trPr>
        <w:tc>
          <w:tcPr>
            <w:tcW w:w="1240" w:type="dxa"/>
            <w:tcBorders>
              <w:top w:val="nil"/>
              <w:left w:val="nil"/>
              <w:bottom w:val="nil"/>
            </w:tcBorders>
            <w:shd w:val="clear" w:color="000000" w:fill="D9D9D9"/>
            <w:noWrap/>
            <w:vAlign w:val="bottom"/>
            <w:hideMark/>
          </w:tcPr>
          <w:p w14:paraId="024CD4EC"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58910D91"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000000" w:fill="D9D9D9"/>
            <w:noWrap/>
            <w:vAlign w:val="bottom"/>
            <w:hideMark/>
          </w:tcPr>
          <w:p w14:paraId="4FC2577B" w14:textId="5FFEE82F" w:rsidR="006302ED" w:rsidRPr="009D42B5" w:rsidRDefault="006302ED" w:rsidP="006302ED">
            <w:pPr>
              <w:jc w:val="center"/>
              <w:rPr>
                <w:rFonts w:ascii="Calibri" w:eastAsia="Times New Roman" w:hAnsi="Calibri" w:cs="Calibri"/>
                <w:color w:val="000000"/>
              </w:rPr>
            </w:pPr>
            <w:r>
              <w:rPr>
                <w:rFonts w:ascii="Calibri" w:hAnsi="Calibri" w:cs="Calibri"/>
                <w:color w:val="000000"/>
              </w:rPr>
              <w:t>0.3 (0.2, 0.6)</w:t>
            </w:r>
          </w:p>
        </w:tc>
        <w:tc>
          <w:tcPr>
            <w:tcW w:w="1350" w:type="dxa"/>
            <w:tcBorders>
              <w:top w:val="nil"/>
              <w:bottom w:val="nil"/>
            </w:tcBorders>
            <w:shd w:val="clear" w:color="000000" w:fill="D9D9D9"/>
            <w:noWrap/>
            <w:vAlign w:val="bottom"/>
            <w:hideMark/>
          </w:tcPr>
          <w:p w14:paraId="6DA2F86D" w14:textId="511E4929" w:rsidR="006302ED" w:rsidRPr="009D42B5" w:rsidRDefault="006302ED" w:rsidP="006302ED">
            <w:pPr>
              <w:jc w:val="center"/>
              <w:rPr>
                <w:rFonts w:ascii="Calibri" w:eastAsia="Times New Roman" w:hAnsi="Calibri" w:cs="Calibri"/>
                <w:color w:val="000000"/>
              </w:rPr>
            </w:pPr>
            <w:r>
              <w:rPr>
                <w:rFonts w:ascii="Calibri" w:hAnsi="Calibri" w:cs="Calibri"/>
                <w:color w:val="000000"/>
              </w:rPr>
              <w:t>3 (2.7, 3.3)</w:t>
            </w:r>
          </w:p>
        </w:tc>
        <w:tc>
          <w:tcPr>
            <w:tcW w:w="1710" w:type="dxa"/>
            <w:tcBorders>
              <w:top w:val="nil"/>
              <w:bottom w:val="nil"/>
            </w:tcBorders>
            <w:shd w:val="clear" w:color="000000" w:fill="D9D9D9"/>
            <w:noWrap/>
            <w:vAlign w:val="bottom"/>
            <w:hideMark/>
          </w:tcPr>
          <w:p w14:paraId="20215946" w14:textId="11E98DED" w:rsidR="006302ED" w:rsidRPr="009D42B5" w:rsidRDefault="006302ED" w:rsidP="006302ED">
            <w:pPr>
              <w:jc w:val="center"/>
              <w:rPr>
                <w:rFonts w:ascii="Calibri" w:eastAsia="Times New Roman" w:hAnsi="Calibri" w:cs="Calibri"/>
                <w:color w:val="000000"/>
              </w:rPr>
            </w:pPr>
            <w:r>
              <w:rPr>
                <w:rFonts w:ascii="Calibri" w:hAnsi="Calibri" w:cs="Calibri"/>
                <w:color w:val="000000"/>
              </w:rPr>
              <w:t>7.7 (7.4, 8.1)</w:t>
            </w:r>
          </w:p>
        </w:tc>
        <w:tc>
          <w:tcPr>
            <w:tcW w:w="1710" w:type="dxa"/>
            <w:tcBorders>
              <w:top w:val="nil"/>
              <w:bottom w:val="nil"/>
            </w:tcBorders>
            <w:shd w:val="clear" w:color="000000" w:fill="D9D9D9"/>
            <w:noWrap/>
            <w:vAlign w:val="bottom"/>
            <w:hideMark/>
          </w:tcPr>
          <w:p w14:paraId="3A6A86A8" w14:textId="47F68361" w:rsidR="006302ED" w:rsidRPr="009D42B5" w:rsidRDefault="006302ED" w:rsidP="006302ED">
            <w:pPr>
              <w:jc w:val="center"/>
              <w:rPr>
                <w:rFonts w:ascii="Calibri" w:eastAsia="Times New Roman" w:hAnsi="Calibri" w:cs="Calibri"/>
                <w:color w:val="000000"/>
              </w:rPr>
            </w:pPr>
            <w:r>
              <w:rPr>
                <w:rFonts w:ascii="Calibri" w:hAnsi="Calibri" w:cs="Calibri"/>
                <w:color w:val="000000"/>
              </w:rPr>
              <w:t>89 (89.7, 88)</w:t>
            </w:r>
          </w:p>
        </w:tc>
      </w:tr>
      <w:tr w:rsidR="006302ED" w:rsidRPr="009D42B5" w14:paraId="2550952E" w14:textId="77777777" w:rsidTr="00952220">
        <w:trPr>
          <w:trHeight w:val="300"/>
        </w:trPr>
        <w:tc>
          <w:tcPr>
            <w:tcW w:w="1240" w:type="dxa"/>
            <w:tcBorders>
              <w:top w:val="nil"/>
              <w:left w:val="nil"/>
              <w:bottom w:val="nil"/>
            </w:tcBorders>
            <w:shd w:val="clear" w:color="000000" w:fill="D9D9D9"/>
            <w:noWrap/>
            <w:vAlign w:val="bottom"/>
            <w:hideMark/>
          </w:tcPr>
          <w:p w14:paraId="172C1AF1"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12123B2A"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bottom w:val="nil"/>
            </w:tcBorders>
            <w:shd w:val="clear" w:color="000000" w:fill="D9D9D9"/>
            <w:noWrap/>
            <w:vAlign w:val="bottom"/>
            <w:hideMark/>
          </w:tcPr>
          <w:p w14:paraId="607462CB" w14:textId="571B089D" w:rsidR="006302ED" w:rsidRPr="009D42B5" w:rsidRDefault="006302ED" w:rsidP="006302ED">
            <w:pPr>
              <w:jc w:val="center"/>
              <w:rPr>
                <w:rFonts w:ascii="Calibri" w:eastAsia="Times New Roman" w:hAnsi="Calibri" w:cs="Calibri"/>
                <w:color w:val="000000"/>
              </w:rPr>
            </w:pPr>
            <w:r>
              <w:rPr>
                <w:rFonts w:ascii="Calibri" w:hAnsi="Calibri" w:cs="Calibri"/>
                <w:color w:val="000000"/>
              </w:rPr>
              <w:t>0.4 (0.2, 0.6)</w:t>
            </w:r>
          </w:p>
        </w:tc>
        <w:tc>
          <w:tcPr>
            <w:tcW w:w="1350" w:type="dxa"/>
            <w:tcBorders>
              <w:top w:val="nil"/>
              <w:bottom w:val="nil"/>
            </w:tcBorders>
            <w:shd w:val="clear" w:color="000000" w:fill="D9D9D9"/>
            <w:noWrap/>
            <w:vAlign w:val="bottom"/>
            <w:hideMark/>
          </w:tcPr>
          <w:p w14:paraId="6BFEE9D9" w14:textId="432649D9" w:rsidR="006302ED" w:rsidRPr="009D42B5" w:rsidRDefault="006302ED" w:rsidP="006302ED">
            <w:pPr>
              <w:jc w:val="center"/>
              <w:rPr>
                <w:rFonts w:ascii="Calibri" w:eastAsia="Times New Roman" w:hAnsi="Calibri" w:cs="Calibri"/>
                <w:color w:val="000000"/>
              </w:rPr>
            </w:pPr>
            <w:r>
              <w:rPr>
                <w:rFonts w:ascii="Calibri" w:hAnsi="Calibri" w:cs="Calibri"/>
                <w:color w:val="000000"/>
              </w:rPr>
              <w:t>3 (2.7, 3.4)</w:t>
            </w:r>
          </w:p>
        </w:tc>
        <w:tc>
          <w:tcPr>
            <w:tcW w:w="1710" w:type="dxa"/>
            <w:tcBorders>
              <w:top w:val="nil"/>
              <w:bottom w:val="nil"/>
            </w:tcBorders>
            <w:shd w:val="clear" w:color="000000" w:fill="D9D9D9"/>
            <w:noWrap/>
            <w:vAlign w:val="bottom"/>
            <w:hideMark/>
          </w:tcPr>
          <w:p w14:paraId="2D5E1D73" w14:textId="2EEBE95E" w:rsidR="006302ED" w:rsidRPr="009D42B5" w:rsidRDefault="006302ED" w:rsidP="006302ED">
            <w:pPr>
              <w:jc w:val="center"/>
              <w:rPr>
                <w:rFonts w:ascii="Calibri" w:eastAsia="Times New Roman" w:hAnsi="Calibri" w:cs="Calibri"/>
                <w:color w:val="000000"/>
              </w:rPr>
            </w:pPr>
            <w:r>
              <w:rPr>
                <w:rFonts w:ascii="Calibri" w:hAnsi="Calibri" w:cs="Calibri"/>
                <w:color w:val="000000"/>
              </w:rPr>
              <w:t>9.6 (9.2, 10)</w:t>
            </w:r>
          </w:p>
        </w:tc>
        <w:tc>
          <w:tcPr>
            <w:tcW w:w="1710" w:type="dxa"/>
            <w:tcBorders>
              <w:top w:val="nil"/>
              <w:bottom w:val="nil"/>
            </w:tcBorders>
            <w:shd w:val="clear" w:color="000000" w:fill="D9D9D9"/>
            <w:noWrap/>
            <w:vAlign w:val="bottom"/>
            <w:hideMark/>
          </w:tcPr>
          <w:p w14:paraId="0E9C82BF" w14:textId="2B648554" w:rsidR="006302ED" w:rsidRPr="009D42B5" w:rsidRDefault="006302ED" w:rsidP="006302ED">
            <w:pPr>
              <w:jc w:val="center"/>
              <w:rPr>
                <w:rFonts w:ascii="Calibri" w:eastAsia="Times New Roman" w:hAnsi="Calibri" w:cs="Calibri"/>
                <w:color w:val="000000"/>
              </w:rPr>
            </w:pPr>
            <w:r>
              <w:rPr>
                <w:rFonts w:ascii="Calibri" w:hAnsi="Calibri" w:cs="Calibri"/>
                <w:color w:val="000000"/>
              </w:rPr>
              <w:t>87 (87.8, 86)</w:t>
            </w:r>
          </w:p>
        </w:tc>
      </w:tr>
      <w:tr w:rsidR="006302ED" w:rsidRPr="009D42B5" w14:paraId="244FE900" w14:textId="77777777" w:rsidTr="00952220">
        <w:trPr>
          <w:trHeight w:val="300"/>
        </w:trPr>
        <w:tc>
          <w:tcPr>
            <w:tcW w:w="1240" w:type="dxa"/>
            <w:tcBorders>
              <w:top w:val="nil"/>
              <w:left w:val="nil"/>
              <w:bottom w:val="nil"/>
            </w:tcBorders>
            <w:shd w:val="clear" w:color="000000" w:fill="D9D9D9"/>
            <w:noWrap/>
            <w:vAlign w:val="bottom"/>
            <w:hideMark/>
          </w:tcPr>
          <w:p w14:paraId="1F77DD9B"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547D3942"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nil"/>
            </w:tcBorders>
            <w:shd w:val="clear" w:color="000000" w:fill="D9D9D9"/>
            <w:noWrap/>
            <w:vAlign w:val="bottom"/>
            <w:hideMark/>
          </w:tcPr>
          <w:p w14:paraId="630A6A6C" w14:textId="4A5BBA9C" w:rsidR="006302ED" w:rsidRPr="009D42B5" w:rsidRDefault="006302ED" w:rsidP="006302ED">
            <w:pPr>
              <w:jc w:val="center"/>
              <w:rPr>
                <w:rFonts w:ascii="Calibri" w:eastAsia="Times New Roman" w:hAnsi="Calibri" w:cs="Calibri"/>
                <w:color w:val="000000"/>
              </w:rPr>
            </w:pPr>
            <w:r>
              <w:rPr>
                <w:rFonts w:ascii="Calibri" w:hAnsi="Calibri" w:cs="Calibri"/>
                <w:color w:val="000000"/>
              </w:rPr>
              <w:t>0.5 (0.4, 0.7)</w:t>
            </w:r>
          </w:p>
        </w:tc>
        <w:tc>
          <w:tcPr>
            <w:tcW w:w="1350" w:type="dxa"/>
            <w:tcBorders>
              <w:top w:val="nil"/>
              <w:bottom w:val="nil"/>
            </w:tcBorders>
            <w:shd w:val="clear" w:color="000000" w:fill="D9D9D9"/>
            <w:noWrap/>
            <w:vAlign w:val="bottom"/>
            <w:hideMark/>
          </w:tcPr>
          <w:p w14:paraId="21A19C16" w14:textId="3C12DD5F" w:rsidR="006302ED" w:rsidRPr="009D42B5" w:rsidRDefault="006302ED" w:rsidP="006302ED">
            <w:pPr>
              <w:jc w:val="center"/>
              <w:rPr>
                <w:rFonts w:ascii="Calibri" w:eastAsia="Times New Roman" w:hAnsi="Calibri" w:cs="Calibri"/>
                <w:color w:val="000000"/>
              </w:rPr>
            </w:pPr>
            <w:r>
              <w:rPr>
                <w:rFonts w:ascii="Calibri" w:hAnsi="Calibri" w:cs="Calibri"/>
                <w:color w:val="000000"/>
              </w:rPr>
              <w:t>3.4 (3, 3.8)</w:t>
            </w:r>
          </w:p>
        </w:tc>
        <w:tc>
          <w:tcPr>
            <w:tcW w:w="1710" w:type="dxa"/>
            <w:tcBorders>
              <w:top w:val="nil"/>
              <w:bottom w:val="nil"/>
            </w:tcBorders>
            <w:shd w:val="clear" w:color="000000" w:fill="D9D9D9"/>
            <w:noWrap/>
            <w:vAlign w:val="bottom"/>
            <w:hideMark/>
          </w:tcPr>
          <w:p w14:paraId="4FEDAC37" w14:textId="3AC3522A" w:rsidR="006302ED" w:rsidRPr="009D42B5" w:rsidRDefault="006302ED" w:rsidP="006302ED">
            <w:pPr>
              <w:jc w:val="center"/>
              <w:rPr>
                <w:rFonts w:ascii="Calibri" w:eastAsia="Times New Roman" w:hAnsi="Calibri" w:cs="Calibri"/>
                <w:color w:val="000000"/>
              </w:rPr>
            </w:pPr>
            <w:r>
              <w:rPr>
                <w:rFonts w:ascii="Calibri" w:hAnsi="Calibri" w:cs="Calibri"/>
                <w:color w:val="000000"/>
              </w:rPr>
              <w:t>11 (10.7, 11.3)</w:t>
            </w:r>
          </w:p>
        </w:tc>
        <w:tc>
          <w:tcPr>
            <w:tcW w:w="1710" w:type="dxa"/>
            <w:tcBorders>
              <w:top w:val="nil"/>
              <w:bottom w:val="nil"/>
            </w:tcBorders>
            <w:shd w:val="clear" w:color="000000" w:fill="D9D9D9"/>
            <w:noWrap/>
            <w:vAlign w:val="bottom"/>
            <w:hideMark/>
          </w:tcPr>
          <w:p w14:paraId="6BF4AAF8" w14:textId="7233E820" w:rsidR="006302ED" w:rsidRPr="009D42B5" w:rsidRDefault="006302ED" w:rsidP="006302ED">
            <w:pPr>
              <w:jc w:val="center"/>
              <w:rPr>
                <w:rFonts w:ascii="Calibri" w:eastAsia="Times New Roman" w:hAnsi="Calibri" w:cs="Calibri"/>
                <w:color w:val="000000"/>
              </w:rPr>
            </w:pPr>
            <w:r>
              <w:rPr>
                <w:rFonts w:ascii="Calibri" w:hAnsi="Calibri" w:cs="Calibri"/>
                <w:color w:val="000000"/>
              </w:rPr>
              <w:t>85 (85.9, 84.1)</w:t>
            </w:r>
          </w:p>
        </w:tc>
      </w:tr>
      <w:tr w:rsidR="006302ED" w:rsidRPr="009D42B5" w14:paraId="64CD0B2D" w14:textId="77777777" w:rsidTr="00952220">
        <w:trPr>
          <w:trHeight w:val="300"/>
        </w:trPr>
        <w:tc>
          <w:tcPr>
            <w:tcW w:w="1240" w:type="dxa"/>
            <w:tcBorders>
              <w:top w:val="nil"/>
              <w:left w:val="nil"/>
              <w:bottom w:val="nil"/>
            </w:tcBorders>
            <w:shd w:val="clear" w:color="auto" w:fill="auto"/>
            <w:noWrap/>
            <w:vAlign w:val="bottom"/>
            <w:hideMark/>
          </w:tcPr>
          <w:p w14:paraId="28AA770C"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2EA5DD3B"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auto" w:fill="auto"/>
            <w:noWrap/>
            <w:vAlign w:val="bottom"/>
            <w:hideMark/>
          </w:tcPr>
          <w:p w14:paraId="2C24DA0E" w14:textId="4C5D0FC8" w:rsidR="006302ED" w:rsidRPr="009D42B5" w:rsidRDefault="006302ED" w:rsidP="006302ED">
            <w:pPr>
              <w:jc w:val="center"/>
              <w:rPr>
                <w:rFonts w:ascii="Calibri" w:eastAsia="Times New Roman" w:hAnsi="Calibri" w:cs="Calibri"/>
                <w:color w:val="000000"/>
              </w:rPr>
            </w:pPr>
            <w:r>
              <w:rPr>
                <w:rFonts w:ascii="Calibri" w:hAnsi="Calibri" w:cs="Calibri"/>
                <w:color w:val="000000"/>
              </w:rPr>
              <w:t>0.4 (0.3, 0.7)</w:t>
            </w:r>
          </w:p>
        </w:tc>
        <w:tc>
          <w:tcPr>
            <w:tcW w:w="1350" w:type="dxa"/>
            <w:tcBorders>
              <w:top w:val="nil"/>
              <w:bottom w:val="nil"/>
            </w:tcBorders>
            <w:shd w:val="clear" w:color="auto" w:fill="auto"/>
            <w:noWrap/>
            <w:vAlign w:val="bottom"/>
            <w:hideMark/>
          </w:tcPr>
          <w:p w14:paraId="1CCE18B7" w14:textId="293344BF" w:rsidR="006302ED" w:rsidRPr="009D42B5" w:rsidRDefault="006302ED" w:rsidP="006302ED">
            <w:pPr>
              <w:jc w:val="center"/>
              <w:rPr>
                <w:rFonts w:ascii="Calibri" w:eastAsia="Times New Roman" w:hAnsi="Calibri" w:cs="Calibri"/>
                <w:color w:val="000000"/>
              </w:rPr>
            </w:pPr>
            <w:r>
              <w:rPr>
                <w:rFonts w:ascii="Calibri" w:hAnsi="Calibri" w:cs="Calibri"/>
                <w:color w:val="000000"/>
              </w:rPr>
              <w:t>4.1 (3.7, 4.6)</w:t>
            </w:r>
          </w:p>
        </w:tc>
        <w:tc>
          <w:tcPr>
            <w:tcW w:w="1710" w:type="dxa"/>
            <w:tcBorders>
              <w:top w:val="nil"/>
              <w:bottom w:val="nil"/>
            </w:tcBorders>
            <w:shd w:val="clear" w:color="auto" w:fill="auto"/>
            <w:noWrap/>
            <w:vAlign w:val="bottom"/>
            <w:hideMark/>
          </w:tcPr>
          <w:p w14:paraId="2996DEDA" w14:textId="2EE12C1A" w:rsidR="006302ED" w:rsidRPr="009D42B5" w:rsidRDefault="006302ED" w:rsidP="006302ED">
            <w:pPr>
              <w:jc w:val="center"/>
              <w:rPr>
                <w:rFonts w:ascii="Calibri" w:eastAsia="Times New Roman" w:hAnsi="Calibri" w:cs="Calibri"/>
                <w:color w:val="000000"/>
              </w:rPr>
            </w:pPr>
            <w:r>
              <w:rPr>
                <w:rFonts w:ascii="Calibri" w:hAnsi="Calibri" w:cs="Calibri"/>
                <w:color w:val="000000"/>
              </w:rPr>
              <w:t>7.6 (7.2, 8)</w:t>
            </w:r>
          </w:p>
        </w:tc>
        <w:tc>
          <w:tcPr>
            <w:tcW w:w="1710" w:type="dxa"/>
            <w:tcBorders>
              <w:top w:val="nil"/>
              <w:bottom w:val="nil"/>
            </w:tcBorders>
            <w:shd w:val="clear" w:color="auto" w:fill="auto"/>
            <w:noWrap/>
            <w:vAlign w:val="bottom"/>
            <w:hideMark/>
          </w:tcPr>
          <w:p w14:paraId="1BF017C8" w14:textId="0F65BDAF" w:rsidR="006302ED" w:rsidRPr="009D42B5" w:rsidRDefault="006302ED" w:rsidP="006302ED">
            <w:pPr>
              <w:jc w:val="center"/>
              <w:rPr>
                <w:rFonts w:ascii="Calibri" w:eastAsia="Times New Roman" w:hAnsi="Calibri" w:cs="Calibri"/>
                <w:color w:val="000000"/>
              </w:rPr>
            </w:pPr>
            <w:r>
              <w:rPr>
                <w:rFonts w:ascii="Calibri" w:hAnsi="Calibri" w:cs="Calibri"/>
                <w:color w:val="000000"/>
              </w:rPr>
              <w:t>87.8 (88.7, 86.8)</w:t>
            </w:r>
          </w:p>
        </w:tc>
      </w:tr>
      <w:tr w:rsidR="006302ED" w:rsidRPr="009D42B5" w14:paraId="3C43BB0B" w14:textId="77777777" w:rsidTr="00952220">
        <w:trPr>
          <w:trHeight w:val="300"/>
        </w:trPr>
        <w:tc>
          <w:tcPr>
            <w:tcW w:w="1240" w:type="dxa"/>
            <w:tcBorders>
              <w:top w:val="nil"/>
              <w:left w:val="nil"/>
              <w:bottom w:val="nil"/>
            </w:tcBorders>
            <w:shd w:val="clear" w:color="auto" w:fill="auto"/>
            <w:noWrap/>
            <w:vAlign w:val="bottom"/>
            <w:hideMark/>
          </w:tcPr>
          <w:p w14:paraId="2932AE0B"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184B96AB"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bottom w:val="nil"/>
            </w:tcBorders>
            <w:shd w:val="clear" w:color="auto" w:fill="auto"/>
            <w:noWrap/>
            <w:vAlign w:val="bottom"/>
            <w:hideMark/>
          </w:tcPr>
          <w:p w14:paraId="26DFDA37" w14:textId="4D2AAD0D" w:rsidR="006302ED" w:rsidRPr="009D42B5" w:rsidRDefault="006302ED" w:rsidP="006302ED">
            <w:pPr>
              <w:jc w:val="center"/>
              <w:rPr>
                <w:rFonts w:ascii="Calibri" w:eastAsia="Times New Roman" w:hAnsi="Calibri" w:cs="Calibri"/>
                <w:color w:val="000000"/>
              </w:rPr>
            </w:pPr>
            <w:r>
              <w:rPr>
                <w:rFonts w:ascii="Calibri" w:hAnsi="Calibri" w:cs="Calibri"/>
                <w:color w:val="000000"/>
              </w:rPr>
              <w:t>0.7 (0.6, 0.9)</w:t>
            </w:r>
          </w:p>
        </w:tc>
        <w:tc>
          <w:tcPr>
            <w:tcW w:w="1350" w:type="dxa"/>
            <w:tcBorders>
              <w:top w:val="nil"/>
              <w:bottom w:val="nil"/>
            </w:tcBorders>
            <w:shd w:val="clear" w:color="auto" w:fill="auto"/>
            <w:noWrap/>
            <w:vAlign w:val="bottom"/>
            <w:hideMark/>
          </w:tcPr>
          <w:p w14:paraId="74C33D61" w14:textId="793DBAB0" w:rsidR="006302ED" w:rsidRPr="009D42B5" w:rsidRDefault="006302ED" w:rsidP="006302ED">
            <w:pPr>
              <w:jc w:val="center"/>
              <w:rPr>
                <w:rFonts w:ascii="Calibri" w:eastAsia="Times New Roman" w:hAnsi="Calibri" w:cs="Calibri"/>
                <w:color w:val="000000"/>
              </w:rPr>
            </w:pPr>
            <w:r>
              <w:rPr>
                <w:rFonts w:ascii="Calibri" w:hAnsi="Calibri" w:cs="Calibri"/>
                <w:color w:val="000000"/>
              </w:rPr>
              <w:t>4.3 (4, 4.6)</w:t>
            </w:r>
          </w:p>
        </w:tc>
        <w:tc>
          <w:tcPr>
            <w:tcW w:w="1710" w:type="dxa"/>
            <w:tcBorders>
              <w:top w:val="nil"/>
              <w:bottom w:val="nil"/>
            </w:tcBorders>
            <w:shd w:val="clear" w:color="auto" w:fill="auto"/>
            <w:noWrap/>
            <w:vAlign w:val="bottom"/>
            <w:hideMark/>
          </w:tcPr>
          <w:p w14:paraId="0116A46F" w14:textId="502FF284" w:rsidR="006302ED" w:rsidRPr="009D42B5" w:rsidRDefault="006302ED" w:rsidP="006302ED">
            <w:pPr>
              <w:jc w:val="center"/>
              <w:rPr>
                <w:rFonts w:ascii="Calibri" w:eastAsia="Times New Roman" w:hAnsi="Calibri" w:cs="Calibri"/>
                <w:color w:val="000000"/>
              </w:rPr>
            </w:pPr>
            <w:r>
              <w:rPr>
                <w:rFonts w:ascii="Calibri" w:hAnsi="Calibri" w:cs="Calibri"/>
                <w:color w:val="000000"/>
              </w:rPr>
              <w:t>9.8 (9.4, 10.2)</w:t>
            </w:r>
          </w:p>
        </w:tc>
        <w:tc>
          <w:tcPr>
            <w:tcW w:w="1710" w:type="dxa"/>
            <w:tcBorders>
              <w:top w:val="nil"/>
              <w:bottom w:val="nil"/>
            </w:tcBorders>
            <w:shd w:val="clear" w:color="auto" w:fill="auto"/>
            <w:noWrap/>
            <w:vAlign w:val="bottom"/>
            <w:hideMark/>
          </w:tcPr>
          <w:p w14:paraId="5CAEE2E8" w14:textId="5A77801A" w:rsidR="006302ED" w:rsidRPr="009D42B5" w:rsidRDefault="006302ED" w:rsidP="006302ED">
            <w:pPr>
              <w:jc w:val="center"/>
              <w:rPr>
                <w:rFonts w:ascii="Calibri" w:eastAsia="Times New Roman" w:hAnsi="Calibri" w:cs="Calibri"/>
                <w:color w:val="000000"/>
              </w:rPr>
            </w:pPr>
            <w:r>
              <w:rPr>
                <w:rFonts w:ascii="Calibri" w:hAnsi="Calibri" w:cs="Calibri"/>
                <w:color w:val="000000"/>
              </w:rPr>
              <w:t>85.2 (86.1, 84.3)</w:t>
            </w:r>
          </w:p>
        </w:tc>
      </w:tr>
      <w:tr w:rsidR="006302ED" w:rsidRPr="009D42B5" w14:paraId="369A0895" w14:textId="77777777" w:rsidTr="00952220">
        <w:trPr>
          <w:trHeight w:val="300"/>
        </w:trPr>
        <w:tc>
          <w:tcPr>
            <w:tcW w:w="1240" w:type="dxa"/>
            <w:tcBorders>
              <w:top w:val="nil"/>
              <w:left w:val="nil"/>
              <w:bottom w:val="nil"/>
            </w:tcBorders>
            <w:shd w:val="clear" w:color="auto" w:fill="auto"/>
            <w:noWrap/>
            <w:vAlign w:val="bottom"/>
            <w:hideMark/>
          </w:tcPr>
          <w:p w14:paraId="0D6B755B"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6E81EE29"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nil"/>
            </w:tcBorders>
            <w:shd w:val="clear" w:color="auto" w:fill="auto"/>
            <w:noWrap/>
            <w:vAlign w:val="bottom"/>
            <w:hideMark/>
          </w:tcPr>
          <w:p w14:paraId="099A8D63" w14:textId="357A5098" w:rsidR="006302ED" w:rsidRPr="009D42B5" w:rsidRDefault="006302ED" w:rsidP="006302ED">
            <w:pPr>
              <w:jc w:val="center"/>
              <w:rPr>
                <w:rFonts w:ascii="Calibri" w:eastAsia="Times New Roman" w:hAnsi="Calibri" w:cs="Calibri"/>
                <w:color w:val="000000"/>
              </w:rPr>
            </w:pPr>
            <w:r>
              <w:rPr>
                <w:rFonts w:ascii="Calibri" w:hAnsi="Calibri" w:cs="Calibri"/>
                <w:color w:val="000000"/>
              </w:rPr>
              <w:t>0.9 (0.7, 1.1)</w:t>
            </w:r>
          </w:p>
        </w:tc>
        <w:tc>
          <w:tcPr>
            <w:tcW w:w="1350" w:type="dxa"/>
            <w:tcBorders>
              <w:top w:val="nil"/>
              <w:bottom w:val="nil"/>
            </w:tcBorders>
            <w:shd w:val="clear" w:color="auto" w:fill="auto"/>
            <w:noWrap/>
            <w:vAlign w:val="bottom"/>
            <w:hideMark/>
          </w:tcPr>
          <w:p w14:paraId="092ED76D" w14:textId="3072A752" w:rsidR="006302ED" w:rsidRPr="009D42B5" w:rsidRDefault="006302ED" w:rsidP="006302ED">
            <w:pPr>
              <w:jc w:val="center"/>
              <w:rPr>
                <w:rFonts w:ascii="Calibri" w:eastAsia="Times New Roman" w:hAnsi="Calibri" w:cs="Calibri"/>
                <w:color w:val="000000"/>
              </w:rPr>
            </w:pPr>
            <w:r>
              <w:rPr>
                <w:rFonts w:ascii="Calibri" w:hAnsi="Calibri" w:cs="Calibri"/>
                <w:color w:val="000000"/>
              </w:rPr>
              <w:t>4.9 (4.6, 5.2)</w:t>
            </w:r>
          </w:p>
        </w:tc>
        <w:tc>
          <w:tcPr>
            <w:tcW w:w="1710" w:type="dxa"/>
            <w:tcBorders>
              <w:top w:val="nil"/>
              <w:bottom w:val="nil"/>
            </w:tcBorders>
            <w:shd w:val="clear" w:color="auto" w:fill="auto"/>
            <w:noWrap/>
            <w:vAlign w:val="bottom"/>
            <w:hideMark/>
          </w:tcPr>
          <w:p w14:paraId="650B1682" w14:textId="3989AEEF" w:rsidR="006302ED" w:rsidRPr="009D42B5" w:rsidRDefault="006302ED" w:rsidP="006302ED">
            <w:pPr>
              <w:jc w:val="center"/>
              <w:rPr>
                <w:rFonts w:ascii="Calibri" w:eastAsia="Times New Roman" w:hAnsi="Calibri" w:cs="Calibri"/>
                <w:color w:val="000000"/>
              </w:rPr>
            </w:pPr>
            <w:r>
              <w:rPr>
                <w:rFonts w:ascii="Calibri" w:hAnsi="Calibri" w:cs="Calibri"/>
                <w:color w:val="000000"/>
              </w:rPr>
              <w:t>11 (10.6, 11.3)</w:t>
            </w:r>
          </w:p>
        </w:tc>
        <w:tc>
          <w:tcPr>
            <w:tcW w:w="1710" w:type="dxa"/>
            <w:tcBorders>
              <w:top w:val="nil"/>
              <w:bottom w:val="nil"/>
            </w:tcBorders>
            <w:shd w:val="clear" w:color="auto" w:fill="auto"/>
            <w:noWrap/>
            <w:vAlign w:val="bottom"/>
            <w:hideMark/>
          </w:tcPr>
          <w:p w14:paraId="756B75FB" w14:textId="7208DEDD" w:rsidR="006302ED" w:rsidRPr="009D42B5" w:rsidRDefault="006302ED" w:rsidP="006302ED">
            <w:pPr>
              <w:jc w:val="center"/>
              <w:rPr>
                <w:rFonts w:ascii="Calibri" w:eastAsia="Times New Roman" w:hAnsi="Calibri" w:cs="Calibri"/>
                <w:color w:val="000000"/>
              </w:rPr>
            </w:pPr>
            <w:r>
              <w:rPr>
                <w:rFonts w:ascii="Calibri" w:hAnsi="Calibri" w:cs="Calibri"/>
                <w:color w:val="000000"/>
              </w:rPr>
              <w:t>83.1 (84.1, 82.4)</w:t>
            </w:r>
          </w:p>
        </w:tc>
      </w:tr>
      <w:tr w:rsidR="006302ED" w:rsidRPr="009D42B5" w14:paraId="1DA687C7" w14:textId="77777777" w:rsidTr="00952220">
        <w:trPr>
          <w:trHeight w:val="300"/>
        </w:trPr>
        <w:tc>
          <w:tcPr>
            <w:tcW w:w="1240" w:type="dxa"/>
            <w:tcBorders>
              <w:top w:val="nil"/>
              <w:left w:val="nil"/>
              <w:bottom w:val="nil"/>
            </w:tcBorders>
            <w:shd w:val="clear" w:color="000000" w:fill="D9D9D9"/>
            <w:noWrap/>
            <w:vAlign w:val="bottom"/>
            <w:hideMark/>
          </w:tcPr>
          <w:p w14:paraId="4E481345"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3E18216C"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000000" w:fill="D9D9D9"/>
            <w:noWrap/>
            <w:vAlign w:val="bottom"/>
            <w:hideMark/>
          </w:tcPr>
          <w:p w14:paraId="3EC70087" w14:textId="595AAE88" w:rsidR="006302ED" w:rsidRPr="009D42B5" w:rsidRDefault="006302ED" w:rsidP="006302ED">
            <w:pPr>
              <w:jc w:val="center"/>
              <w:rPr>
                <w:rFonts w:ascii="Calibri" w:eastAsia="Times New Roman" w:hAnsi="Calibri" w:cs="Calibri"/>
                <w:color w:val="000000"/>
              </w:rPr>
            </w:pPr>
            <w:r>
              <w:rPr>
                <w:rFonts w:ascii="Calibri" w:hAnsi="Calibri" w:cs="Calibri"/>
                <w:color w:val="000000"/>
              </w:rPr>
              <w:t>0.6 (0.3, 0.7)</w:t>
            </w:r>
          </w:p>
        </w:tc>
        <w:tc>
          <w:tcPr>
            <w:tcW w:w="1350" w:type="dxa"/>
            <w:tcBorders>
              <w:top w:val="nil"/>
              <w:bottom w:val="nil"/>
            </w:tcBorders>
            <w:shd w:val="clear" w:color="000000" w:fill="D9D9D9"/>
            <w:noWrap/>
            <w:vAlign w:val="bottom"/>
            <w:hideMark/>
          </w:tcPr>
          <w:p w14:paraId="736C2224" w14:textId="06E68721" w:rsidR="006302ED" w:rsidRPr="009D42B5" w:rsidRDefault="006302ED" w:rsidP="006302ED">
            <w:pPr>
              <w:jc w:val="center"/>
              <w:rPr>
                <w:rFonts w:ascii="Calibri" w:eastAsia="Times New Roman" w:hAnsi="Calibri" w:cs="Calibri"/>
                <w:color w:val="000000"/>
              </w:rPr>
            </w:pPr>
            <w:r>
              <w:rPr>
                <w:rFonts w:ascii="Calibri" w:hAnsi="Calibri" w:cs="Calibri"/>
                <w:color w:val="000000"/>
              </w:rPr>
              <w:t>4.8 (4.5, 5.2)</w:t>
            </w:r>
          </w:p>
        </w:tc>
        <w:tc>
          <w:tcPr>
            <w:tcW w:w="1710" w:type="dxa"/>
            <w:tcBorders>
              <w:top w:val="nil"/>
              <w:bottom w:val="nil"/>
            </w:tcBorders>
            <w:shd w:val="clear" w:color="000000" w:fill="D9D9D9"/>
            <w:noWrap/>
            <w:vAlign w:val="bottom"/>
            <w:hideMark/>
          </w:tcPr>
          <w:p w14:paraId="1666BCE3" w14:textId="54DAA9CB" w:rsidR="006302ED" w:rsidRPr="009D42B5" w:rsidRDefault="006302ED" w:rsidP="006302ED">
            <w:pPr>
              <w:jc w:val="center"/>
              <w:rPr>
                <w:rFonts w:ascii="Calibri" w:eastAsia="Times New Roman" w:hAnsi="Calibri" w:cs="Calibri"/>
                <w:color w:val="000000"/>
              </w:rPr>
            </w:pPr>
            <w:r>
              <w:rPr>
                <w:rFonts w:ascii="Calibri" w:hAnsi="Calibri" w:cs="Calibri"/>
                <w:color w:val="000000"/>
              </w:rPr>
              <w:t>7.5 (7.2, 7.9)</w:t>
            </w:r>
          </w:p>
        </w:tc>
        <w:tc>
          <w:tcPr>
            <w:tcW w:w="1710" w:type="dxa"/>
            <w:tcBorders>
              <w:top w:val="nil"/>
              <w:bottom w:val="nil"/>
            </w:tcBorders>
            <w:shd w:val="clear" w:color="000000" w:fill="D9D9D9"/>
            <w:noWrap/>
            <w:vAlign w:val="bottom"/>
            <w:hideMark/>
          </w:tcPr>
          <w:p w14:paraId="7E69030A" w14:textId="63B0C269" w:rsidR="006302ED" w:rsidRPr="009D42B5" w:rsidRDefault="006302ED" w:rsidP="006302ED">
            <w:pPr>
              <w:jc w:val="center"/>
              <w:rPr>
                <w:rFonts w:ascii="Calibri" w:eastAsia="Times New Roman" w:hAnsi="Calibri" w:cs="Calibri"/>
                <w:color w:val="000000"/>
              </w:rPr>
            </w:pPr>
            <w:r>
              <w:rPr>
                <w:rFonts w:ascii="Calibri" w:hAnsi="Calibri" w:cs="Calibri"/>
                <w:color w:val="000000"/>
              </w:rPr>
              <w:t>87.1 (87.9, 86.2)</w:t>
            </w:r>
          </w:p>
        </w:tc>
      </w:tr>
      <w:tr w:rsidR="006302ED" w:rsidRPr="009D42B5" w14:paraId="690151B9" w14:textId="77777777" w:rsidTr="00952220">
        <w:trPr>
          <w:trHeight w:val="300"/>
        </w:trPr>
        <w:tc>
          <w:tcPr>
            <w:tcW w:w="1240" w:type="dxa"/>
            <w:tcBorders>
              <w:top w:val="nil"/>
              <w:left w:val="nil"/>
              <w:bottom w:val="nil"/>
            </w:tcBorders>
            <w:shd w:val="clear" w:color="000000" w:fill="D9D9D9"/>
            <w:noWrap/>
            <w:vAlign w:val="bottom"/>
            <w:hideMark/>
          </w:tcPr>
          <w:p w14:paraId="18B39B90"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3D63949E"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bottom w:val="nil"/>
            </w:tcBorders>
            <w:shd w:val="clear" w:color="000000" w:fill="D9D9D9"/>
            <w:noWrap/>
            <w:vAlign w:val="bottom"/>
            <w:hideMark/>
          </w:tcPr>
          <w:p w14:paraId="304938CE" w14:textId="38DCC3E1" w:rsidR="006302ED" w:rsidRPr="009D42B5" w:rsidRDefault="006302ED" w:rsidP="006302ED">
            <w:pPr>
              <w:jc w:val="center"/>
              <w:rPr>
                <w:rFonts w:ascii="Calibri" w:eastAsia="Times New Roman" w:hAnsi="Calibri" w:cs="Calibri"/>
                <w:color w:val="000000"/>
              </w:rPr>
            </w:pPr>
            <w:r>
              <w:rPr>
                <w:rFonts w:ascii="Calibri" w:hAnsi="Calibri" w:cs="Calibri"/>
                <w:color w:val="000000"/>
              </w:rPr>
              <w:t>0.8 (0.6, 1.1)</w:t>
            </w:r>
          </w:p>
        </w:tc>
        <w:tc>
          <w:tcPr>
            <w:tcW w:w="1350" w:type="dxa"/>
            <w:tcBorders>
              <w:top w:val="nil"/>
              <w:bottom w:val="nil"/>
            </w:tcBorders>
            <w:shd w:val="clear" w:color="000000" w:fill="D9D9D9"/>
            <w:noWrap/>
            <w:vAlign w:val="bottom"/>
            <w:hideMark/>
          </w:tcPr>
          <w:p w14:paraId="041514A6" w14:textId="08536103" w:rsidR="006302ED" w:rsidRPr="009D42B5" w:rsidRDefault="006302ED" w:rsidP="006302ED">
            <w:pPr>
              <w:jc w:val="center"/>
              <w:rPr>
                <w:rFonts w:ascii="Calibri" w:eastAsia="Times New Roman" w:hAnsi="Calibri" w:cs="Calibri"/>
                <w:color w:val="000000"/>
              </w:rPr>
            </w:pPr>
            <w:r>
              <w:rPr>
                <w:rFonts w:ascii="Calibri" w:hAnsi="Calibri" w:cs="Calibri"/>
                <w:color w:val="000000"/>
              </w:rPr>
              <w:t>5.7 (5.3, 6.1)</w:t>
            </w:r>
          </w:p>
        </w:tc>
        <w:tc>
          <w:tcPr>
            <w:tcW w:w="1710" w:type="dxa"/>
            <w:tcBorders>
              <w:top w:val="nil"/>
              <w:bottom w:val="nil"/>
            </w:tcBorders>
            <w:shd w:val="clear" w:color="000000" w:fill="D9D9D9"/>
            <w:noWrap/>
            <w:vAlign w:val="bottom"/>
            <w:hideMark/>
          </w:tcPr>
          <w:p w14:paraId="37C5E7AB" w14:textId="01BD7481" w:rsidR="006302ED" w:rsidRPr="009D42B5" w:rsidRDefault="006302ED" w:rsidP="006302ED">
            <w:pPr>
              <w:jc w:val="center"/>
              <w:rPr>
                <w:rFonts w:ascii="Calibri" w:eastAsia="Times New Roman" w:hAnsi="Calibri" w:cs="Calibri"/>
                <w:color w:val="000000"/>
              </w:rPr>
            </w:pPr>
            <w:r>
              <w:rPr>
                <w:rFonts w:ascii="Calibri" w:hAnsi="Calibri" w:cs="Calibri"/>
                <w:color w:val="000000"/>
              </w:rPr>
              <w:t>9.6 (9.4, 10)</w:t>
            </w:r>
          </w:p>
        </w:tc>
        <w:tc>
          <w:tcPr>
            <w:tcW w:w="1710" w:type="dxa"/>
            <w:tcBorders>
              <w:top w:val="nil"/>
              <w:bottom w:val="nil"/>
            </w:tcBorders>
            <w:shd w:val="clear" w:color="000000" w:fill="D9D9D9"/>
            <w:noWrap/>
            <w:vAlign w:val="bottom"/>
            <w:hideMark/>
          </w:tcPr>
          <w:p w14:paraId="3E5549E9" w14:textId="5C2B261E" w:rsidR="006302ED" w:rsidRPr="009D42B5" w:rsidRDefault="006302ED" w:rsidP="006302ED">
            <w:pPr>
              <w:jc w:val="center"/>
              <w:rPr>
                <w:rFonts w:ascii="Calibri" w:eastAsia="Times New Roman" w:hAnsi="Calibri" w:cs="Calibri"/>
                <w:color w:val="000000"/>
              </w:rPr>
            </w:pPr>
            <w:r>
              <w:rPr>
                <w:rFonts w:ascii="Calibri" w:hAnsi="Calibri" w:cs="Calibri"/>
                <w:color w:val="000000"/>
              </w:rPr>
              <w:t>83.8 (84.7, 82.8)</w:t>
            </w:r>
          </w:p>
        </w:tc>
      </w:tr>
      <w:tr w:rsidR="006302ED" w:rsidRPr="009D42B5" w14:paraId="3E159D7D" w14:textId="77777777" w:rsidTr="00952220">
        <w:trPr>
          <w:trHeight w:val="300"/>
        </w:trPr>
        <w:tc>
          <w:tcPr>
            <w:tcW w:w="1240" w:type="dxa"/>
            <w:tcBorders>
              <w:top w:val="nil"/>
              <w:left w:val="nil"/>
              <w:bottom w:val="nil"/>
            </w:tcBorders>
            <w:shd w:val="clear" w:color="000000" w:fill="D9D9D9"/>
            <w:noWrap/>
            <w:vAlign w:val="bottom"/>
            <w:hideMark/>
          </w:tcPr>
          <w:p w14:paraId="72A91D7D"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5CDD4B34" w14:textId="77777777" w:rsidR="006302ED" w:rsidRPr="009D42B5" w:rsidRDefault="006302ED" w:rsidP="006302ED">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nil"/>
            </w:tcBorders>
            <w:shd w:val="clear" w:color="000000" w:fill="D9D9D9"/>
            <w:noWrap/>
            <w:vAlign w:val="bottom"/>
            <w:hideMark/>
          </w:tcPr>
          <w:p w14:paraId="309B0167" w14:textId="7E624203" w:rsidR="006302ED" w:rsidRPr="009D42B5" w:rsidRDefault="006302ED" w:rsidP="006302ED">
            <w:pPr>
              <w:jc w:val="center"/>
              <w:rPr>
                <w:rFonts w:ascii="Calibri" w:eastAsia="Times New Roman" w:hAnsi="Calibri" w:cs="Calibri"/>
                <w:color w:val="000000"/>
              </w:rPr>
            </w:pPr>
            <w:r>
              <w:rPr>
                <w:rFonts w:ascii="Calibri" w:hAnsi="Calibri" w:cs="Calibri"/>
                <w:color w:val="000000"/>
              </w:rPr>
              <w:t>1.1 (0.8, 1.3)</w:t>
            </w:r>
          </w:p>
        </w:tc>
        <w:tc>
          <w:tcPr>
            <w:tcW w:w="1350" w:type="dxa"/>
            <w:tcBorders>
              <w:top w:val="nil"/>
              <w:bottom w:val="nil"/>
            </w:tcBorders>
            <w:shd w:val="clear" w:color="000000" w:fill="D9D9D9"/>
            <w:noWrap/>
            <w:vAlign w:val="bottom"/>
            <w:hideMark/>
          </w:tcPr>
          <w:p w14:paraId="45919B64" w14:textId="1A8B5A43" w:rsidR="006302ED" w:rsidRPr="009D42B5" w:rsidRDefault="006302ED" w:rsidP="006302ED">
            <w:pPr>
              <w:jc w:val="center"/>
              <w:rPr>
                <w:rFonts w:ascii="Calibri" w:eastAsia="Times New Roman" w:hAnsi="Calibri" w:cs="Calibri"/>
                <w:color w:val="000000"/>
              </w:rPr>
            </w:pPr>
            <w:r>
              <w:rPr>
                <w:rFonts w:ascii="Calibri" w:hAnsi="Calibri" w:cs="Calibri"/>
                <w:color w:val="000000"/>
              </w:rPr>
              <w:t>6.3 (5.9, 6.6)</w:t>
            </w:r>
          </w:p>
        </w:tc>
        <w:tc>
          <w:tcPr>
            <w:tcW w:w="1710" w:type="dxa"/>
            <w:tcBorders>
              <w:top w:val="nil"/>
              <w:bottom w:val="nil"/>
            </w:tcBorders>
            <w:shd w:val="clear" w:color="000000" w:fill="D9D9D9"/>
            <w:noWrap/>
            <w:vAlign w:val="bottom"/>
            <w:hideMark/>
          </w:tcPr>
          <w:p w14:paraId="7E033666" w14:textId="6F1288D7" w:rsidR="006302ED" w:rsidRPr="009D42B5" w:rsidRDefault="006302ED" w:rsidP="006302ED">
            <w:pPr>
              <w:jc w:val="center"/>
              <w:rPr>
                <w:rFonts w:ascii="Calibri" w:eastAsia="Times New Roman" w:hAnsi="Calibri" w:cs="Calibri"/>
                <w:color w:val="000000"/>
              </w:rPr>
            </w:pPr>
            <w:r>
              <w:rPr>
                <w:rFonts w:ascii="Calibri" w:hAnsi="Calibri" w:cs="Calibri"/>
                <w:color w:val="000000"/>
              </w:rPr>
              <w:t>11.3 (10.9, 11.6)</w:t>
            </w:r>
          </w:p>
        </w:tc>
        <w:tc>
          <w:tcPr>
            <w:tcW w:w="1710" w:type="dxa"/>
            <w:tcBorders>
              <w:top w:val="nil"/>
              <w:bottom w:val="nil"/>
            </w:tcBorders>
            <w:shd w:val="clear" w:color="000000" w:fill="D9D9D9"/>
            <w:noWrap/>
            <w:vAlign w:val="bottom"/>
            <w:hideMark/>
          </w:tcPr>
          <w:p w14:paraId="5C4AD68C" w14:textId="35188B67" w:rsidR="006302ED" w:rsidRPr="009D42B5" w:rsidRDefault="006302ED" w:rsidP="006302ED">
            <w:pPr>
              <w:jc w:val="center"/>
              <w:rPr>
                <w:rFonts w:ascii="Calibri" w:eastAsia="Times New Roman" w:hAnsi="Calibri" w:cs="Calibri"/>
                <w:color w:val="000000"/>
              </w:rPr>
            </w:pPr>
            <w:r>
              <w:rPr>
                <w:rFonts w:ascii="Calibri" w:hAnsi="Calibri" w:cs="Calibri"/>
                <w:color w:val="000000"/>
              </w:rPr>
              <w:t>81.4 (82.3, 80.5)</w:t>
            </w:r>
          </w:p>
        </w:tc>
      </w:tr>
      <w:tr w:rsidR="00692DE7" w:rsidRPr="009D42B5" w14:paraId="0FAB0E4C" w14:textId="77777777" w:rsidTr="00952220">
        <w:trPr>
          <w:trHeight w:val="300"/>
        </w:trPr>
        <w:tc>
          <w:tcPr>
            <w:tcW w:w="2940" w:type="dxa"/>
            <w:gridSpan w:val="3"/>
            <w:vMerge w:val="restart"/>
            <w:tcBorders>
              <w:top w:val="single" w:sz="4" w:space="0" w:color="auto"/>
              <w:left w:val="nil"/>
              <w:bottom w:val="single" w:sz="4" w:space="0" w:color="auto"/>
            </w:tcBorders>
            <w:shd w:val="clear" w:color="auto" w:fill="auto"/>
            <w:vAlign w:val="bottom"/>
            <w:hideMark/>
          </w:tcPr>
          <w:p w14:paraId="5E479C13" w14:textId="77777777" w:rsidR="00692DE7" w:rsidRPr="009D42B5" w:rsidRDefault="00692DE7" w:rsidP="00952220">
            <w:pPr>
              <w:jc w:val="center"/>
              <w:rPr>
                <w:rFonts w:ascii="Calibri" w:eastAsia="Times New Roman" w:hAnsi="Calibri" w:cs="Calibri"/>
                <w:b/>
                <w:color w:val="000000"/>
              </w:rPr>
            </w:pPr>
            <w:r w:rsidRPr="009D42B5">
              <w:rPr>
                <w:rFonts w:ascii="Calibri" w:eastAsia="Times New Roman" w:hAnsi="Calibri" w:cs="Calibri"/>
                <w:b/>
                <w:color w:val="000000"/>
              </w:rPr>
              <w:t>Relative Risk of HIV Acquisition by STI Site</w:t>
            </w:r>
          </w:p>
        </w:tc>
        <w:tc>
          <w:tcPr>
            <w:tcW w:w="5880" w:type="dxa"/>
            <w:gridSpan w:val="4"/>
            <w:tcBorders>
              <w:top w:val="single" w:sz="4" w:space="0" w:color="auto"/>
              <w:left w:val="nil"/>
              <w:bottom w:val="single" w:sz="4" w:space="0" w:color="auto"/>
            </w:tcBorders>
            <w:shd w:val="clear" w:color="auto" w:fill="auto"/>
            <w:vAlign w:val="bottom"/>
          </w:tcPr>
          <w:p w14:paraId="7C3B72AB" w14:textId="77777777" w:rsidR="00692DE7" w:rsidRPr="009D42B5" w:rsidRDefault="00692DE7" w:rsidP="00952220">
            <w:pPr>
              <w:jc w:val="center"/>
              <w:rPr>
                <w:rFonts w:ascii="Calibri" w:eastAsia="Times New Roman" w:hAnsi="Calibri" w:cs="Calibri"/>
                <w:b/>
                <w:color w:val="000000"/>
              </w:rPr>
            </w:pPr>
            <w:r>
              <w:rPr>
                <w:rFonts w:ascii="Calibri" w:eastAsia="Times New Roman" w:hAnsi="Calibri" w:cs="Calibri"/>
                <w:b/>
                <w:color w:val="000000"/>
              </w:rPr>
              <w:t>STI Status of Newly HIV-Infected Partner</w:t>
            </w:r>
          </w:p>
        </w:tc>
      </w:tr>
      <w:tr w:rsidR="00692DE7" w:rsidRPr="009D42B5" w14:paraId="59CAE1F7" w14:textId="77777777" w:rsidTr="00952220">
        <w:trPr>
          <w:trHeight w:val="300"/>
        </w:trPr>
        <w:tc>
          <w:tcPr>
            <w:tcW w:w="2940" w:type="dxa"/>
            <w:gridSpan w:val="3"/>
            <w:vMerge/>
            <w:tcBorders>
              <w:top w:val="single" w:sz="4" w:space="0" w:color="auto"/>
              <w:left w:val="nil"/>
              <w:bottom w:val="single" w:sz="4" w:space="0" w:color="auto"/>
            </w:tcBorders>
            <w:shd w:val="clear" w:color="auto" w:fill="auto"/>
            <w:vAlign w:val="bottom"/>
          </w:tcPr>
          <w:p w14:paraId="30503CF9" w14:textId="77777777" w:rsidR="00692DE7" w:rsidRPr="009D42B5" w:rsidRDefault="00692DE7" w:rsidP="00952220">
            <w:pPr>
              <w:jc w:val="center"/>
              <w:rPr>
                <w:rFonts w:ascii="Calibri" w:eastAsia="Times New Roman" w:hAnsi="Calibri" w:cs="Calibri"/>
                <w:b/>
                <w:color w:val="000000"/>
              </w:rPr>
            </w:pPr>
          </w:p>
        </w:tc>
        <w:tc>
          <w:tcPr>
            <w:tcW w:w="5880" w:type="dxa"/>
            <w:gridSpan w:val="4"/>
            <w:tcBorders>
              <w:top w:val="single" w:sz="4" w:space="0" w:color="auto"/>
              <w:left w:val="nil"/>
              <w:bottom w:val="single" w:sz="4" w:space="0" w:color="auto"/>
            </w:tcBorders>
            <w:shd w:val="clear" w:color="auto" w:fill="auto"/>
            <w:vAlign w:val="bottom"/>
          </w:tcPr>
          <w:p w14:paraId="113FDB40" w14:textId="77777777" w:rsidR="00692DE7" w:rsidRDefault="00692DE7" w:rsidP="00952220">
            <w:pPr>
              <w:jc w:val="center"/>
              <w:rPr>
                <w:rFonts w:ascii="Calibri" w:eastAsia="Times New Roman" w:hAnsi="Calibri" w:cs="Calibri"/>
                <w:b/>
                <w:color w:val="000000"/>
              </w:rPr>
            </w:pPr>
            <w:r>
              <w:rPr>
                <w:rFonts w:ascii="Calibri" w:eastAsia="Times New Roman" w:hAnsi="Calibri" w:cs="Calibri"/>
                <w:b/>
                <w:color w:val="000000"/>
              </w:rPr>
              <w:t>Median (IQR) Proportion of Transmission Events</w:t>
            </w:r>
          </w:p>
        </w:tc>
      </w:tr>
      <w:tr w:rsidR="00692DE7" w:rsidRPr="009D42B5" w14:paraId="3880BD35" w14:textId="77777777" w:rsidTr="00952220">
        <w:trPr>
          <w:trHeight w:val="300"/>
        </w:trPr>
        <w:tc>
          <w:tcPr>
            <w:tcW w:w="1240" w:type="dxa"/>
            <w:tcBorders>
              <w:top w:val="nil"/>
              <w:left w:val="nil"/>
            </w:tcBorders>
            <w:shd w:val="clear" w:color="auto" w:fill="auto"/>
            <w:noWrap/>
            <w:vAlign w:val="bottom"/>
            <w:hideMark/>
          </w:tcPr>
          <w:p w14:paraId="574BB804"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Rectal</w:t>
            </w:r>
          </w:p>
        </w:tc>
        <w:tc>
          <w:tcPr>
            <w:tcW w:w="1240" w:type="dxa"/>
            <w:tcBorders>
              <w:top w:val="nil"/>
            </w:tcBorders>
            <w:shd w:val="clear" w:color="auto" w:fill="auto"/>
            <w:noWrap/>
            <w:vAlign w:val="bottom"/>
            <w:hideMark/>
          </w:tcPr>
          <w:p w14:paraId="0EDF51E4"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Urethral</w:t>
            </w:r>
          </w:p>
        </w:tc>
        <w:tc>
          <w:tcPr>
            <w:tcW w:w="1570" w:type="dxa"/>
            <w:gridSpan w:val="2"/>
            <w:tcBorders>
              <w:top w:val="nil"/>
            </w:tcBorders>
            <w:shd w:val="clear" w:color="auto" w:fill="auto"/>
            <w:vAlign w:val="bottom"/>
            <w:hideMark/>
          </w:tcPr>
          <w:p w14:paraId="2855428A"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Gonorrhea and Chlamydia</w:t>
            </w:r>
          </w:p>
        </w:tc>
        <w:tc>
          <w:tcPr>
            <w:tcW w:w="1350" w:type="dxa"/>
            <w:tcBorders>
              <w:top w:val="nil"/>
            </w:tcBorders>
            <w:shd w:val="clear" w:color="auto" w:fill="auto"/>
            <w:vAlign w:val="bottom"/>
            <w:hideMark/>
          </w:tcPr>
          <w:p w14:paraId="69E67023"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Gonorrhea Only</w:t>
            </w:r>
          </w:p>
        </w:tc>
        <w:tc>
          <w:tcPr>
            <w:tcW w:w="1710" w:type="dxa"/>
            <w:tcBorders>
              <w:top w:val="nil"/>
            </w:tcBorders>
            <w:shd w:val="clear" w:color="auto" w:fill="auto"/>
            <w:vAlign w:val="bottom"/>
            <w:hideMark/>
          </w:tcPr>
          <w:p w14:paraId="4868DDE9" w14:textId="77777777" w:rsidR="00692DE7" w:rsidRPr="009D42B5" w:rsidRDefault="00692DE7" w:rsidP="00952220">
            <w:pPr>
              <w:jc w:val="center"/>
              <w:rPr>
                <w:rFonts w:ascii="Calibri" w:eastAsia="Times New Roman" w:hAnsi="Calibri" w:cs="Calibri"/>
                <w:color w:val="000000"/>
              </w:rPr>
            </w:pPr>
            <w:r>
              <w:rPr>
                <w:rFonts w:ascii="Calibri" w:eastAsia="Times New Roman" w:hAnsi="Calibri" w:cs="Calibri"/>
                <w:color w:val="000000"/>
              </w:rPr>
              <w:t>Chlamydia Only</w:t>
            </w:r>
          </w:p>
        </w:tc>
        <w:tc>
          <w:tcPr>
            <w:tcW w:w="1710" w:type="dxa"/>
            <w:tcBorders>
              <w:top w:val="nil"/>
            </w:tcBorders>
            <w:shd w:val="clear" w:color="auto" w:fill="auto"/>
            <w:vAlign w:val="bottom"/>
            <w:hideMark/>
          </w:tcPr>
          <w:p w14:paraId="7A15FC66" w14:textId="77777777" w:rsidR="00692DE7" w:rsidRPr="009D42B5" w:rsidRDefault="00692DE7" w:rsidP="00952220">
            <w:pPr>
              <w:jc w:val="center"/>
              <w:rPr>
                <w:rFonts w:ascii="Calibri" w:eastAsia="Times New Roman" w:hAnsi="Calibri" w:cs="Calibri"/>
                <w:color w:val="000000"/>
              </w:rPr>
            </w:pPr>
            <w:r w:rsidRPr="009D42B5">
              <w:rPr>
                <w:rFonts w:ascii="Calibri" w:eastAsia="Times New Roman" w:hAnsi="Calibri" w:cs="Calibri"/>
                <w:color w:val="000000"/>
              </w:rPr>
              <w:t>Neither</w:t>
            </w:r>
          </w:p>
        </w:tc>
      </w:tr>
      <w:tr w:rsidR="00692DE7" w:rsidRPr="009D42B5" w14:paraId="4C1F0604" w14:textId="77777777" w:rsidTr="00952220">
        <w:trPr>
          <w:trHeight w:val="300"/>
        </w:trPr>
        <w:tc>
          <w:tcPr>
            <w:tcW w:w="1240" w:type="dxa"/>
            <w:tcBorders>
              <w:top w:val="nil"/>
              <w:left w:val="nil"/>
              <w:bottom w:val="nil"/>
            </w:tcBorders>
            <w:shd w:val="clear" w:color="auto" w:fill="auto"/>
            <w:noWrap/>
            <w:vAlign w:val="bottom"/>
            <w:hideMark/>
          </w:tcPr>
          <w:p w14:paraId="3DE76050"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1.97</w:t>
            </w:r>
          </w:p>
        </w:tc>
        <w:tc>
          <w:tcPr>
            <w:tcW w:w="1240" w:type="dxa"/>
            <w:tcBorders>
              <w:top w:val="nil"/>
              <w:bottom w:val="nil"/>
            </w:tcBorders>
            <w:shd w:val="clear" w:color="auto" w:fill="auto"/>
            <w:noWrap/>
            <w:vAlign w:val="bottom"/>
            <w:hideMark/>
          </w:tcPr>
          <w:p w14:paraId="7066B088"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1.48</w:t>
            </w:r>
          </w:p>
        </w:tc>
        <w:tc>
          <w:tcPr>
            <w:tcW w:w="1570" w:type="dxa"/>
            <w:gridSpan w:val="2"/>
            <w:tcBorders>
              <w:top w:val="nil"/>
              <w:bottom w:val="nil"/>
            </w:tcBorders>
            <w:shd w:val="clear" w:color="auto" w:fill="auto"/>
            <w:noWrap/>
            <w:vAlign w:val="bottom"/>
            <w:hideMark/>
          </w:tcPr>
          <w:p w14:paraId="2E8F3895" w14:textId="20BEEDF2" w:rsidR="00692DE7" w:rsidRPr="009D42B5" w:rsidRDefault="00692DE7" w:rsidP="00692DE7">
            <w:pPr>
              <w:jc w:val="center"/>
              <w:rPr>
                <w:rFonts w:ascii="Calibri" w:eastAsia="Times New Roman" w:hAnsi="Calibri" w:cs="Calibri"/>
                <w:color w:val="000000"/>
              </w:rPr>
            </w:pPr>
            <w:r>
              <w:rPr>
                <w:rFonts w:ascii="Calibri" w:hAnsi="Calibri" w:cs="Calibri"/>
                <w:color w:val="000000"/>
              </w:rPr>
              <w:t>0.3 (0.2, 0.5)</w:t>
            </w:r>
          </w:p>
        </w:tc>
        <w:tc>
          <w:tcPr>
            <w:tcW w:w="1350" w:type="dxa"/>
            <w:tcBorders>
              <w:top w:val="nil"/>
              <w:bottom w:val="nil"/>
            </w:tcBorders>
            <w:shd w:val="clear" w:color="auto" w:fill="auto"/>
            <w:noWrap/>
            <w:vAlign w:val="bottom"/>
            <w:hideMark/>
          </w:tcPr>
          <w:p w14:paraId="477A8A9D" w14:textId="3E9E9BEE" w:rsidR="00692DE7" w:rsidRPr="009D42B5" w:rsidRDefault="00692DE7" w:rsidP="00692DE7">
            <w:pPr>
              <w:jc w:val="center"/>
              <w:rPr>
                <w:rFonts w:ascii="Calibri" w:eastAsia="Times New Roman" w:hAnsi="Calibri" w:cs="Calibri"/>
                <w:color w:val="000000"/>
              </w:rPr>
            </w:pPr>
            <w:r>
              <w:rPr>
                <w:rFonts w:ascii="Calibri" w:hAnsi="Calibri" w:cs="Calibri"/>
                <w:color w:val="000000"/>
              </w:rPr>
              <w:t>3.1 (2.8, 3.4)</w:t>
            </w:r>
          </w:p>
        </w:tc>
        <w:tc>
          <w:tcPr>
            <w:tcW w:w="1710" w:type="dxa"/>
            <w:tcBorders>
              <w:top w:val="nil"/>
              <w:bottom w:val="nil"/>
            </w:tcBorders>
            <w:shd w:val="clear" w:color="auto" w:fill="auto"/>
            <w:noWrap/>
            <w:vAlign w:val="bottom"/>
            <w:hideMark/>
          </w:tcPr>
          <w:p w14:paraId="432484BF" w14:textId="18D3B0CD" w:rsidR="00692DE7" w:rsidRPr="009D42B5" w:rsidRDefault="00692DE7" w:rsidP="00692DE7">
            <w:pPr>
              <w:jc w:val="center"/>
              <w:rPr>
                <w:rFonts w:ascii="Calibri" w:eastAsia="Times New Roman" w:hAnsi="Calibri" w:cs="Calibri"/>
                <w:color w:val="000000"/>
              </w:rPr>
            </w:pPr>
            <w:r>
              <w:rPr>
                <w:rFonts w:ascii="Calibri" w:hAnsi="Calibri" w:cs="Calibri"/>
                <w:color w:val="000000"/>
              </w:rPr>
              <w:t>8.1 (7.6, 8.5)</w:t>
            </w:r>
          </w:p>
        </w:tc>
        <w:tc>
          <w:tcPr>
            <w:tcW w:w="1710" w:type="dxa"/>
            <w:tcBorders>
              <w:top w:val="nil"/>
              <w:bottom w:val="nil"/>
            </w:tcBorders>
            <w:shd w:val="clear" w:color="auto" w:fill="auto"/>
            <w:noWrap/>
            <w:vAlign w:val="bottom"/>
            <w:hideMark/>
          </w:tcPr>
          <w:p w14:paraId="6B0579D0" w14:textId="03EFC017" w:rsidR="00692DE7" w:rsidRPr="009D42B5" w:rsidRDefault="00692DE7" w:rsidP="00692DE7">
            <w:pPr>
              <w:jc w:val="center"/>
              <w:rPr>
                <w:rFonts w:ascii="Calibri" w:eastAsia="Times New Roman" w:hAnsi="Calibri" w:cs="Calibri"/>
                <w:color w:val="000000"/>
              </w:rPr>
            </w:pPr>
            <w:r>
              <w:rPr>
                <w:rFonts w:ascii="Calibri" w:hAnsi="Calibri" w:cs="Calibri"/>
                <w:color w:val="000000"/>
              </w:rPr>
              <w:t>88.5 (89.4, 87.6)</w:t>
            </w:r>
          </w:p>
        </w:tc>
      </w:tr>
      <w:tr w:rsidR="00692DE7" w:rsidRPr="009D42B5" w14:paraId="42EA941E" w14:textId="77777777" w:rsidTr="00952220">
        <w:trPr>
          <w:trHeight w:val="300"/>
        </w:trPr>
        <w:tc>
          <w:tcPr>
            <w:tcW w:w="1240" w:type="dxa"/>
            <w:tcBorders>
              <w:top w:val="nil"/>
              <w:left w:val="nil"/>
              <w:bottom w:val="nil"/>
            </w:tcBorders>
            <w:shd w:val="clear" w:color="000000" w:fill="D9D9D9"/>
            <w:noWrap/>
            <w:vAlign w:val="bottom"/>
            <w:hideMark/>
          </w:tcPr>
          <w:p w14:paraId="5D369F31"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13860F8B"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000000" w:fill="D9D9D9"/>
            <w:noWrap/>
            <w:vAlign w:val="bottom"/>
            <w:hideMark/>
          </w:tcPr>
          <w:p w14:paraId="190EFAD3" w14:textId="2D523061" w:rsidR="00692DE7" w:rsidRPr="009D42B5" w:rsidRDefault="00692DE7" w:rsidP="00692DE7">
            <w:pPr>
              <w:jc w:val="center"/>
              <w:rPr>
                <w:rFonts w:ascii="Calibri" w:eastAsia="Times New Roman" w:hAnsi="Calibri" w:cs="Calibri"/>
                <w:color w:val="000000"/>
              </w:rPr>
            </w:pPr>
            <w:r>
              <w:rPr>
                <w:rFonts w:ascii="Calibri" w:hAnsi="Calibri" w:cs="Calibri"/>
                <w:color w:val="000000"/>
              </w:rPr>
              <w:t>0.2 (0.1, 0.3)</w:t>
            </w:r>
          </w:p>
        </w:tc>
        <w:tc>
          <w:tcPr>
            <w:tcW w:w="1350" w:type="dxa"/>
            <w:tcBorders>
              <w:top w:val="nil"/>
              <w:bottom w:val="nil"/>
            </w:tcBorders>
            <w:shd w:val="clear" w:color="000000" w:fill="D9D9D9"/>
            <w:noWrap/>
            <w:vAlign w:val="bottom"/>
            <w:hideMark/>
          </w:tcPr>
          <w:p w14:paraId="6EB93463" w14:textId="17397D1D" w:rsidR="00692DE7" w:rsidRPr="009D42B5" w:rsidRDefault="00692DE7" w:rsidP="00692DE7">
            <w:pPr>
              <w:jc w:val="center"/>
              <w:rPr>
                <w:rFonts w:ascii="Calibri" w:eastAsia="Times New Roman" w:hAnsi="Calibri" w:cs="Calibri"/>
                <w:color w:val="000000"/>
              </w:rPr>
            </w:pPr>
            <w:r>
              <w:rPr>
                <w:rFonts w:ascii="Calibri" w:hAnsi="Calibri" w:cs="Calibri"/>
                <w:color w:val="000000"/>
              </w:rPr>
              <w:t>1.9 (1.6, 2.2)</w:t>
            </w:r>
          </w:p>
        </w:tc>
        <w:tc>
          <w:tcPr>
            <w:tcW w:w="1710" w:type="dxa"/>
            <w:tcBorders>
              <w:top w:val="nil"/>
              <w:bottom w:val="nil"/>
            </w:tcBorders>
            <w:shd w:val="clear" w:color="000000" w:fill="D9D9D9"/>
            <w:noWrap/>
            <w:vAlign w:val="bottom"/>
            <w:hideMark/>
          </w:tcPr>
          <w:p w14:paraId="521B9B98" w14:textId="6A1672E1" w:rsidR="00692DE7" w:rsidRPr="009D42B5" w:rsidRDefault="00692DE7" w:rsidP="00692DE7">
            <w:pPr>
              <w:jc w:val="center"/>
              <w:rPr>
                <w:rFonts w:ascii="Calibri" w:eastAsia="Times New Roman" w:hAnsi="Calibri" w:cs="Calibri"/>
                <w:color w:val="000000"/>
              </w:rPr>
            </w:pPr>
            <w:r>
              <w:rPr>
                <w:rFonts w:ascii="Calibri" w:hAnsi="Calibri" w:cs="Calibri"/>
                <w:color w:val="000000"/>
              </w:rPr>
              <w:t>4.9 (4.6, 5.2)</w:t>
            </w:r>
          </w:p>
        </w:tc>
        <w:tc>
          <w:tcPr>
            <w:tcW w:w="1710" w:type="dxa"/>
            <w:tcBorders>
              <w:top w:val="nil"/>
              <w:bottom w:val="nil"/>
            </w:tcBorders>
            <w:shd w:val="clear" w:color="000000" w:fill="D9D9D9"/>
            <w:noWrap/>
            <w:vAlign w:val="bottom"/>
            <w:hideMark/>
          </w:tcPr>
          <w:p w14:paraId="082D0A23" w14:textId="521D9A43" w:rsidR="00692DE7" w:rsidRPr="009D42B5" w:rsidRDefault="00692DE7" w:rsidP="00692DE7">
            <w:pPr>
              <w:jc w:val="center"/>
              <w:rPr>
                <w:rFonts w:ascii="Calibri" w:eastAsia="Times New Roman" w:hAnsi="Calibri" w:cs="Calibri"/>
                <w:color w:val="000000"/>
              </w:rPr>
            </w:pPr>
            <w:r>
              <w:rPr>
                <w:rFonts w:ascii="Calibri" w:hAnsi="Calibri" w:cs="Calibri"/>
                <w:color w:val="000000"/>
              </w:rPr>
              <w:t>92.9 (93.6, 92.2)</w:t>
            </w:r>
          </w:p>
        </w:tc>
      </w:tr>
      <w:tr w:rsidR="00692DE7" w:rsidRPr="009D42B5" w14:paraId="6159C780" w14:textId="77777777" w:rsidTr="00952220">
        <w:trPr>
          <w:trHeight w:val="300"/>
        </w:trPr>
        <w:tc>
          <w:tcPr>
            <w:tcW w:w="1240" w:type="dxa"/>
            <w:tcBorders>
              <w:top w:val="nil"/>
              <w:left w:val="nil"/>
              <w:bottom w:val="nil"/>
            </w:tcBorders>
            <w:shd w:val="clear" w:color="000000" w:fill="D9D9D9"/>
            <w:noWrap/>
            <w:vAlign w:val="bottom"/>
            <w:hideMark/>
          </w:tcPr>
          <w:p w14:paraId="3C410D9A"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26B3AA75"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bottom w:val="nil"/>
            </w:tcBorders>
            <w:shd w:val="clear" w:color="000000" w:fill="D9D9D9"/>
            <w:noWrap/>
            <w:vAlign w:val="bottom"/>
            <w:hideMark/>
          </w:tcPr>
          <w:p w14:paraId="559F185A" w14:textId="138564DE" w:rsidR="00692DE7" w:rsidRPr="009D42B5" w:rsidRDefault="00692DE7" w:rsidP="00692DE7">
            <w:pPr>
              <w:jc w:val="center"/>
              <w:rPr>
                <w:rFonts w:ascii="Calibri" w:eastAsia="Times New Roman" w:hAnsi="Calibri" w:cs="Calibri"/>
                <w:color w:val="000000"/>
              </w:rPr>
            </w:pPr>
            <w:r>
              <w:rPr>
                <w:rFonts w:ascii="Calibri" w:hAnsi="Calibri" w:cs="Calibri"/>
                <w:color w:val="000000"/>
              </w:rPr>
              <w:t>0.2 (0.1, 0.5)</w:t>
            </w:r>
          </w:p>
        </w:tc>
        <w:tc>
          <w:tcPr>
            <w:tcW w:w="1350" w:type="dxa"/>
            <w:tcBorders>
              <w:top w:val="nil"/>
              <w:bottom w:val="nil"/>
            </w:tcBorders>
            <w:shd w:val="clear" w:color="000000" w:fill="D9D9D9"/>
            <w:noWrap/>
            <w:vAlign w:val="bottom"/>
            <w:hideMark/>
          </w:tcPr>
          <w:p w14:paraId="53762A55" w14:textId="38B3F2D5" w:rsidR="00692DE7" w:rsidRPr="009D42B5" w:rsidRDefault="00692DE7" w:rsidP="00692DE7">
            <w:pPr>
              <w:jc w:val="center"/>
              <w:rPr>
                <w:rFonts w:ascii="Calibri" w:eastAsia="Times New Roman" w:hAnsi="Calibri" w:cs="Calibri"/>
                <w:color w:val="000000"/>
              </w:rPr>
            </w:pPr>
            <w:r>
              <w:rPr>
                <w:rFonts w:ascii="Calibri" w:hAnsi="Calibri" w:cs="Calibri"/>
                <w:color w:val="000000"/>
              </w:rPr>
              <w:t>2.4 (2.1, 2.8)</w:t>
            </w:r>
          </w:p>
        </w:tc>
        <w:tc>
          <w:tcPr>
            <w:tcW w:w="1710" w:type="dxa"/>
            <w:tcBorders>
              <w:top w:val="nil"/>
              <w:bottom w:val="nil"/>
            </w:tcBorders>
            <w:shd w:val="clear" w:color="000000" w:fill="D9D9D9"/>
            <w:noWrap/>
            <w:vAlign w:val="bottom"/>
            <w:hideMark/>
          </w:tcPr>
          <w:p w14:paraId="7742DF75" w14:textId="0A56625E" w:rsidR="00692DE7" w:rsidRPr="009D42B5" w:rsidRDefault="00692DE7" w:rsidP="00692DE7">
            <w:pPr>
              <w:jc w:val="center"/>
              <w:rPr>
                <w:rFonts w:ascii="Calibri" w:eastAsia="Times New Roman" w:hAnsi="Calibri" w:cs="Calibri"/>
                <w:color w:val="000000"/>
              </w:rPr>
            </w:pPr>
            <w:r>
              <w:rPr>
                <w:rFonts w:ascii="Calibri" w:hAnsi="Calibri" w:cs="Calibri"/>
                <w:color w:val="000000"/>
              </w:rPr>
              <w:t>5.6 (5.3, 6.0)</w:t>
            </w:r>
          </w:p>
        </w:tc>
        <w:tc>
          <w:tcPr>
            <w:tcW w:w="1710" w:type="dxa"/>
            <w:tcBorders>
              <w:top w:val="nil"/>
              <w:bottom w:val="nil"/>
            </w:tcBorders>
            <w:shd w:val="clear" w:color="000000" w:fill="D9D9D9"/>
            <w:noWrap/>
            <w:vAlign w:val="bottom"/>
            <w:hideMark/>
          </w:tcPr>
          <w:p w14:paraId="5B8390E0" w14:textId="7021FFF3" w:rsidR="00692DE7" w:rsidRPr="009D42B5" w:rsidRDefault="00692DE7" w:rsidP="00692DE7">
            <w:pPr>
              <w:jc w:val="center"/>
              <w:rPr>
                <w:rFonts w:ascii="Calibri" w:eastAsia="Times New Roman" w:hAnsi="Calibri" w:cs="Calibri"/>
                <w:color w:val="000000"/>
              </w:rPr>
            </w:pPr>
            <w:r>
              <w:rPr>
                <w:rFonts w:ascii="Calibri" w:hAnsi="Calibri" w:cs="Calibri"/>
                <w:color w:val="000000"/>
              </w:rPr>
              <w:t>91.8 (92.5, 90.8)</w:t>
            </w:r>
          </w:p>
        </w:tc>
      </w:tr>
      <w:tr w:rsidR="00692DE7" w:rsidRPr="009D42B5" w14:paraId="079D4963" w14:textId="77777777" w:rsidTr="00952220">
        <w:trPr>
          <w:trHeight w:val="300"/>
        </w:trPr>
        <w:tc>
          <w:tcPr>
            <w:tcW w:w="1240" w:type="dxa"/>
            <w:tcBorders>
              <w:top w:val="nil"/>
              <w:left w:val="nil"/>
              <w:bottom w:val="nil"/>
            </w:tcBorders>
            <w:shd w:val="clear" w:color="000000" w:fill="D9D9D9"/>
            <w:noWrap/>
            <w:vAlign w:val="bottom"/>
            <w:hideMark/>
          </w:tcPr>
          <w:p w14:paraId="4C476971"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240" w:type="dxa"/>
            <w:tcBorders>
              <w:top w:val="nil"/>
              <w:bottom w:val="nil"/>
            </w:tcBorders>
            <w:shd w:val="clear" w:color="000000" w:fill="D9D9D9"/>
            <w:noWrap/>
            <w:vAlign w:val="bottom"/>
            <w:hideMark/>
          </w:tcPr>
          <w:p w14:paraId="6AA4FC20"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nil"/>
            </w:tcBorders>
            <w:shd w:val="clear" w:color="000000" w:fill="D9D9D9"/>
            <w:noWrap/>
            <w:vAlign w:val="bottom"/>
            <w:hideMark/>
          </w:tcPr>
          <w:p w14:paraId="56693CED" w14:textId="349B1243" w:rsidR="00692DE7" w:rsidRPr="009D42B5" w:rsidRDefault="00692DE7" w:rsidP="00692DE7">
            <w:pPr>
              <w:jc w:val="center"/>
              <w:rPr>
                <w:rFonts w:ascii="Calibri" w:eastAsia="Times New Roman" w:hAnsi="Calibri" w:cs="Calibri"/>
                <w:color w:val="000000"/>
              </w:rPr>
            </w:pPr>
            <w:r>
              <w:rPr>
                <w:rFonts w:ascii="Calibri" w:hAnsi="Calibri" w:cs="Calibri"/>
                <w:color w:val="000000"/>
              </w:rPr>
              <w:t>0.4 (0.1, 0.5)</w:t>
            </w:r>
          </w:p>
        </w:tc>
        <w:tc>
          <w:tcPr>
            <w:tcW w:w="1350" w:type="dxa"/>
            <w:tcBorders>
              <w:top w:val="nil"/>
              <w:bottom w:val="nil"/>
            </w:tcBorders>
            <w:shd w:val="clear" w:color="000000" w:fill="D9D9D9"/>
            <w:noWrap/>
            <w:vAlign w:val="bottom"/>
            <w:hideMark/>
          </w:tcPr>
          <w:p w14:paraId="1E53401E" w14:textId="6DCB9678" w:rsidR="00692DE7" w:rsidRPr="009D42B5" w:rsidRDefault="00692DE7" w:rsidP="00692DE7">
            <w:pPr>
              <w:jc w:val="center"/>
              <w:rPr>
                <w:rFonts w:ascii="Calibri" w:eastAsia="Times New Roman" w:hAnsi="Calibri" w:cs="Calibri"/>
                <w:color w:val="000000"/>
              </w:rPr>
            </w:pPr>
            <w:r>
              <w:rPr>
                <w:rFonts w:ascii="Calibri" w:hAnsi="Calibri" w:cs="Calibri"/>
                <w:color w:val="000000"/>
              </w:rPr>
              <w:t>2.6 (2.3, 2.8)</w:t>
            </w:r>
          </w:p>
        </w:tc>
        <w:tc>
          <w:tcPr>
            <w:tcW w:w="1710" w:type="dxa"/>
            <w:tcBorders>
              <w:top w:val="nil"/>
              <w:bottom w:val="nil"/>
            </w:tcBorders>
            <w:shd w:val="clear" w:color="000000" w:fill="D9D9D9"/>
            <w:noWrap/>
            <w:vAlign w:val="bottom"/>
            <w:hideMark/>
          </w:tcPr>
          <w:p w14:paraId="7ACF8793" w14:textId="79626E94" w:rsidR="00692DE7" w:rsidRPr="009D42B5" w:rsidRDefault="00692DE7" w:rsidP="00692DE7">
            <w:pPr>
              <w:jc w:val="center"/>
              <w:rPr>
                <w:rFonts w:ascii="Calibri" w:eastAsia="Times New Roman" w:hAnsi="Calibri" w:cs="Calibri"/>
                <w:color w:val="000000"/>
              </w:rPr>
            </w:pPr>
            <w:r>
              <w:rPr>
                <w:rFonts w:ascii="Calibri" w:hAnsi="Calibri" w:cs="Calibri"/>
                <w:color w:val="000000"/>
              </w:rPr>
              <w:t>6.3 (6.0, 6.8)</w:t>
            </w:r>
          </w:p>
        </w:tc>
        <w:tc>
          <w:tcPr>
            <w:tcW w:w="1710" w:type="dxa"/>
            <w:tcBorders>
              <w:top w:val="nil"/>
              <w:bottom w:val="nil"/>
            </w:tcBorders>
            <w:shd w:val="clear" w:color="000000" w:fill="D9D9D9"/>
            <w:noWrap/>
            <w:vAlign w:val="bottom"/>
            <w:hideMark/>
          </w:tcPr>
          <w:p w14:paraId="069119F4" w14:textId="3C64C490" w:rsidR="00692DE7" w:rsidRPr="009D42B5" w:rsidRDefault="00692DE7" w:rsidP="00692DE7">
            <w:pPr>
              <w:jc w:val="center"/>
              <w:rPr>
                <w:rFonts w:ascii="Calibri" w:eastAsia="Times New Roman" w:hAnsi="Calibri" w:cs="Calibri"/>
                <w:color w:val="000000"/>
              </w:rPr>
            </w:pPr>
            <w:r>
              <w:rPr>
                <w:rFonts w:ascii="Calibri" w:hAnsi="Calibri" w:cs="Calibri"/>
                <w:color w:val="000000"/>
              </w:rPr>
              <w:t>90.8 (91.6, 89.9)</w:t>
            </w:r>
          </w:p>
        </w:tc>
      </w:tr>
      <w:tr w:rsidR="00692DE7" w:rsidRPr="009D42B5" w14:paraId="527CE504" w14:textId="77777777" w:rsidTr="00952220">
        <w:trPr>
          <w:trHeight w:val="300"/>
        </w:trPr>
        <w:tc>
          <w:tcPr>
            <w:tcW w:w="1240" w:type="dxa"/>
            <w:tcBorders>
              <w:top w:val="nil"/>
              <w:left w:val="nil"/>
              <w:bottom w:val="nil"/>
            </w:tcBorders>
            <w:shd w:val="clear" w:color="auto" w:fill="auto"/>
            <w:noWrap/>
            <w:vAlign w:val="bottom"/>
            <w:hideMark/>
          </w:tcPr>
          <w:p w14:paraId="381500BB"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18C9CE64"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auto" w:fill="auto"/>
            <w:noWrap/>
            <w:vAlign w:val="bottom"/>
            <w:hideMark/>
          </w:tcPr>
          <w:p w14:paraId="10FF9E9C" w14:textId="1B7049BC" w:rsidR="00692DE7" w:rsidRPr="009D42B5" w:rsidRDefault="00692DE7" w:rsidP="00692DE7">
            <w:pPr>
              <w:jc w:val="center"/>
              <w:rPr>
                <w:rFonts w:ascii="Calibri" w:eastAsia="Times New Roman" w:hAnsi="Calibri" w:cs="Calibri"/>
                <w:color w:val="000000"/>
              </w:rPr>
            </w:pPr>
            <w:r>
              <w:rPr>
                <w:rFonts w:ascii="Calibri" w:hAnsi="Calibri" w:cs="Calibri"/>
                <w:color w:val="000000"/>
              </w:rPr>
              <w:t>0.3 (0.2, 0.6)</w:t>
            </w:r>
          </w:p>
        </w:tc>
        <w:tc>
          <w:tcPr>
            <w:tcW w:w="1350" w:type="dxa"/>
            <w:tcBorders>
              <w:top w:val="nil"/>
              <w:bottom w:val="nil"/>
            </w:tcBorders>
            <w:shd w:val="clear" w:color="auto" w:fill="auto"/>
            <w:noWrap/>
            <w:vAlign w:val="bottom"/>
            <w:hideMark/>
          </w:tcPr>
          <w:p w14:paraId="397476B4" w14:textId="74D51E73" w:rsidR="00692DE7" w:rsidRPr="009D42B5" w:rsidRDefault="00692DE7" w:rsidP="00692DE7">
            <w:pPr>
              <w:jc w:val="center"/>
              <w:rPr>
                <w:rFonts w:ascii="Calibri" w:eastAsia="Times New Roman" w:hAnsi="Calibri" w:cs="Calibri"/>
                <w:color w:val="000000"/>
              </w:rPr>
            </w:pPr>
            <w:r>
              <w:rPr>
                <w:rFonts w:ascii="Calibri" w:hAnsi="Calibri" w:cs="Calibri"/>
                <w:color w:val="000000"/>
              </w:rPr>
              <w:t>3.0 (2.6, 3.2)</w:t>
            </w:r>
          </w:p>
        </w:tc>
        <w:tc>
          <w:tcPr>
            <w:tcW w:w="1710" w:type="dxa"/>
            <w:tcBorders>
              <w:top w:val="nil"/>
              <w:bottom w:val="nil"/>
            </w:tcBorders>
            <w:shd w:val="clear" w:color="auto" w:fill="auto"/>
            <w:noWrap/>
            <w:vAlign w:val="bottom"/>
            <w:hideMark/>
          </w:tcPr>
          <w:p w14:paraId="43FA9B6D" w14:textId="65E911D3" w:rsidR="00692DE7" w:rsidRPr="009D42B5" w:rsidRDefault="00692DE7" w:rsidP="00692DE7">
            <w:pPr>
              <w:jc w:val="center"/>
              <w:rPr>
                <w:rFonts w:ascii="Calibri" w:eastAsia="Times New Roman" w:hAnsi="Calibri" w:cs="Calibri"/>
                <w:color w:val="000000"/>
              </w:rPr>
            </w:pPr>
            <w:r>
              <w:rPr>
                <w:rFonts w:ascii="Calibri" w:hAnsi="Calibri" w:cs="Calibri"/>
                <w:color w:val="000000"/>
              </w:rPr>
              <w:t>7.7 (7.3, 8.1)</w:t>
            </w:r>
          </w:p>
        </w:tc>
        <w:tc>
          <w:tcPr>
            <w:tcW w:w="1710" w:type="dxa"/>
            <w:tcBorders>
              <w:top w:val="nil"/>
              <w:bottom w:val="nil"/>
            </w:tcBorders>
            <w:shd w:val="clear" w:color="auto" w:fill="auto"/>
            <w:noWrap/>
            <w:vAlign w:val="bottom"/>
            <w:hideMark/>
          </w:tcPr>
          <w:p w14:paraId="00297BBE" w14:textId="59B3B828" w:rsidR="00692DE7" w:rsidRPr="009D42B5" w:rsidRDefault="00692DE7" w:rsidP="00692DE7">
            <w:pPr>
              <w:jc w:val="center"/>
              <w:rPr>
                <w:rFonts w:ascii="Calibri" w:eastAsia="Times New Roman" w:hAnsi="Calibri" w:cs="Calibri"/>
                <w:color w:val="000000"/>
              </w:rPr>
            </w:pPr>
            <w:r>
              <w:rPr>
                <w:rFonts w:ascii="Calibri" w:hAnsi="Calibri" w:cs="Calibri"/>
                <w:color w:val="000000"/>
              </w:rPr>
              <w:t>89.0 (89.8, 88.2)</w:t>
            </w:r>
          </w:p>
        </w:tc>
      </w:tr>
      <w:tr w:rsidR="00692DE7" w:rsidRPr="009D42B5" w14:paraId="6F63A62D" w14:textId="77777777" w:rsidTr="00952220">
        <w:trPr>
          <w:trHeight w:val="300"/>
        </w:trPr>
        <w:tc>
          <w:tcPr>
            <w:tcW w:w="1240" w:type="dxa"/>
            <w:tcBorders>
              <w:top w:val="nil"/>
              <w:left w:val="nil"/>
              <w:bottom w:val="nil"/>
            </w:tcBorders>
            <w:shd w:val="clear" w:color="auto" w:fill="auto"/>
            <w:noWrap/>
            <w:vAlign w:val="bottom"/>
            <w:hideMark/>
          </w:tcPr>
          <w:p w14:paraId="1C6A9EC0"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4158FAE0"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bottom w:val="nil"/>
            </w:tcBorders>
            <w:shd w:val="clear" w:color="auto" w:fill="auto"/>
            <w:noWrap/>
            <w:vAlign w:val="bottom"/>
            <w:hideMark/>
          </w:tcPr>
          <w:p w14:paraId="0D9D3606" w14:textId="2677AA53" w:rsidR="00692DE7" w:rsidRPr="009D42B5" w:rsidRDefault="00692DE7" w:rsidP="00692DE7">
            <w:pPr>
              <w:jc w:val="center"/>
              <w:rPr>
                <w:rFonts w:ascii="Calibri" w:eastAsia="Times New Roman" w:hAnsi="Calibri" w:cs="Calibri"/>
                <w:color w:val="000000"/>
              </w:rPr>
            </w:pPr>
            <w:r>
              <w:rPr>
                <w:rFonts w:ascii="Calibri" w:hAnsi="Calibri" w:cs="Calibri"/>
                <w:color w:val="000000"/>
              </w:rPr>
              <w:t>0.4 (0.3, 0.6)</w:t>
            </w:r>
          </w:p>
        </w:tc>
        <w:tc>
          <w:tcPr>
            <w:tcW w:w="1350" w:type="dxa"/>
            <w:tcBorders>
              <w:top w:val="nil"/>
              <w:bottom w:val="nil"/>
            </w:tcBorders>
            <w:shd w:val="clear" w:color="auto" w:fill="auto"/>
            <w:noWrap/>
            <w:vAlign w:val="bottom"/>
            <w:hideMark/>
          </w:tcPr>
          <w:p w14:paraId="632E4511" w14:textId="162D86C5" w:rsidR="00692DE7" w:rsidRPr="009D42B5" w:rsidRDefault="00692DE7" w:rsidP="00692DE7">
            <w:pPr>
              <w:jc w:val="center"/>
              <w:rPr>
                <w:rFonts w:ascii="Calibri" w:eastAsia="Times New Roman" w:hAnsi="Calibri" w:cs="Calibri"/>
                <w:color w:val="000000"/>
              </w:rPr>
            </w:pPr>
            <w:r>
              <w:rPr>
                <w:rFonts w:ascii="Calibri" w:hAnsi="Calibri" w:cs="Calibri"/>
                <w:color w:val="000000"/>
              </w:rPr>
              <w:t>3.5 (3.1, 3.8)</w:t>
            </w:r>
          </w:p>
        </w:tc>
        <w:tc>
          <w:tcPr>
            <w:tcW w:w="1710" w:type="dxa"/>
            <w:tcBorders>
              <w:top w:val="nil"/>
              <w:bottom w:val="nil"/>
            </w:tcBorders>
            <w:shd w:val="clear" w:color="auto" w:fill="auto"/>
            <w:noWrap/>
            <w:vAlign w:val="bottom"/>
            <w:hideMark/>
          </w:tcPr>
          <w:p w14:paraId="011C828F" w14:textId="3C81CE70" w:rsidR="00692DE7" w:rsidRPr="009D42B5" w:rsidRDefault="00692DE7" w:rsidP="00692DE7">
            <w:pPr>
              <w:jc w:val="center"/>
              <w:rPr>
                <w:rFonts w:ascii="Calibri" w:eastAsia="Times New Roman" w:hAnsi="Calibri" w:cs="Calibri"/>
                <w:color w:val="000000"/>
              </w:rPr>
            </w:pPr>
            <w:r>
              <w:rPr>
                <w:rFonts w:ascii="Calibri" w:hAnsi="Calibri" w:cs="Calibri"/>
                <w:color w:val="000000"/>
              </w:rPr>
              <w:t>8.5 (8.1, 8.8)</w:t>
            </w:r>
          </w:p>
        </w:tc>
        <w:tc>
          <w:tcPr>
            <w:tcW w:w="1710" w:type="dxa"/>
            <w:tcBorders>
              <w:top w:val="nil"/>
              <w:bottom w:val="nil"/>
            </w:tcBorders>
            <w:shd w:val="clear" w:color="auto" w:fill="auto"/>
            <w:noWrap/>
            <w:vAlign w:val="bottom"/>
            <w:hideMark/>
          </w:tcPr>
          <w:p w14:paraId="3DC95236" w14:textId="6298B43B" w:rsidR="00692DE7" w:rsidRPr="009D42B5" w:rsidRDefault="00692DE7" w:rsidP="00692DE7">
            <w:pPr>
              <w:jc w:val="center"/>
              <w:rPr>
                <w:rFonts w:ascii="Calibri" w:eastAsia="Times New Roman" w:hAnsi="Calibri" w:cs="Calibri"/>
                <w:color w:val="000000"/>
              </w:rPr>
            </w:pPr>
            <w:r>
              <w:rPr>
                <w:rFonts w:ascii="Calibri" w:hAnsi="Calibri" w:cs="Calibri"/>
                <w:color w:val="000000"/>
              </w:rPr>
              <w:t>87.5 (88.4, 86.7)</w:t>
            </w:r>
          </w:p>
        </w:tc>
      </w:tr>
      <w:tr w:rsidR="00692DE7" w:rsidRPr="009D42B5" w14:paraId="4DE0ED62" w14:textId="77777777" w:rsidTr="00952220">
        <w:trPr>
          <w:trHeight w:val="300"/>
        </w:trPr>
        <w:tc>
          <w:tcPr>
            <w:tcW w:w="1240" w:type="dxa"/>
            <w:tcBorders>
              <w:top w:val="nil"/>
              <w:left w:val="nil"/>
              <w:bottom w:val="nil"/>
            </w:tcBorders>
            <w:shd w:val="clear" w:color="auto" w:fill="auto"/>
            <w:noWrap/>
            <w:vAlign w:val="bottom"/>
            <w:hideMark/>
          </w:tcPr>
          <w:p w14:paraId="5CEAF95E"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240" w:type="dxa"/>
            <w:tcBorders>
              <w:top w:val="nil"/>
              <w:bottom w:val="nil"/>
            </w:tcBorders>
            <w:shd w:val="clear" w:color="auto" w:fill="auto"/>
            <w:noWrap/>
            <w:vAlign w:val="bottom"/>
            <w:hideMark/>
          </w:tcPr>
          <w:p w14:paraId="3D6D7014"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nil"/>
            </w:tcBorders>
            <w:shd w:val="clear" w:color="auto" w:fill="auto"/>
            <w:noWrap/>
            <w:vAlign w:val="bottom"/>
            <w:hideMark/>
          </w:tcPr>
          <w:p w14:paraId="2A717C72" w14:textId="221575E8" w:rsidR="00692DE7" w:rsidRPr="009D42B5" w:rsidRDefault="00692DE7" w:rsidP="00692DE7">
            <w:pPr>
              <w:jc w:val="center"/>
              <w:rPr>
                <w:rFonts w:ascii="Calibri" w:eastAsia="Times New Roman" w:hAnsi="Calibri" w:cs="Calibri"/>
                <w:color w:val="000000"/>
              </w:rPr>
            </w:pPr>
            <w:r>
              <w:rPr>
                <w:rFonts w:ascii="Calibri" w:hAnsi="Calibri" w:cs="Calibri"/>
                <w:color w:val="000000"/>
              </w:rPr>
              <w:t>0.4 (0.3, 0.6)</w:t>
            </w:r>
          </w:p>
        </w:tc>
        <w:tc>
          <w:tcPr>
            <w:tcW w:w="1350" w:type="dxa"/>
            <w:tcBorders>
              <w:top w:val="nil"/>
              <w:bottom w:val="nil"/>
            </w:tcBorders>
            <w:shd w:val="clear" w:color="auto" w:fill="auto"/>
            <w:noWrap/>
            <w:vAlign w:val="bottom"/>
            <w:hideMark/>
          </w:tcPr>
          <w:p w14:paraId="5EBFD856" w14:textId="70065136" w:rsidR="00692DE7" w:rsidRPr="009D42B5" w:rsidRDefault="00692DE7" w:rsidP="00692DE7">
            <w:pPr>
              <w:jc w:val="center"/>
              <w:rPr>
                <w:rFonts w:ascii="Calibri" w:eastAsia="Times New Roman" w:hAnsi="Calibri" w:cs="Calibri"/>
                <w:color w:val="000000"/>
              </w:rPr>
            </w:pPr>
            <w:r>
              <w:rPr>
                <w:rFonts w:ascii="Calibri" w:hAnsi="Calibri" w:cs="Calibri"/>
                <w:color w:val="000000"/>
              </w:rPr>
              <w:t>3.8 (3.4, 4.1)</w:t>
            </w:r>
          </w:p>
        </w:tc>
        <w:tc>
          <w:tcPr>
            <w:tcW w:w="1710" w:type="dxa"/>
            <w:tcBorders>
              <w:top w:val="nil"/>
              <w:bottom w:val="nil"/>
            </w:tcBorders>
            <w:shd w:val="clear" w:color="auto" w:fill="auto"/>
            <w:noWrap/>
            <w:vAlign w:val="bottom"/>
            <w:hideMark/>
          </w:tcPr>
          <w:p w14:paraId="00DB3A8E" w14:textId="1D1FAAC9" w:rsidR="00692DE7" w:rsidRPr="009D42B5" w:rsidRDefault="00692DE7" w:rsidP="00692DE7">
            <w:pPr>
              <w:jc w:val="center"/>
              <w:rPr>
                <w:rFonts w:ascii="Calibri" w:eastAsia="Times New Roman" w:hAnsi="Calibri" w:cs="Calibri"/>
                <w:color w:val="000000"/>
              </w:rPr>
            </w:pPr>
            <w:r>
              <w:rPr>
                <w:rFonts w:ascii="Calibri" w:hAnsi="Calibri" w:cs="Calibri"/>
                <w:color w:val="000000"/>
              </w:rPr>
              <w:t>9.3 (9.0, 9.6)</w:t>
            </w:r>
          </w:p>
        </w:tc>
        <w:tc>
          <w:tcPr>
            <w:tcW w:w="1710" w:type="dxa"/>
            <w:tcBorders>
              <w:top w:val="nil"/>
              <w:bottom w:val="nil"/>
            </w:tcBorders>
            <w:shd w:val="clear" w:color="auto" w:fill="auto"/>
            <w:noWrap/>
            <w:vAlign w:val="bottom"/>
            <w:hideMark/>
          </w:tcPr>
          <w:p w14:paraId="75620EDB" w14:textId="41A076AC" w:rsidR="00692DE7" w:rsidRPr="009D42B5" w:rsidRDefault="00692DE7" w:rsidP="00692DE7">
            <w:pPr>
              <w:jc w:val="center"/>
              <w:rPr>
                <w:rFonts w:ascii="Calibri" w:eastAsia="Times New Roman" w:hAnsi="Calibri" w:cs="Calibri"/>
                <w:color w:val="000000"/>
              </w:rPr>
            </w:pPr>
            <w:r>
              <w:rPr>
                <w:rFonts w:ascii="Calibri" w:hAnsi="Calibri" w:cs="Calibri"/>
                <w:color w:val="000000"/>
              </w:rPr>
              <w:t>86.4 (87.3, 85.6)</w:t>
            </w:r>
          </w:p>
        </w:tc>
      </w:tr>
      <w:tr w:rsidR="00692DE7" w:rsidRPr="009D42B5" w14:paraId="497B9E6C" w14:textId="77777777" w:rsidTr="00952220">
        <w:trPr>
          <w:trHeight w:val="300"/>
        </w:trPr>
        <w:tc>
          <w:tcPr>
            <w:tcW w:w="1240" w:type="dxa"/>
            <w:tcBorders>
              <w:top w:val="nil"/>
              <w:left w:val="nil"/>
              <w:bottom w:val="nil"/>
            </w:tcBorders>
            <w:shd w:val="clear" w:color="000000" w:fill="D9D9D9"/>
            <w:noWrap/>
            <w:vAlign w:val="bottom"/>
            <w:hideMark/>
          </w:tcPr>
          <w:p w14:paraId="48FF975A"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nil"/>
            </w:tcBorders>
            <w:shd w:val="clear" w:color="000000" w:fill="D9D9D9"/>
            <w:noWrap/>
            <w:vAlign w:val="bottom"/>
            <w:hideMark/>
          </w:tcPr>
          <w:p w14:paraId="105E2DDE"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1.0</w:t>
            </w:r>
          </w:p>
        </w:tc>
        <w:tc>
          <w:tcPr>
            <w:tcW w:w="1570" w:type="dxa"/>
            <w:gridSpan w:val="2"/>
            <w:tcBorders>
              <w:top w:val="nil"/>
              <w:bottom w:val="nil"/>
            </w:tcBorders>
            <w:shd w:val="clear" w:color="000000" w:fill="D9D9D9"/>
            <w:noWrap/>
            <w:vAlign w:val="bottom"/>
            <w:hideMark/>
          </w:tcPr>
          <w:p w14:paraId="08124CC8" w14:textId="3E3AEDF6" w:rsidR="00692DE7" w:rsidRPr="009D42B5" w:rsidRDefault="00692DE7" w:rsidP="00692DE7">
            <w:pPr>
              <w:jc w:val="center"/>
              <w:rPr>
                <w:rFonts w:ascii="Calibri" w:eastAsia="Times New Roman" w:hAnsi="Calibri" w:cs="Calibri"/>
                <w:color w:val="000000"/>
              </w:rPr>
            </w:pPr>
            <w:r>
              <w:rPr>
                <w:rFonts w:ascii="Calibri" w:hAnsi="Calibri" w:cs="Calibri"/>
                <w:color w:val="000000"/>
              </w:rPr>
              <w:t>0.5 (0.3, 0.6)</w:t>
            </w:r>
          </w:p>
        </w:tc>
        <w:tc>
          <w:tcPr>
            <w:tcW w:w="1350" w:type="dxa"/>
            <w:tcBorders>
              <w:top w:val="nil"/>
              <w:bottom w:val="nil"/>
            </w:tcBorders>
            <w:shd w:val="clear" w:color="000000" w:fill="D9D9D9"/>
            <w:noWrap/>
            <w:vAlign w:val="bottom"/>
            <w:hideMark/>
          </w:tcPr>
          <w:p w14:paraId="411851CC" w14:textId="0AB133C7" w:rsidR="00692DE7" w:rsidRPr="009D42B5" w:rsidRDefault="00692DE7" w:rsidP="00692DE7">
            <w:pPr>
              <w:jc w:val="center"/>
              <w:rPr>
                <w:rFonts w:ascii="Calibri" w:eastAsia="Times New Roman" w:hAnsi="Calibri" w:cs="Calibri"/>
                <w:color w:val="000000"/>
              </w:rPr>
            </w:pPr>
            <w:r>
              <w:rPr>
                <w:rFonts w:ascii="Calibri" w:hAnsi="Calibri" w:cs="Calibri"/>
                <w:color w:val="000000"/>
              </w:rPr>
              <w:t>3.9 (3.4, 4.2)</w:t>
            </w:r>
          </w:p>
        </w:tc>
        <w:tc>
          <w:tcPr>
            <w:tcW w:w="1710" w:type="dxa"/>
            <w:tcBorders>
              <w:top w:val="nil"/>
              <w:bottom w:val="nil"/>
            </w:tcBorders>
            <w:shd w:val="clear" w:color="000000" w:fill="D9D9D9"/>
            <w:noWrap/>
            <w:vAlign w:val="bottom"/>
            <w:hideMark/>
          </w:tcPr>
          <w:p w14:paraId="5D06E157" w14:textId="0FB52123" w:rsidR="00692DE7" w:rsidRPr="009D42B5" w:rsidRDefault="00692DE7" w:rsidP="00692DE7">
            <w:pPr>
              <w:jc w:val="center"/>
              <w:rPr>
                <w:rFonts w:ascii="Calibri" w:eastAsia="Times New Roman" w:hAnsi="Calibri" w:cs="Calibri"/>
                <w:color w:val="000000"/>
              </w:rPr>
            </w:pPr>
            <w:r>
              <w:rPr>
                <w:rFonts w:ascii="Calibri" w:hAnsi="Calibri" w:cs="Calibri"/>
                <w:color w:val="000000"/>
              </w:rPr>
              <w:t>9.8 (9.5, 10.2)</w:t>
            </w:r>
          </w:p>
        </w:tc>
        <w:tc>
          <w:tcPr>
            <w:tcW w:w="1710" w:type="dxa"/>
            <w:tcBorders>
              <w:top w:val="nil"/>
              <w:bottom w:val="nil"/>
            </w:tcBorders>
            <w:shd w:val="clear" w:color="000000" w:fill="D9D9D9"/>
            <w:noWrap/>
            <w:vAlign w:val="bottom"/>
            <w:hideMark/>
          </w:tcPr>
          <w:p w14:paraId="6BFFA576" w14:textId="47CE3FD6" w:rsidR="00692DE7" w:rsidRPr="009D42B5" w:rsidRDefault="00692DE7" w:rsidP="00692DE7">
            <w:pPr>
              <w:jc w:val="center"/>
              <w:rPr>
                <w:rFonts w:ascii="Calibri" w:eastAsia="Times New Roman" w:hAnsi="Calibri" w:cs="Calibri"/>
                <w:color w:val="000000"/>
              </w:rPr>
            </w:pPr>
            <w:r>
              <w:rPr>
                <w:rFonts w:ascii="Calibri" w:hAnsi="Calibri" w:cs="Calibri"/>
                <w:color w:val="000000"/>
              </w:rPr>
              <w:t>85.7 (86.8, 85.0)</w:t>
            </w:r>
          </w:p>
        </w:tc>
      </w:tr>
      <w:tr w:rsidR="00692DE7" w:rsidRPr="009D42B5" w14:paraId="7A35C0BA" w14:textId="77777777" w:rsidTr="00952220">
        <w:trPr>
          <w:trHeight w:val="300"/>
        </w:trPr>
        <w:tc>
          <w:tcPr>
            <w:tcW w:w="1240" w:type="dxa"/>
            <w:tcBorders>
              <w:top w:val="nil"/>
              <w:left w:val="nil"/>
            </w:tcBorders>
            <w:shd w:val="clear" w:color="000000" w:fill="D9D9D9"/>
            <w:noWrap/>
            <w:vAlign w:val="bottom"/>
            <w:hideMark/>
          </w:tcPr>
          <w:p w14:paraId="26796722"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tcBorders>
            <w:shd w:val="clear" w:color="000000" w:fill="D9D9D9"/>
            <w:noWrap/>
            <w:vAlign w:val="bottom"/>
            <w:hideMark/>
          </w:tcPr>
          <w:p w14:paraId="1A764B49"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2.0</w:t>
            </w:r>
          </w:p>
        </w:tc>
        <w:tc>
          <w:tcPr>
            <w:tcW w:w="1570" w:type="dxa"/>
            <w:gridSpan w:val="2"/>
            <w:tcBorders>
              <w:top w:val="nil"/>
            </w:tcBorders>
            <w:shd w:val="clear" w:color="000000" w:fill="D9D9D9"/>
            <w:noWrap/>
            <w:vAlign w:val="bottom"/>
            <w:hideMark/>
          </w:tcPr>
          <w:p w14:paraId="4732F162" w14:textId="4A870A49" w:rsidR="00692DE7" w:rsidRPr="009D42B5" w:rsidRDefault="00692DE7" w:rsidP="00692DE7">
            <w:pPr>
              <w:jc w:val="center"/>
              <w:rPr>
                <w:rFonts w:ascii="Calibri" w:eastAsia="Times New Roman" w:hAnsi="Calibri" w:cs="Calibri"/>
                <w:color w:val="000000"/>
              </w:rPr>
            </w:pPr>
            <w:r>
              <w:rPr>
                <w:rFonts w:ascii="Calibri" w:hAnsi="Calibri" w:cs="Calibri"/>
                <w:color w:val="000000"/>
              </w:rPr>
              <w:t>0.5 (0.4, 0.7)</w:t>
            </w:r>
          </w:p>
        </w:tc>
        <w:tc>
          <w:tcPr>
            <w:tcW w:w="1350" w:type="dxa"/>
            <w:tcBorders>
              <w:top w:val="nil"/>
            </w:tcBorders>
            <w:shd w:val="clear" w:color="000000" w:fill="D9D9D9"/>
            <w:noWrap/>
            <w:vAlign w:val="bottom"/>
            <w:hideMark/>
          </w:tcPr>
          <w:p w14:paraId="0863097B" w14:textId="274095CD" w:rsidR="00692DE7" w:rsidRPr="009D42B5" w:rsidRDefault="00692DE7" w:rsidP="00692DE7">
            <w:pPr>
              <w:jc w:val="center"/>
              <w:rPr>
                <w:rFonts w:ascii="Calibri" w:eastAsia="Times New Roman" w:hAnsi="Calibri" w:cs="Calibri"/>
                <w:color w:val="000000"/>
              </w:rPr>
            </w:pPr>
            <w:r>
              <w:rPr>
                <w:rFonts w:ascii="Calibri" w:hAnsi="Calibri" w:cs="Calibri"/>
                <w:color w:val="000000"/>
              </w:rPr>
              <w:t>4.3 (3.9, 4.6)</w:t>
            </w:r>
          </w:p>
        </w:tc>
        <w:tc>
          <w:tcPr>
            <w:tcW w:w="1710" w:type="dxa"/>
            <w:tcBorders>
              <w:top w:val="nil"/>
            </w:tcBorders>
            <w:shd w:val="clear" w:color="000000" w:fill="D9D9D9"/>
            <w:noWrap/>
            <w:vAlign w:val="bottom"/>
            <w:hideMark/>
          </w:tcPr>
          <w:p w14:paraId="5A6F7518" w14:textId="1BD05B6D" w:rsidR="00692DE7" w:rsidRPr="009D42B5" w:rsidRDefault="00692DE7" w:rsidP="00692DE7">
            <w:pPr>
              <w:jc w:val="center"/>
              <w:rPr>
                <w:rFonts w:ascii="Calibri" w:eastAsia="Times New Roman" w:hAnsi="Calibri" w:cs="Calibri"/>
                <w:color w:val="000000"/>
              </w:rPr>
            </w:pPr>
            <w:r>
              <w:rPr>
                <w:rFonts w:ascii="Calibri" w:hAnsi="Calibri" w:cs="Calibri"/>
                <w:color w:val="000000"/>
              </w:rPr>
              <w:t>10.6 (10.4, 11)</w:t>
            </w:r>
          </w:p>
        </w:tc>
        <w:tc>
          <w:tcPr>
            <w:tcW w:w="1710" w:type="dxa"/>
            <w:tcBorders>
              <w:top w:val="nil"/>
            </w:tcBorders>
            <w:shd w:val="clear" w:color="000000" w:fill="D9D9D9"/>
            <w:noWrap/>
            <w:vAlign w:val="bottom"/>
            <w:hideMark/>
          </w:tcPr>
          <w:p w14:paraId="00EC0984" w14:textId="56DA32FB" w:rsidR="00692DE7" w:rsidRPr="009D42B5" w:rsidRDefault="00692DE7" w:rsidP="00692DE7">
            <w:pPr>
              <w:jc w:val="center"/>
              <w:rPr>
                <w:rFonts w:ascii="Calibri" w:eastAsia="Times New Roman" w:hAnsi="Calibri" w:cs="Calibri"/>
                <w:color w:val="000000"/>
              </w:rPr>
            </w:pPr>
            <w:r>
              <w:rPr>
                <w:rFonts w:ascii="Calibri" w:hAnsi="Calibri" w:cs="Calibri"/>
                <w:color w:val="000000"/>
              </w:rPr>
              <w:t>84.6 (85.3, 83.7)</w:t>
            </w:r>
          </w:p>
        </w:tc>
      </w:tr>
      <w:tr w:rsidR="00692DE7" w:rsidRPr="009D42B5" w14:paraId="0C1EB316" w14:textId="77777777" w:rsidTr="00952220">
        <w:trPr>
          <w:trHeight w:val="300"/>
        </w:trPr>
        <w:tc>
          <w:tcPr>
            <w:tcW w:w="1240" w:type="dxa"/>
            <w:tcBorders>
              <w:top w:val="nil"/>
              <w:left w:val="nil"/>
              <w:bottom w:val="single" w:sz="4" w:space="0" w:color="auto"/>
            </w:tcBorders>
            <w:shd w:val="clear" w:color="000000" w:fill="D9D9D9"/>
            <w:noWrap/>
            <w:vAlign w:val="bottom"/>
            <w:hideMark/>
          </w:tcPr>
          <w:p w14:paraId="7B2F8D1D"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240" w:type="dxa"/>
            <w:tcBorders>
              <w:top w:val="nil"/>
              <w:bottom w:val="single" w:sz="4" w:space="0" w:color="auto"/>
            </w:tcBorders>
            <w:shd w:val="clear" w:color="000000" w:fill="D9D9D9"/>
            <w:noWrap/>
            <w:vAlign w:val="bottom"/>
            <w:hideMark/>
          </w:tcPr>
          <w:p w14:paraId="6A458C57" w14:textId="77777777" w:rsidR="00692DE7" w:rsidRPr="009D42B5" w:rsidRDefault="00692DE7" w:rsidP="00692DE7">
            <w:pPr>
              <w:jc w:val="center"/>
              <w:rPr>
                <w:rFonts w:ascii="Calibri" w:eastAsia="Times New Roman" w:hAnsi="Calibri" w:cs="Calibri"/>
                <w:color w:val="000000"/>
              </w:rPr>
            </w:pPr>
            <w:r w:rsidRPr="009D42B5">
              <w:rPr>
                <w:rFonts w:ascii="Calibri" w:eastAsia="Times New Roman" w:hAnsi="Calibri" w:cs="Calibri"/>
                <w:color w:val="000000"/>
              </w:rPr>
              <w:t>3.0</w:t>
            </w:r>
          </w:p>
        </w:tc>
        <w:tc>
          <w:tcPr>
            <w:tcW w:w="1570" w:type="dxa"/>
            <w:gridSpan w:val="2"/>
            <w:tcBorders>
              <w:top w:val="nil"/>
              <w:bottom w:val="single" w:sz="4" w:space="0" w:color="auto"/>
            </w:tcBorders>
            <w:shd w:val="clear" w:color="000000" w:fill="D9D9D9"/>
            <w:noWrap/>
            <w:vAlign w:val="bottom"/>
            <w:hideMark/>
          </w:tcPr>
          <w:p w14:paraId="0925DAB9" w14:textId="12E8D698" w:rsidR="00692DE7" w:rsidRPr="009D42B5" w:rsidRDefault="00692DE7" w:rsidP="00692DE7">
            <w:pPr>
              <w:jc w:val="center"/>
              <w:rPr>
                <w:rFonts w:ascii="Calibri" w:eastAsia="Times New Roman" w:hAnsi="Calibri" w:cs="Calibri"/>
                <w:color w:val="000000"/>
              </w:rPr>
            </w:pPr>
            <w:r>
              <w:rPr>
                <w:rFonts w:ascii="Calibri" w:hAnsi="Calibri" w:cs="Calibri"/>
                <w:color w:val="000000"/>
              </w:rPr>
              <w:t>0.6 (0.4, 0.8)</w:t>
            </w:r>
          </w:p>
        </w:tc>
        <w:tc>
          <w:tcPr>
            <w:tcW w:w="1350" w:type="dxa"/>
            <w:tcBorders>
              <w:top w:val="nil"/>
              <w:bottom w:val="single" w:sz="4" w:space="0" w:color="auto"/>
            </w:tcBorders>
            <w:shd w:val="clear" w:color="000000" w:fill="D9D9D9"/>
            <w:noWrap/>
            <w:vAlign w:val="bottom"/>
            <w:hideMark/>
          </w:tcPr>
          <w:p w14:paraId="0C449B04" w14:textId="231A602B" w:rsidR="00692DE7" w:rsidRPr="009D42B5" w:rsidRDefault="00692DE7" w:rsidP="00692DE7">
            <w:pPr>
              <w:jc w:val="center"/>
              <w:rPr>
                <w:rFonts w:ascii="Calibri" w:eastAsia="Times New Roman" w:hAnsi="Calibri" w:cs="Calibri"/>
                <w:color w:val="000000"/>
              </w:rPr>
            </w:pPr>
            <w:r>
              <w:rPr>
                <w:rFonts w:ascii="Calibri" w:hAnsi="Calibri" w:cs="Calibri"/>
                <w:color w:val="000000"/>
              </w:rPr>
              <w:t>4.4 (4.0, 4.7)</w:t>
            </w:r>
          </w:p>
        </w:tc>
        <w:tc>
          <w:tcPr>
            <w:tcW w:w="1710" w:type="dxa"/>
            <w:tcBorders>
              <w:top w:val="nil"/>
              <w:bottom w:val="single" w:sz="4" w:space="0" w:color="auto"/>
            </w:tcBorders>
            <w:shd w:val="clear" w:color="000000" w:fill="D9D9D9"/>
            <w:noWrap/>
            <w:vAlign w:val="bottom"/>
            <w:hideMark/>
          </w:tcPr>
          <w:p w14:paraId="3EFB9795" w14:textId="71F897AA" w:rsidR="00692DE7" w:rsidRPr="009D42B5" w:rsidRDefault="00692DE7" w:rsidP="00692DE7">
            <w:pPr>
              <w:jc w:val="center"/>
              <w:rPr>
                <w:rFonts w:ascii="Calibri" w:eastAsia="Times New Roman" w:hAnsi="Calibri" w:cs="Calibri"/>
                <w:color w:val="000000"/>
              </w:rPr>
            </w:pPr>
            <w:r>
              <w:rPr>
                <w:rFonts w:ascii="Calibri" w:hAnsi="Calibri" w:cs="Calibri"/>
                <w:color w:val="000000"/>
              </w:rPr>
              <w:t>11.4 (10.9, 11.7)</w:t>
            </w:r>
          </w:p>
        </w:tc>
        <w:tc>
          <w:tcPr>
            <w:tcW w:w="1710" w:type="dxa"/>
            <w:tcBorders>
              <w:top w:val="nil"/>
              <w:bottom w:val="single" w:sz="4" w:space="0" w:color="auto"/>
            </w:tcBorders>
            <w:shd w:val="clear" w:color="000000" w:fill="D9D9D9"/>
            <w:noWrap/>
            <w:vAlign w:val="bottom"/>
            <w:hideMark/>
          </w:tcPr>
          <w:p w14:paraId="54F312A2" w14:textId="588C4CFA" w:rsidR="00692DE7" w:rsidRPr="009D42B5" w:rsidRDefault="00692DE7" w:rsidP="00692DE7">
            <w:pPr>
              <w:jc w:val="center"/>
              <w:rPr>
                <w:rFonts w:ascii="Calibri" w:eastAsia="Times New Roman" w:hAnsi="Calibri" w:cs="Calibri"/>
                <w:color w:val="000000"/>
              </w:rPr>
            </w:pPr>
            <w:r>
              <w:rPr>
                <w:rFonts w:ascii="Calibri" w:hAnsi="Calibri" w:cs="Calibri"/>
                <w:color w:val="000000"/>
              </w:rPr>
              <w:t>83.6 (84.6, 82.8)</w:t>
            </w:r>
          </w:p>
        </w:tc>
      </w:tr>
    </w:tbl>
    <w:p w14:paraId="2B7EA705" w14:textId="77777777" w:rsidR="00692DE7" w:rsidRDefault="00692DE7" w:rsidP="007751E4">
      <w:pPr>
        <w:spacing w:line="360" w:lineRule="auto"/>
        <w:rPr>
          <w:rFonts w:ascii="Helvetica Neue" w:hAnsi="Helvetica Neue"/>
          <w:sz w:val="20"/>
        </w:rPr>
      </w:pPr>
    </w:p>
    <w:p w14:paraId="40E61591" w14:textId="77777777" w:rsidR="00F3451B" w:rsidRDefault="00F3451B" w:rsidP="00721A10">
      <w:pPr>
        <w:spacing w:line="360" w:lineRule="auto"/>
        <w:rPr>
          <w:rFonts w:ascii="Helvetica Neue" w:hAnsi="Helvetica Neue"/>
          <w:b/>
          <w:sz w:val="24"/>
        </w:rPr>
      </w:pPr>
      <w:r>
        <w:rPr>
          <w:rFonts w:ascii="Helvetica Neue" w:hAnsi="Helvetica Neue"/>
          <w:sz w:val="24"/>
        </w:rPr>
        <w:br w:type="page"/>
      </w:r>
    </w:p>
    <w:p w14:paraId="38F2AE4D" w14:textId="6BF21394" w:rsidR="00141AAD" w:rsidRPr="0024409C" w:rsidRDefault="00FA4124" w:rsidP="002232EA">
      <w:pPr>
        <w:pStyle w:val="Heading1"/>
        <w:spacing w:before="300"/>
        <w:rPr>
          <w:rFonts w:ascii="Helvetica Neue" w:hAnsi="Helvetica Neue"/>
          <w:sz w:val="24"/>
        </w:rPr>
      </w:pPr>
      <w:bookmarkStart w:id="59" w:name="_Toc522270440"/>
      <w:r w:rsidRPr="0024409C">
        <w:rPr>
          <w:rFonts w:ascii="Helvetica Neue" w:hAnsi="Helvetica Neue"/>
          <w:sz w:val="24"/>
        </w:rPr>
        <w:lastRenderedPageBreak/>
        <w:t>1</w:t>
      </w:r>
      <w:r w:rsidR="00C160F7">
        <w:rPr>
          <w:rFonts w:ascii="Helvetica Neue" w:hAnsi="Helvetica Neue"/>
          <w:sz w:val="24"/>
        </w:rPr>
        <w:t>4</w:t>
      </w:r>
      <w:r w:rsidR="00141AAD" w:rsidRPr="0024409C">
        <w:rPr>
          <w:rFonts w:ascii="Helvetica Neue" w:hAnsi="Helvetica Neue"/>
          <w:sz w:val="24"/>
        </w:rPr>
        <w:tab/>
        <w:t>REFERENCES</w:t>
      </w:r>
      <w:bookmarkEnd w:id="54"/>
      <w:bookmarkEnd w:id="59"/>
    </w:p>
    <w:p w14:paraId="2B5DC2FE" w14:textId="3B98DC79" w:rsidR="002E5A1F" w:rsidRPr="002E5A1F" w:rsidRDefault="003604D9" w:rsidP="002E5A1F">
      <w:pPr>
        <w:widowControl w:val="0"/>
        <w:autoSpaceDE w:val="0"/>
        <w:autoSpaceDN w:val="0"/>
        <w:adjustRightInd w:val="0"/>
        <w:spacing w:after="60"/>
        <w:ind w:left="640" w:hanging="640"/>
        <w:rPr>
          <w:rFonts w:ascii="Helvetica Neue" w:hAnsi="Helvetica Neue" w:cs="Times New Roman"/>
          <w:noProof/>
          <w:sz w:val="18"/>
          <w:szCs w:val="24"/>
        </w:rPr>
      </w:pPr>
      <w:r w:rsidRPr="0024409C">
        <w:rPr>
          <w:rFonts w:ascii="Helvetica Neue" w:hAnsi="Helvetica Neue"/>
          <w:sz w:val="18"/>
          <w:szCs w:val="18"/>
        </w:rPr>
        <w:fldChar w:fldCharType="begin" w:fldLock="1"/>
      </w:r>
      <w:r w:rsidRPr="0024409C">
        <w:rPr>
          <w:rFonts w:ascii="Helvetica Neue" w:hAnsi="Helvetica Neue"/>
          <w:sz w:val="18"/>
          <w:szCs w:val="18"/>
        </w:rPr>
        <w:instrText xml:space="preserve">ADDIN Mendeley Bibliography CSL_BIBLIOGRAPHY </w:instrText>
      </w:r>
      <w:r w:rsidRPr="0024409C">
        <w:rPr>
          <w:rFonts w:ascii="Helvetica Neue" w:hAnsi="Helvetica Neue"/>
          <w:sz w:val="18"/>
          <w:szCs w:val="18"/>
        </w:rPr>
        <w:fldChar w:fldCharType="separate"/>
      </w:r>
      <w:r w:rsidR="002E5A1F" w:rsidRPr="002E5A1F">
        <w:rPr>
          <w:rFonts w:ascii="Helvetica Neue" w:hAnsi="Helvetica Neue" w:cs="Times New Roman"/>
          <w:noProof/>
          <w:sz w:val="18"/>
          <w:szCs w:val="24"/>
        </w:rPr>
        <w:t>1</w:t>
      </w:r>
      <w:r w:rsidR="002E5A1F" w:rsidRPr="002E5A1F">
        <w:rPr>
          <w:rFonts w:ascii="Helvetica Neue" w:hAnsi="Helvetica Neue" w:cs="Times New Roman"/>
          <w:noProof/>
          <w:sz w:val="18"/>
          <w:szCs w:val="24"/>
        </w:rPr>
        <w:tab/>
        <w:t xml:space="preserve">Goodreau SM, Carnegie NB, Vittinghoff E, </w:t>
      </w:r>
      <w:r w:rsidR="002E5A1F" w:rsidRPr="002E5A1F">
        <w:rPr>
          <w:rFonts w:ascii="Helvetica Neue" w:hAnsi="Helvetica Neue" w:cs="Times New Roman"/>
          <w:i/>
          <w:iCs/>
          <w:noProof/>
          <w:sz w:val="18"/>
          <w:szCs w:val="24"/>
        </w:rPr>
        <w:t>et al.</w:t>
      </w:r>
      <w:r w:rsidR="002E5A1F" w:rsidRPr="002E5A1F">
        <w:rPr>
          <w:rFonts w:ascii="Helvetica Neue" w:hAnsi="Helvetica Neue" w:cs="Times New Roman"/>
          <w:noProof/>
          <w:sz w:val="18"/>
          <w:szCs w:val="24"/>
        </w:rPr>
        <w:t xml:space="preserve"> What drives the US and Peruvian HIV epidemics in men who have sex with men (MSM)? </w:t>
      </w:r>
      <w:r w:rsidR="002E5A1F" w:rsidRPr="002E5A1F">
        <w:rPr>
          <w:rFonts w:ascii="Helvetica Neue" w:hAnsi="Helvetica Neue" w:cs="Times New Roman"/>
          <w:i/>
          <w:iCs/>
          <w:noProof/>
          <w:sz w:val="18"/>
          <w:szCs w:val="24"/>
        </w:rPr>
        <w:t>PLoS One</w:t>
      </w:r>
      <w:r w:rsidR="002E5A1F" w:rsidRPr="002E5A1F">
        <w:rPr>
          <w:rFonts w:ascii="Helvetica Neue" w:hAnsi="Helvetica Neue" w:cs="Times New Roman"/>
          <w:noProof/>
          <w:sz w:val="18"/>
          <w:szCs w:val="24"/>
        </w:rPr>
        <w:t xml:space="preserve"> 2012; </w:t>
      </w:r>
      <w:r w:rsidR="002E5A1F" w:rsidRPr="002E5A1F">
        <w:rPr>
          <w:rFonts w:ascii="Helvetica Neue" w:hAnsi="Helvetica Neue" w:cs="Times New Roman"/>
          <w:b/>
          <w:bCs/>
          <w:noProof/>
          <w:sz w:val="18"/>
          <w:szCs w:val="24"/>
        </w:rPr>
        <w:t>7</w:t>
      </w:r>
      <w:r w:rsidR="002E5A1F" w:rsidRPr="002E5A1F">
        <w:rPr>
          <w:rFonts w:ascii="Helvetica Neue" w:hAnsi="Helvetica Neue" w:cs="Times New Roman"/>
          <w:noProof/>
          <w:sz w:val="18"/>
          <w:szCs w:val="24"/>
        </w:rPr>
        <w:t>: e50522.</w:t>
      </w:r>
    </w:p>
    <w:p w14:paraId="470E556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w:t>
      </w:r>
      <w:r w:rsidRPr="002E5A1F">
        <w:rPr>
          <w:rFonts w:ascii="Helvetica Neue" w:hAnsi="Helvetica Neue" w:cs="Times New Roman"/>
          <w:noProof/>
          <w:sz w:val="18"/>
          <w:szCs w:val="24"/>
        </w:rPr>
        <w:tab/>
        <w:t xml:space="preserve">Goodreau SM, Carnegie NB, Vittinghoff E,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Can male circumcision have an impact on the HIV epidemic in men who have sex with men? </w:t>
      </w:r>
      <w:r w:rsidRPr="002E5A1F">
        <w:rPr>
          <w:rFonts w:ascii="Helvetica Neue" w:hAnsi="Helvetica Neue" w:cs="Times New Roman"/>
          <w:i/>
          <w:iCs/>
          <w:noProof/>
          <w:sz w:val="18"/>
          <w:szCs w:val="24"/>
        </w:rPr>
        <w:t>PLoS One</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9</w:t>
      </w:r>
      <w:r w:rsidRPr="002E5A1F">
        <w:rPr>
          <w:rFonts w:ascii="Helvetica Neue" w:hAnsi="Helvetica Neue" w:cs="Times New Roman"/>
          <w:noProof/>
          <w:sz w:val="18"/>
          <w:szCs w:val="24"/>
        </w:rPr>
        <w:t>: e102960.</w:t>
      </w:r>
    </w:p>
    <w:p w14:paraId="0BF0178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w:t>
      </w:r>
      <w:r w:rsidRPr="002E5A1F">
        <w:rPr>
          <w:rFonts w:ascii="Helvetica Neue" w:hAnsi="Helvetica Neue" w:cs="Times New Roman"/>
          <w:noProof/>
          <w:sz w:val="18"/>
          <w:szCs w:val="24"/>
        </w:rPr>
        <w:tab/>
        <w:t xml:space="preserve">Carnegie NB, Goodreau SM, Liu A,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Targeting pre-exposure prophylaxis among men who have sex with men in the United States and Peru: partnership types, contact rates, and sexual role. </w:t>
      </w:r>
      <w:r w:rsidRPr="002E5A1F">
        <w:rPr>
          <w:rFonts w:ascii="Helvetica Neue" w:hAnsi="Helvetica Neue" w:cs="Times New Roman"/>
          <w:i/>
          <w:iCs/>
          <w:noProof/>
          <w:sz w:val="18"/>
          <w:szCs w:val="24"/>
        </w:rPr>
        <w:t>J Acquir Immune Defic Syndr</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69</w:t>
      </w:r>
      <w:r w:rsidRPr="002E5A1F">
        <w:rPr>
          <w:rFonts w:ascii="Helvetica Neue" w:hAnsi="Helvetica Neue" w:cs="Times New Roman"/>
          <w:noProof/>
          <w:sz w:val="18"/>
          <w:szCs w:val="24"/>
        </w:rPr>
        <w:t>: 119–25.</w:t>
      </w:r>
    </w:p>
    <w:p w14:paraId="14C47E1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w:t>
      </w:r>
      <w:r w:rsidRPr="002E5A1F">
        <w:rPr>
          <w:rFonts w:ascii="Helvetica Neue" w:hAnsi="Helvetica Neue" w:cs="Times New Roman"/>
          <w:noProof/>
          <w:sz w:val="18"/>
          <w:szCs w:val="24"/>
        </w:rPr>
        <w:tab/>
        <w:t xml:space="preserve">Jenness SM, Goodreau SM, Rosenberg E,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Impact of the Centers for Disease Control’s HIV preexposure prophylaxis guidelines for men who have sex with men in the United States. </w:t>
      </w:r>
      <w:r w:rsidRPr="002E5A1F">
        <w:rPr>
          <w:rFonts w:ascii="Helvetica Neue" w:hAnsi="Helvetica Neue" w:cs="Times New Roman"/>
          <w:i/>
          <w:iCs/>
          <w:noProof/>
          <w:sz w:val="18"/>
          <w:szCs w:val="24"/>
        </w:rPr>
        <w:t>J Inf Dis</w:t>
      </w:r>
      <w:r w:rsidRPr="002E5A1F">
        <w:rPr>
          <w:rFonts w:ascii="Helvetica Neue" w:hAnsi="Helvetica Neue" w:cs="Times New Roman"/>
          <w:noProof/>
          <w:sz w:val="18"/>
          <w:szCs w:val="24"/>
        </w:rPr>
        <w:t xml:space="preserve"> 2016; </w:t>
      </w:r>
      <w:r w:rsidRPr="002E5A1F">
        <w:rPr>
          <w:rFonts w:ascii="Helvetica Neue" w:hAnsi="Helvetica Neue" w:cs="Times New Roman"/>
          <w:b/>
          <w:bCs/>
          <w:noProof/>
          <w:sz w:val="18"/>
          <w:szCs w:val="24"/>
        </w:rPr>
        <w:t>214</w:t>
      </w:r>
      <w:r w:rsidRPr="002E5A1F">
        <w:rPr>
          <w:rFonts w:ascii="Helvetica Neue" w:hAnsi="Helvetica Neue" w:cs="Times New Roman"/>
          <w:noProof/>
          <w:sz w:val="18"/>
          <w:szCs w:val="24"/>
        </w:rPr>
        <w:t>: 1800–7.</w:t>
      </w:r>
    </w:p>
    <w:p w14:paraId="5125706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w:t>
      </w:r>
      <w:r w:rsidRPr="002E5A1F">
        <w:rPr>
          <w:rFonts w:ascii="Helvetica Neue" w:hAnsi="Helvetica Neue" w:cs="Times New Roman"/>
          <w:noProof/>
          <w:sz w:val="18"/>
          <w:szCs w:val="24"/>
        </w:rPr>
        <w:tab/>
        <w:t xml:space="preserve">Jenness SM, Weiss KM, Goodreau SM,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Incidence of Gonorrhea and Chlamydia Following HIV Preexposure Prophylaxis among Men Who Have Sex with Men: A Modeling Study. </w:t>
      </w:r>
      <w:r w:rsidRPr="002E5A1F">
        <w:rPr>
          <w:rFonts w:ascii="Helvetica Neue" w:hAnsi="Helvetica Neue" w:cs="Times New Roman"/>
          <w:i/>
          <w:iCs/>
          <w:noProof/>
          <w:sz w:val="18"/>
          <w:szCs w:val="24"/>
        </w:rPr>
        <w:t>Clin Infect Dis</w:t>
      </w:r>
      <w:r w:rsidRPr="002E5A1F">
        <w:rPr>
          <w:rFonts w:ascii="Helvetica Neue" w:hAnsi="Helvetica Neue" w:cs="Times New Roman"/>
          <w:noProof/>
          <w:sz w:val="18"/>
          <w:szCs w:val="24"/>
        </w:rPr>
        <w:t xml:space="preserve"> 2017; </w:t>
      </w:r>
      <w:r w:rsidRPr="002E5A1F">
        <w:rPr>
          <w:rFonts w:ascii="Helvetica Neue" w:hAnsi="Helvetica Neue" w:cs="Times New Roman"/>
          <w:b/>
          <w:bCs/>
          <w:noProof/>
          <w:sz w:val="18"/>
          <w:szCs w:val="24"/>
        </w:rPr>
        <w:t>65</w:t>
      </w:r>
      <w:r w:rsidRPr="002E5A1F">
        <w:rPr>
          <w:rFonts w:ascii="Helvetica Neue" w:hAnsi="Helvetica Neue" w:cs="Times New Roman"/>
          <w:noProof/>
          <w:sz w:val="18"/>
          <w:szCs w:val="24"/>
        </w:rPr>
        <w:t>: 712–8.</w:t>
      </w:r>
    </w:p>
    <w:p w14:paraId="2456D10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w:t>
      </w:r>
      <w:r w:rsidRPr="002E5A1F">
        <w:rPr>
          <w:rFonts w:ascii="Helvetica Neue" w:hAnsi="Helvetica Neue" w:cs="Times New Roman"/>
          <w:noProof/>
          <w:sz w:val="18"/>
          <w:szCs w:val="24"/>
        </w:rPr>
        <w:tab/>
        <w:t>Handcock MS, Hunter DR, Butts CT, Goodreau SM, Morris M. Statnet</w:t>
      </w:r>
      <w:r w:rsidRPr="002E5A1F">
        <w:rPr>
          <w:rFonts w:ascii="Times New Roman" w:hAnsi="Times New Roman" w:cs="Times New Roman"/>
          <w:noProof/>
          <w:sz w:val="18"/>
          <w:szCs w:val="24"/>
        </w:rPr>
        <w:t> </w:t>
      </w:r>
      <w:r w:rsidRPr="002E5A1F">
        <w:rPr>
          <w:rFonts w:ascii="Helvetica Neue" w:hAnsi="Helvetica Neue" w:cs="Times New Roman"/>
          <w:noProof/>
          <w:sz w:val="18"/>
          <w:szCs w:val="24"/>
        </w:rPr>
        <w:t xml:space="preserve">: Software tools for the representation, visualization, analysis and simulation of network data. </w:t>
      </w:r>
      <w:r w:rsidRPr="002E5A1F">
        <w:rPr>
          <w:rFonts w:ascii="Helvetica Neue" w:hAnsi="Helvetica Neue" w:cs="Times New Roman"/>
          <w:i/>
          <w:iCs/>
          <w:noProof/>
          <w:sz w:val="18"/>
          <w:szCs w:val="24"/>
        </w:rPr>
        <w:t>J Stat Softw</w:t>
      </w:r>
      <w:r w:rsidRPr="002E5A1F">
        <w:rPr>
          <w:rFonts w:ascii="Helvetica Neue" w:hAnsi="Helvetica Neue" w:cs="Times New Roman"/>
          <w:noProof/>
          <w:sz w:val="18"/>
          <w:szCs w:val="24"/>
        </w:rPr>
        <w:t xml:space="preserve"> 2008;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1–11.</w:t>
      </w:r>
    </w:p>
    <w:p w14:paraId="319EB63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w:t>
      </w:r>
      <w:r w:rsidRPr="002E5A1F">
        <w:rPr>
          <w:rFonts w:ascii="Helvetica Neue" w:hAnsi="Helvetica Neue" w:cs="Times New Roman"/>
          <w:noProof/>
          <w:sz w:val="18"/>
          <w:szCs w:val="24"/>
        </w:rPr>
        <w:tab/>
        <w:t xml:space="preserve">Sullivan PS, Carballo-Diéguez A, Coates T,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Successes and challenges of HIV prevention in men who have sex with men. </w:t>
      </w:r>
      <w:r w:rsidRPr="002E5A1F">
        <w:rPr>
          <w:rFonts w:ascii="Helvetica Neue" w:hAnsi="Helvetica Neue" w:cs="Times New Roman"/>
          <w:i/>
          <w:iCs/>
          <w:noProof/>
          <w:sz w:val="18"/>
          <w:szCs w:val="24"/>
        </w:rPr>
        <w:t>Lancet</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380</w:t>
      </w:r>
      <w:r w:rsidRPr="002E5A1F">
        <w:rPr>
          <w:rFonts w:ascii="Helvetica Neue" w:hAnsi="Helvetica Neue" w:cs="Times New Roman"/>
          <w:noProof/>
          <w:sz w:val="18"/>
          <w:szCs w:val="24"/>
        </w:rPr>
        <w:t>: 388–99.</w:t>
      </w:r>
    </w:p>
    <w:p w14:paraId="30C040C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w:t>
      </w:r>
      <w:r w:rsidRPr="002E5A1F">
        <w:rPr>
          <w:rFonts w:ascii="Helvetica Neue" w:hAnsi="Helvetica Neue" w:cs="Times New Roman"/>
          <w:noProof/>
          <w:sz w:val="18"/>
          <w:szCs w:val="24"/>
        </w:rPr>
        <w:tab/>
        <w:t xml:space="preserve">Krivitsky PN, Handcock MS. A separable model for dynamic networks. </w:t>
      </w:r>
      <w:r w:rsidRPr="002E5A1F">
        <w:rPr>
          <w:rFonts w:ascii="Helvetica Neue" w:hAnsi="Helvetica Neue" w:cs="Times New Roman"/>
          <w:i/>
          <w:iCs/>
          <w:noProof/>
          <w:sz w:val="18"/>
          <w:szCs w:val="24"/>
        </w:rPr>
        <w:t>J R Stat Soc Ser B Stat Methodol</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76</w:t>
      </w:r>
      <w:r w:rsidRPr="002E5A1F">
        <w:rPr>
          <w:rFonts w:ascii="Helvetica Neue" w:hAnsi="Helvetica Neue" w:cs="Times New Roman"/>
          <w:noProof/>
          <w:sz w:val="18"/>
          <w:szCs w:val="24"/>
        </w:rPr>
        <w:t>: 29–46.</w:t>
      </w:r>
    </w:p>
    <w:p w14:paraId="5A82F1D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w:t>
      </w:r>
      <w:r w:rsidRPr="002E5A1F">
        <w:rPr>
          <w:rFonts w:ascii="Helvetica Neue" w:hAnsi="Helvetica Neue" w:cs="Times New Roman"/>
          <w:noProof/>
          <w:sz w:val="18"/>
          <w:szCs w:val="24"/>
        </w:rPr>
        <w:tab/>
        <w:t xml:space="preserve">Hunter DR, Handcock MS, Butts CT, Goodreau SM, Morris M. ergm: A Package to Fit, Simulate and Diagnose Exponential-Family Models for Networks. </w:t>
      </w:r>
      <w:r w:rsidRPr="002E5A1F">
        <w:rPr>
          <w:rFonts w:ascii="Helvetica Neue" w:hAnsi="Helvetica Neue" w:cs="Times New Roman"/>
          <w:i/>
          <w:iCs/>
          <w:noProof/>
          <w:sz w:val="18"/>
          <w:szCs w:val="24"/>
        </w:rPr>
        <w:t>J Stat Softw</w:t>
      </w:r>
      <w:r w:rsidRPr="002E5A1F">
        <w:rPr>
          <w:rFonts w:ascii="Helvetica Neue" w:hAnsi="Helvetica Neue" w:cs="Times New Roman"/>
          <w:noProof/>
          <w:sz w:val="18"/>
          <w:szCs w:val="24"/>
        </w:rPr>
        <w:t xml:space="preserve"> 2008;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nihpa54860.</w:t>
      </w:r>
    </w:p>
    <w:p w14:paraId="6C85424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w:t>
      </w:r>
      <w:r w:rsidRPr="002E5A1F">
        <w:rPr>
          <w:rFonts w:ascii="Helvetica Neue" w:hAnsi="Helvetica Neue" w:cs="Times New Roman"/>
          <w:noProof/>
          <w:sz w:val="18"/>
          <w:szCs w:val="24"/>
        </w:rPr>
        <w:tab/>
        <w:t xml:space="preserve">Carnegie NB, Krivitsky PN, Hunter DR, Goodreau SM. An Approximation Method for Improving Dynamic Network Model Fitting. </w:t>
      </w:r>
      <w:r w:rsidRPr="002E5A1F">
        <w:rPr>
          <w:rFonts w:ascii="Helvetica Neue" w:hAnsi="Helvetica Neue" w:cs="Times New Roman"/>
          <w:i/>
          <w:iCs/>
          <w:noProof/>
          <w:sz w:val="18"/>
          <w:szCs w:val="24"/>
        </w:rPr>
        <w:t>J Comput Graph Stat</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502–19.</w:t>
      </w:r>
    </w:p>
    <w:p w14:paraId="4F4CE1A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11</w:t>
      </w:r>
      <w:r w:rsidRPr="002E5A1F">
        <w:rPr>
          <w:rFonts w:ascii="Helvetica Neue" w:hAnsi="Helvetica Neue" w:cs="Times New Roman"/>
          <w:noProof/>
          <w:sz w:val="18"/>
          <w:szCs w:val="24"/>
        </w:rPr>
        <w:tab/>
        <w:t xml:space="preserve">Krivitsky PN, Handcock MS, Morris M. Adjusting for network size and composition effects in exponential-family random graph models. </w:t>
      </w:r>
      <w:r w:rsidRPr="002E5A1F">
        <w:rPr>
          <w:rFonts w:ascii="Helvetica Neue" w:hAnsi="Helvetica Neue" w:cs="Times New Roman"/>
          <w:i/>
          <w:iCs/>
          <w:noProof/>
          <w:sz w:val="18"/>
          <w:szCs w:val="24"/>
        </w:rPr>
        <w:t>Stat Methodol</w:t>
      </w:r>
      <w:r w:rsidRPr="002E5A1F">
        <w:rPr>
          <w:rFonts w:ascii="Helvetica Neue" w:hAnsi="Helvetica Neue" w:cs="Times New Roman"/>
          <w:noProof/>
          <w:sz w:val="18"/>
          <w:szCs w:val="24"/>
        </w:rPr>
        <w:t xml:space="preserve"> 2011; </w:t>
      </w:r>
      <w:r w:rsidRPr="002E5A1F">
        <w:rPr>
          <w:rFonts w:ascii="Helvetica Neue" w:hAnsi="Helvetica Neue" w:cs="Times New Roman"/>
          <w:b/>
          <w:bCs/>
          <w:noProof/>
          <w:sz w:val="18"/>
          <w:szCs w:val="24"/>
        </w:rPr>
        <w:t>8</w:t>
      </w:r>
      <w:r w:rsidRPr="002E5A1F">
        <w:rPr>
          <w:rFonts w:ascii="Helvetica Neue" w:hAnsi="Helvetica Neue" w:cs="Times New Roman"/>
          <w:noProof/>
          <w:sz w:val="18"/>
          <w:szCs w:val="24"/>
        </w:rPr>
        <w:t>: 319–39.</w:t>
      </w:r>
    </w:p>
    <w:p w14:paraId="5379BCA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12</w:t>
      </w:r>
      <w:r w:rsidRPr="002E5A1F">
        <w:rPr>
          <w:rFonts w:ascii="Helvetica Neue" w:hAnsi="Helvetica Neue" w:cs="Times New Roman"/>
          <w:noProof/>
          <w:sz w:val="18"/>
          <w:szCs w:val="24"/>
        </w:rPr>
        <w:tab/>
        <w:t xml:space="preserve">Sullivan PS, Rosenberg ES, Sanchez TH,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Explaining racial disparities in HIV incidence in black and white men who have sex with men in Atlanta, GA: a prospective observational cohort study. </w:t>
      </w:r>
      <w:r w:rsidRPr="002E5A1F">
        <w:rPr>
          <w:rFonts w:ascii="Helvetica Neue" w:hAnsi="Helvetica Neue" w:cs="Times New Roman"/>
          <w:i/>
          <w:iCs/>
          <w:noProof/>
          <w:sz w:val="18"/>
          <w:szCs w:val="24"/>
        </w:rPr>
        <w:t>Ann Epidemiol</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25</w:t>
      </w:r>
      <w:r w:rsidRPr="002E5A1F">
        <w:rPr>
          <w:rFonts w:ascii="Helvetica Neue" w:hAnsi="Helvetica Neue" w:cs="Times New Roman"/>
          <w:noProof/>
          <w:sz w:val="18"/>
          <w:szCs w:val="24"/>
        </w:rPr>
        <w:t>: 445–54.</w:t>
      </w:r>
    </w:p>
    <w:p w14:paraId="0048201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13</w:t>
      </w:r>
      <w:r w:rsidRPr="002E5A1F">
        <w:rPr>
          <w:rFonts w:ascii="Helvetica Neue" w:hAnsi="Helvetica Neue" w:cs="Times New Roman"/>
          <w:noProof/>
          <w:sz w:val="18"/>
          <w:szCs w:val="24"/>
        </w:rPr>
        <w:tab/>
        <w:t xml:space="preserve">Grey JA, Rothenberg RB, Sullivan PS,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Disassortative Age-Mixing Does Not Explain Differences in HIV Prevalence between Young White and Black MSM: Findings from Four Studies. </w:t>
      </w:r>
      <w:r w:rsidRPr="002E5A1F">
        <w:rPr>
          <w:rFonts w:ascii="Helvetica Neue" w:hAnsi="Helvetica Neue" w:cs="Times New Roman"/>
          <w:i/>
          <w:iCs/>
          <w:noProof/>
          <w:sz w:val="18"/>
          <w:szCs w:val="24"/>
        </w:rPr>
        <w:t>PLoS One</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10</w:t>
      </w:r>
      <w:r w:rsidRPr="002E5A1F">
        <w:rPr>
          <w:rFonts w:ascii="Helvetica Neue" w:hAnsi="Helvetica Neue" w:cs="Times New Roman"/>
          <w:noProof/>
          <w:sz w:val="18"/>
          <w:szCs w:val="24"/>
        </w:rPr>
        <w:t>: e0129877.</w:t>
      </w:r>
    </w:p>
    <w:p w14:paraId="6A044475"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14</w:t>
      </w:r>
      <w:r w:rsidRPr="002E5A1F">
        <w:rPr>
          <w:rFonts w:ascii="Helvetica Neue" w:hAnsi="Helvetica Neue" w:cs="Times New Roman"/>
          <w:noProof/>
          <w:sz w:val="18"/>
          <w:szCs w:val="24"/>
        </w:rPr>
        <w:tab/>
        <w:t xml:space="preserve">Gray RH, Kigozi G, Serwadda D,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Male circumcision for HIV prevention in men in Rakai, Uganda: a randomised trial. </w:t>
      </w:r>
      <w:r w:rsidRPr="002E5A1F">
        <w:rPr>
          <w:rFonts w:ascii="Helvetica Neue" w:hAnsi="Helvetica Neue" w:cs="Times New Roman"/>
          <w:i/>
          <w:iCs/>
          <w:noProof/>
          <w:sz w:val="18"/>
          <w:szCs w:val="24"/>
        </w:rPr>
        <w:t>Lancet</w:t>
      </w:r>
      <w:r w:rsidRPr="002E5A1F">
        <w:rPr>
          <w:rFonts w:ascii="Helvetica Neue" w:hAnsi="Helvetica Neue" w:cs="Times New Roman"/>
          <w:noProof/>
          <w:sz w:val="18"/>
          <w:szCs w:val="24"/>
        </w:rPr>
        <w:t xml:space="preserve"> 2007; </w:t>
      </w:r>
      <w:r w:rsidRPr="002E5A1F">
        <w:rPr>
          <w:rFonts w:ascii="Helvetica Neue" w:hAnsi="Helvetica Neue" w:cs="Times New Roman"/>
          <w:b/>
          <w:bCs/>
          <w:noProof/>
          <w:sz w:val="18"/>
          <w:szCs w:val="24"/>
        </w:rPr>
        <w:t>369</w:t>
      </w:r>
      <w:r w:rsidRPr="002E5A1F">
        <w:rPr>
          <w:rFonts w:ascii="Helvetica Neue" w:hAnsi="Helvetica Neue" w:cs="Times New Roman"/>
          <w:noProof/>
          <w:sz w:val="18"/>
          <w:szCs w:val="24"/>
        </w:rPr>
        <w:t>: 657–66.</w:t>
      </w:r>
    </w:p>
    <w:p w14:paraId="40C3337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15</w:t>
      </w:r>
      <w:r w:rsidRPr="002E5A1F">
        <w:rPr>
          <w:rFonts w:ascii="Helvetica Neue" w:hAnsi="Helvetica Neue" w:cs="Times New Roman"/>
          <w:noProof/>
          <w:sz w:val="18"/>
          <w:szCs w:val="24"/>
        </w:rPr>
        <w:tab/>
        <w:t xml:space="preserve">Marmor M, Sheppard HW, Donnell D,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Homozygous and heterozygous CCR5-Delta32 genotypes are associated with resistance to HIV infection. </w:t>
      </w:r>
      <w:r w:rsidRPr="002E5A1F">
        <w:rPr>
          <w:rFonts w:ascii="Helvetica Neue" w:hAnsi="Helvetica Neue" w:cs="Times New Roman"/>
          <w:i/>
          <w:iCs/>
          <w:noProof/>
          <w:sz w:val="18"/>
          <w:szCs w:val="24"/>
        </w:rPr>
        <w:t>J Acquir Immune Defic Syndr</w:t>
      </w:r>
      <w:r w:rsidRPr="002E5A1F">
        <w:rPr>
          <w:rFonts w:ascii="Helvetica Neue" w:hAnsi="Helvetica Neue" w:cs="Times New Roman"/>
          <w:noProof/>
          <w:sz w:val="18"/>
          <w:szCs w:val="24"/>
        </w:rPr>
        <w:t xml:space="preserve"> 2001; </w:t>
      </w:r>
      <w:r w:rsidRPr="002E5A1F">
        <w:rPr>
          <w:rFonts w:ascii="Helvetica Neue" w:hAnsi="Helvetica Neue" w:cs="Times New Roman"/>
          <w:b/>
          <w:bCs/>
          <w:noProof/>
          <w:sz w:val="18"/>
          <w:szCs w:val="24"/>
        </w:rPr>
        <w:t>27</w:t>
      </w:r>
      <w:r w:rsidRPr="002E5A1F">
        <w:rPr>
          <w:rFonts w:ascii="Helvetica Neue" w:hAnsi="Helvetica Neue" w:cs="Times New Roman"/>
          <w:noProof/>
          <w:sz w:val="18"/>
          <w:szCs w:val="24"/>
        </w:rPr>
        <w:t>: 472–81.</w:t>
      </w:r>
    </w:p>
    <w:p w14:paraId="1B9B3BB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16</w:t>
      </w:r>
      <w:r w:rsidRPr="002E5A1F">
        <w:rPr>
          <w:rFonts w:ascii="Helvetica Neue" w:hAnsi="Helvetica Neue" w:cs="Times New Roman"/>
          <w:noProof/>
          <w:sz w:val="18"/>
          <w:szCs w:val="24"/>
        </w:rPr>
        <w:tab/>
        <w:t xml:space="preserve">Zimmerman PA, Buckler-White A, Alkhatib G,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Inherited resistance to HIV-1 conferred by an inactivating mutation in CC chemokine receptor 5: studies in populations with contrasting clinical phenotypes, defined racial background, and quantified risk. </w:t>
      </w:r>
      <w:r w:rsidRPr="002E5A1F">
        <w:rPr>
          <w:rFonts w:ascii="Helvetica Neue" w:hAnsi="Helvetica Neue" w:cs="Times New Roman"/>
          <w:i/>
          <w:iCs/>
          <w:noProof/>
          <w:sz w:val="18"/>
          <w:szCs w:val="24"/>
        </w:rPr>
        <w:t>Mol Med</w:t>
      </w:r>
      <w:r w:rsidRPr="002E5A1F">
        <w:rPr>
          <w:rFonts w:ascii="Helvetica Neue" w:hAnsi="Helvetica Neue" w:cs="Times New Roman"/>
          <w:noProof/>
          <w:sz w:val="18"/>
          <w:szCs w:val="24"/>
        </w:rPr>
        <w:t xml:space="preserve"> 1997; </w:t>
      </w:r>
      <w:r w:rsidRPr="002E5A1F">
        <w:rPr>
          <w:rFonts w:ascii="Helvetica Neue" w:hAnsi="Helvetica Neue" w:cs="Times New Roman"/>
          <w:b/>
          <w:bCs/>
          <w:noProof/>
          <w:sz w:val="18"/>
          <w:szCs w:val="24"/>
        </w:rPr>
        <w:t>3</w:t>
      </w:r>
      <w:r w:rsidRPr="002E5A1F">
        <w:rPr>
          <w:rFonts w:ascii="Helvetica Neue" w:hAnsi="Helvetica Neue" w:cs="Times New Roman"/>
          <w:noProof/>
          <w:sz w:val="18"/>
          <w:szCs w:val="24"/>
        </w:rPr>
        <w:t>: 23–36.</w:t>
      </w:r>
    </w:p>
    <w:p w14:paraId="2D4EDE9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17</w:t>
      </w:r>
      <w:r w:rsidRPr="002E5A1F">
        <w:rPr>
          <w:rFonts w:ascii="Helvetica Neue" w:hAnsi="Helvetica Neue" w:cs="Times New Roman"/>
          <w:noProof/>
          <w:sz w:val="18"/>
          <w:szCs w:val="24"/>
        </w:rPr>
        <w:tab/>
        <w:t>U.S. Census Bureau. National Mortality Data. 2012.</w:t>
      </w:r>
    </w:p>
    <w:p w14:paraId="45BEB53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18</w:t>
      </w:r>
      <w:r w:rsidRPr="002E5A1F">
        <w:rPr>
          <w:rFonts w:ascii="Helvetica Neue" w:hAnsi="Helvetica Neue" w:cs="Times New Roman"/>
          <w:noProof/>
          <w:sz w:val="18"/>
          <w:szCs w:val="24"/>
        </w:rPr>
        <w:tab/>
        <w:t xml:space="preserve">Little SJ, McLean AR, Spina CA, Richman DD, Havlir D V. Viral dynamics of acute HIV-1 infection. </w:t>
      </w:r>
      <w:r w:rsidRPr="002E5A1F">
        <w:rPr>
          <w:rFonts w:ascii="Helvetica Neue" w:hAnsi="Helvetica Neue" w:cs="Times New Roman"/>
          <w:i/>
          <w:iCs/>
          <w:noProof/>
          <w:sz w:val="18"/>
          <w:szCs w:val="24"/>
        </w:rPr>
        <w:t>J Exp Med</w:t>
      </w:r>
      <w:r w:rsidRPr="002E5A1F">
        <w:rPr>
          <w:rFonts w:ascii="Helvetica Neue" w:hAnsi="Helvetica Neue" w:cs="Times New Roman"/>
          <w:noProof/>
          <w:sz w:val="18"/>
          <w:szCs w:val="24"/>
        </w:rPr>
        <w:t xml:space="preserve"> 1999; </w:t>
      </w:r>
      <w:r w:rsidRPr="002E5A1F">
        <w:rPr>
          <w:rFonts w:ascii="Helvetica Neue" w:hAnsi="Helvetica Neue" w:cs="Times New Roman"/>
          <w:b/>
          <w:bCs/>
          <w:noProof/>
          <w:sz w:val="18"/>
          <w:szCs w:val="24"/>
        </w:rPr>
        <w:t>190</w:t>
      </w:r>
      <w:r w:rsidRPr="002E5A1F">
        <w:rPr>
          <w:rFonts w:ascii="Helvetica Neue" w:hAnsi="Helvetica Neue" w:cs="Times New Roman"/>
          <w:noProof/>
          <w:sz w:val="18"/>
          <w:szCs w:val="24"/>
        </w:rPr>
        <w:t>: 841–50.</w:t>
      </w:r>
    </w:p>
    <w:p w14:paraId="403A5E0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19</w:t>
      </w:r>
      <w:r w:rsidRPr="002E5A1F">
        <w:rPr>
          <w:rFonts w:ascii="Helvetica Neue" w:hAnsi="Helvetica Neue" w:cs="Times New Roman"/>
          <w:noProof/>
          <w:sz w:val="18"/>
          <w:szCs w:val="24"/>
        </w:rPr>
        <w:tab/>
        <w:t xml:space="preserve">Leynaert B, Downs AM, de Vincenzi I. Heterosexual transmission of human immunodeficiency virus: variability of infectivity throughout the course of infection. European Study Group on Heterosexual Transmission of HIV. </w:t>
      </w:r>
      <w:r w:rsidRPr="002E5A1F">
        <w:rPr>
          <w:rFonts w:ascii="Helvetica Neue" w:hAnsi="Helvetica Neue" w:cs="Times New Roman"/>
          <w:i/>
          <w:iCs/>
          <w:noProof/>
          <w:sz w:val="18"/>
          <w:szCs w:val="24"/>
        </w:rPr>
        <w:t>Am J Epidemiol</w:t>
      </w:r>
      <w:r w:rsidRPr="002E5A1F">
        <w:rPr>
          <w:rFonts w:ascii="Helvetica Neue" w:hAnsi="Helvetica Neue" w:cs="Times New Roman"/>
          <w:noProof/>
          <w:sz w:val="18"/>
          <w:szCs w:val="24"/>
        </w:rPr>
        <w:t xml:space="preserve"> 1998; </w:t>
      </w:r>
      <w:r w:rsidRPr="002E5A1F">
        <w:rPr>
          <w:rFonts w:ascii="Helvetica Neue" w:hAnsi="Helvetica Neue" w:cs="Times New Roman"/>
          <w:b/>
          <w:bCs/>
          <w:noProof/>
          <w:sz w:val="18"/>
          <w:szCs w:val="24"/>
        </w:rPr>
        <w:t>148</w:t>
      </w:r>
      <w:r w:rsidRPr="002E5A1F">
        <w:rPr>
          <w:rFonts w:ascii="Helvetica Neue" w:hAnsi="Helvetica Neue" w:cs="Times New Roman"/>
          <w:noProof/>
          <w:sz w:val="18"/>
          <w:szCs w:val="24"/>
        </w:rPr>
        <w:t>: 88–96.</w:t>
      </w:r>
    </w:p>
    <w:p w14:paraId="1A3575E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20</w:t>
      </w:r>
      <w:r w:rsidRPr="002E5A1F">
        <w:rPr>
          <w:rFonts w:ascii="Helvetica Neue" w:hAnsi="Helvetica Neue" w:cs="Times New Roman"/>
          <w:noProof/>
          <w:sz w:val="18"/>
          <w:szCs w:val="24"/>
        </w:rPr>
        <w:tab/>
        <w:t xml:space="preserve">Buchbinder SP, Katz MH, Hessol NA, O’Malley PM, Holmberg SD. Long-term HIV-1 infection without immunologic progression. </w:t>
      </w:r>
      <w:r w:rsidRPr="002E5A1F">
        <w:rPr>
          <w:rFonts w:ascii="Helvetica Neue" w:hAnsi="Helvetica Neue" w:cs="Times New Roman"/>
          <w:i/>
          <w:iCs/>
          <w:noProof/>
          <w:sz w:val="18"/>
          <w:szCs w:val="24"/>
        </w:rPr>
        <w:t>AIDS</w:t>
      </w:r>
      <w:r w:rsidRPr="002E5A1F">
        <w:rPr>
          <w:rFonts w:ascii="Helvetica Neue" w:hAnsi="Helvetica Neue" w:cs="Times New Roman"/>
          <w:noProof/>
          <w:sz w:val="18"/>
          <w:szCs w:val="24"/>
        </w:rPr>
        <w:t xml:space="preserve"> 1994; </w:t>
      </w:r>
      <w:r w:rsidRPr="002E5A1F">
        <w:rPr>
          <w:rFonts w:ascii="Helvetica Neue" w:hAnsi="Helvetica Neue" w:cs="Times New Roman"/>
          <w:b/>
          <w:bCs/>
          <w:noProof/>
          <w:sz w:val="18"/>
          <w:szCs w:val="24"/>
        </w:rPr>
        <w:t>8</w:t>
      </w:r>
      <w:r w:rsidRPr="002E5A1F">
        <w:rPr>
          <w:rFonts w:ascii="Helvetica Neue" w:hAnsi="Helvetica Neue" w:cs="Times New Roman"/>
          <w:noProof/>
          <w:sz w:val="18"/>
          <w:szCs w:val="24"/>
        </w:rPr>
        <w:t>: 1123–8.</w:t>
      </w:r>
    </w:p>
    <w:p w14:paraId="0FF9E0F7"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21</w:t>
      </w:r>
      <w:r w:rsidRPr="002E5A1F">
        <w:rPr>
          <w:rFonts w:ascii="Helvetica Neue" w:hAnsi="Helvetica Neue" w:cs="Times New Roman"/>
          <w:noProof/>
          <w:sz w:val="18"/>
          <w:szCs w:val="24"/>
        </w:rPr>
        <w:tab/>
        <w:t xml:space="preserve">Katz MH, Hessol NA, Buchbinder SP, Hirozawa A, O’Malley P, Holmberg SD. Temporal trends of opportunistic infections and malignancies in homosexual men with AIDS. </w:t>
      </w:r>
      <w:r w:rsidRPr="002E5A1F">
        <w:rPr>
          <w:rFonts w:ascii="Helvetica Neue" w:hAnsi="Helvetica Neue" w:cs="Times New Roman"/>
          <w:i/>
          <w:iCs/>
          <w:noProof/>
          <w:sz w:val="18"/>
          <w:szCs w:val="24"/>
        </w:rPr>
        <w:t>J Infect Dis</w:t>
      </w:r>
      <w:r w:rsidRPr="002E5A1F">
        <w:rPr>
          <w:rFonts w:ascii="Helvetica Neue" w:hAnsi="Helvetica Neue" w:cs="Times New Roman"/>
          <w:noProof/>
          <w:sz w:val="18"/>
          <w:szCs w:val="24"/>
        </w:rPr>
        <w:t xml:space="preserve"> 1994; </w:t>
      </w:r>
      <w:r w:rsidRPr="002E5A1F">
        <w:rPr>
          <w:rFonts w:ascii="Helvetica Neue" w:hAnsi="Helvetica Neue" w:cs="Times New Roman"/>
          <w:b/>
          <w:bCs/>
          <w:noProof/>
          <w:sz w:val="18"/>
          <w:szCs w:val="24"/>
        </w:rPr>
        <w:t>170</w:t>
      </w:r>
      <w:r w:rsidRPr="002E5A1F">
        <w:rPr>
          <w:rFonts w:ascii="Helvetica Neue" w:hAnsi="Helvetica Neue" w:cs="Times New Roman"/>
          <w:noProof/>
          <w:sz w:val="18"/>
          <w:szCs w:val="24"/>
        </w:rPr>
        <w:t>: 198–202.</w:t>
      </w:r>
    </w:p>
    <w:p w14:paraId="00380B5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22</w:t>
      </w:r>
      <w:r w:rsidRPr="002E5A1F">
        <w:rPr>
          <w:rFonts w:ascii="Helvetica Neue" w:hAnsi="Helvetica Neue" w:cs="Times New Roman"/>
          <w:noProof/>
          <w:sz w:val="18"/>
          <w:szCs w:val="24"/>
        </w:rPr>
        <w:tab/>
        <w:t xml:space="preserve">Mugavero MJ, Amico KR, Horn T, Thompson MA. The State of Engagement in HIV Care in the United States: From Cascade to Continuum to Control. </w:t>
      </w:r>
      <w:r w:rsidRPr="002E5A1F">
        <w:rPr>
          <w:rFonts w:ascii="Helvetica Neue" w:hAnsi="Helvetica Neue" w:cs="Times New Roman"/>
          <w:i/>
          <w:iCs/>
          <w:noProof/>
          <w:sz w:val="18"/>
          <w:szCs w:val="24"/>
        </w:rPr>
        <w:t>Clin Infect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57</w:t>
      </w:r>
      <w:r w:rsidRPr="002E5A1F">
        <w:rPr>
          <w:rFonts w:ascii="Helvetica Neue" w:hAnsi="Helvetica Neue" w:cs="Times New Roman"/>
          <w:noProof/>
          <w:sz w:val="18"/>
          <w:szCs w:val="24"/>
        </w:rPr>
        <w:t>: 1164–71.</w:t>
      </w:r>
    </w:p>
    <w:p w14:paraId="0118F25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23</w:t>
      </w:r>
      <w:r w:rsidRPr="002E5A1F">
        <w:rPr>
          <w:rFonts w:ascii="Helvetica Neue" w:hAnsi="Helvetica Neue" w:cs="Times New Roman"/>
          <w:noProof/>
          <w:sz w:val="18"/>
          <w:szCs w:val="24"/>
        </w:rPr>
        <w:tab/>
        <w:t xml:space="preserve">Rosenberg ES, Millett GA, Sullivan PS, del Rio C, Curran JW. Understanding the HIV disparities between </w:t>
      </w:r>
      <w:r w:rsidRPr="002E5A1F">
        <w:rPr>
          <w:rFonts w:ascii="Helvetica Neue" w:hAnsi="Helvetica Neue" w:cs="Times New Roman"/>
          <w:noProof/>
          <w:sz w:val="18"/>
          <w:szCs w:val="24"/>
        </w:rPr>
        <w:lastRenderedPageBreak/>
        <w:t xml:space="preserve">black and white men who have sex with men in the USA using the HIV care continuum: a modelling study. </w:t>
      </w:r>
      <w:r w:rsidRPr="002E5A1F">
        <w:rPr>
          <w:rFonts w:ascii="Helvetica Neue" w:hAnsi="Helvetica Neue" w:cs="Times New Roman"/>
          <w:i/>
          <w:iCs/>
          <w:noProof/>
          <w:sz w:val="18"/>
          <w:szCs w:val="24"/>
        </w:rPr>
        <w:t>Lancet HIV</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1</w:t>
      </w:r>
      <w:r w:rsidRPr="002E5A1F">
        <w:rPr>
          <w:rFonts w:ascii="Helvetica Neue" w:hAnsi="Helvetica Neue" w:cs="Times New Roman"/>
          <w:noProof/>
          <w:sz w:val="18"/>
          <w:szCs w:val="24"/>
        </w:rPr>
        <w:t>: e112–8.</w:t>
      </w:r>
    </w:p>
    <w:p w14:paraId="35168BC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24</w:t>
      </w:r>
      <w:r w:rsidRPr="002E5A1F">
        <w:rPr>
          <w:rFonts w:ascii="Helvetica Neue" w:hAnsi="Helvetica Neue" w:cs="Times New Roman"/>
          <w:noProof/>
          <w:sz w:val="18"/>
          <w:szCs w:val="24"/>
        </w:rPr>
        <w:tab/>
        <w:t xml:space="preserve">Fiebig EW, Wright DJ, Rawal BD,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Dynamics of HIV viremia and antibody seroconversion in plasma donors: implications for diagnosis and staging of primary HIV infection. </w:t>
      </w:r>
      <w:r w:rsidRPr="002E5A1F">
        <w:rPr>
          <w:rFonts w:ascii="Helvetica Neue" w:hAnsi="Helvetica Neue" w:cs="Times New Roman"/>
          <w:i/>
          <w:iCs/>
          <w:noProof/>
          <w:sz w:val="18"/>
          <w:szCs w:val="24"/>
        </w:rPr>
        <w:t>AIDS</w:t>
      </w:r>
      <w:r w:rsidRPr="002E5A1F">
        <w:rPr>
          <w:rFonts w:ascii="Helvetica Neue" w:hAnsi="Helvetica Neue" w:cs="Times New Roman"/>
          <w:noProof/>
          <w:sz w:val="18"/>
          <w:szCs w:val="24"/>
        </w:rPr>
        <w:t xml:space="preserve"> 2003; </w:t>
      </w:r>
      <w:r w:rsidRPr="002E5A1F">
        <w:rPr>
          <w:rFonts w:ascii="Helvetica Neue" w:hAnsi="Helvetica Neue" w:cs="Times New Roman"/>
          <w:b/>
          <w:bCs/>
          <w:noProof/>
          <w:sz w:val="18"/>
          <w:szCs w:val="24"/>
        </w:rPr>
        <w:t>17</w:t>
      </w:r>
      <w:r w:rsidRPr="002E5A1F">
        <w:rPr>
          <w:rFonts w:ascii="Helvetica Neue" w:hAnsi="Helvetica Neue" w:cs="Times New Roman"/>
          <w:noProof/>
          <w:sz w:val="18"/>
          <w:szCs w:val="24"/>
        </w:rPr>
        <w:t>: 1871–9.</w:t>
      </w:r>
    </w:p>
    <w:p w14:paraId="3CFCA5F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25</w:t>
      </w:r>
      <w:r w:rsidRPr="002E5A1F">
        <w:rPr>
          <w:rFonts w:ascii="Helvetica Neue" w:hAnsi="Helvetica Neue" w:cs="Times New Roman"/>
          <w:noProof/>
          <w:sz w:val="18"/>
          <w:szCs w:val="24"/>
        </w:rPr>
        <w:tab/>
        <w:t xml:space="preserve">Beer L, Oster AM, Mattson CL, Skarbinski J, Medical Monitoring Project. Disparities in HIV transmission risk among HIV-infected black and white men who have sex with men, United States, 2009. </w:t>
      </w:r>
      <w:r w:rsidRPr="002E5A1F">
        <w:rPr>
          <w:rFonts w:ascii="Helvetica Neue" w:hAnsi="Helvetica Neue" w:cs="Times New Roman"/>
          <w:i/>
          <w:iCs/>
          <w:noProof/>
          <w:sz w:val="18"/>
          <w:szCs w:val="24"/>
        </w:rPr>
        <w:t>AIDS</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28</w:t>
      </w:r>
      <w:r w:rsidRPr="002E5A1F">
        <w:rPr>
          <w:rFonts w:ascii="Helvetica Neue" w:hAnsi="Helvetica Neue" w:cs="Times New Roman"/>
          <w:noProof/>
          <w:sz w:val="18"/>
          <w:szCs w:val="24"/>
        </w:rPr>
        <w:t>: 105–14.</w:t>
      </w:r>
    </w:p>
    <w:p w14:paraId="4378105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26</w:t>
      </w:r>
      <w:r w:rsidRPr="002E5A1F">
        <w:rPr>
          <w:rFonts w:ascii="Helvetica Neue" w:hAnsi="Helvetica Neue" w:cs="Times New Roman"/>
          <w:noProof/>
          <w:sz w:val="18"/>
          <w:szCs w:val="24"/>
        </w:rPr>
        <w:tab/>
        <w:t xml:space="preserve">Bertolli J, Shouse RL, Beer L,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Using HIV surveillance data to monitor missed opportunities for linkage and engagement in HIV medical care. </w:t>
      </w:r>
      <w:r w:rsidRPr="002E5A1F">
        <w:rPr>
          <w:rFonts w:ascii="Helvetica Neue" w:hAnsi="Helvetica Neue" w:cs="Times New Roman"/>
          <w:i/>
          <w:iCs/>
          <w:noProof/>
          <w:sz w:val="18"/>
          <w:szCs w:val="24"/>
        </w:rPr>
        <w:t>Open AIDS J</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6</w:t>
      </w:r>
      <w:r w:rsidRPr="002E5A1F">
        <w:rPr>
          <w:rFonts w:ascii="Helvetica Neue" w:hAnsi="Helvetica Neue" w:cs="Times New Roman"/>
          <w:noProof/>
          <w:sz w:val="18"/>
          <w:szCs w:val="24"/>
        </w:rPr>
        <w:t>: 131–41.</w:t>
      </w:r>
    </w:p>
    <w:p w14:paraId="7018572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27</w:t>
      </w:r>
      <w:r w:rsidRPr="002E5A1F">
        <w:rPr>
          <w:rFonts w:ascii="Helvetica Neue" w:hAnsi="Helvetica Neue" w:cs="Times New Roman"/>
          <w:noProof/>
          <w:sz w:val="18"/>
          <w:szCs w:val="24"/>
        </w:rPr>
        <w:tab/>
        <w:t xml:space="preserve">Chu H, Gange SJ, Li X,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The effect of HAART on HIV RNA trajectory among treatment-naïve men and women: a segmental Bernoulli/lognormal random effects model with left censoring. </w:t>
      </w:r>
      <w:r w:rsidRPr="002E5A1F">
        <w:rPr>
          <w:rFonts w:ascii="Helvetica Neue" w:hAnsi="Helvetica Neue" w:cs="Times New Roman"/>
          <w:i/>
          <w:iCs/>
          <w:noProof/>
          <w:sz w:val="18"/>
          <w:szCs w:val="24"/>
        </w:rPr>
        <w:t>Epidemiology</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21 Suppl 4</w:t>
      </w:r>
      <w:r w:rsidRPr="002E5A1F">
        <w:rPr>
          <w:rFonts w:ascii="Helvetica Neue" w:hAnsi="Helvetica Neue" w:cs="Times New Roman"/>
          <w:noProof/>
          <w:sz w:val="18"/>
          <w:szCs w:val="24"/>
        </w:rPr>
        <w:t>: S25-34.</w:t>
      </w:r>
    </w:p>
    <w:p w14:paraId="70D4B382"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28</w:t>
      </w:r>
      <w:r w:rsidRPr="002E5A1F">
        <w:rPr>
          <w:rFonts w:ascii="Helvetica Neue" w:hAnsi="Helvetica Neue" w:cs="Times New Roman"/>
          <w:noProof/>
          <w:sz w:val="18"/>
          <w:szCs w:val="24"/>
        </w:rPr>
        <w:tab/>
        <w:t xml:space="preserve">Chun T-W, Carruth L, Finzi D,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Quantification of latent tissue reservoirs and total body viral load in HIV-1 infection. </w:t>
      </w:r>
      <w:r w:rsidRPr="002E5A1F">
        <w:rPr>
          <w:rFonts w:ascii="Helvetica Neue" w:hAnsi="Helvetica Neue" w:cs="Times New Roman"/>
          <w:i/>
          <w:iCs/>
          <w:noProof/>
          <w:sz w:val="18"/>
          <w:szCs w:val="24"/>
        </w:rPr>
        <w:t>Nature</w:t>
      </w:r>
      <w:r w:rsidRPr="002E5A1F">
        <w:rPr>
          <w:rFonts w:ascii="Helvetica Neue" w:hAnsi="Helvetica Neue" w:cs="Times New Roman"/>
          <w:noProof/>
          <w:sz w:val="18"/>
          <w:szCs w:val="24"/>
        </w:rPr>
        <w:t xml:space="preserve"> 1997; </w:t>
      </w:r>
      <w:r w:rsidRPr="002E5A1F">
        <w:rPr>
          <w:rFonts w:ascii="Helvetica Neue" w:hAnsi="Helvetica Neue" w:cs="Times New Roman"/>
          <w:b/>
          <w:bCs/>
          <w:noProof/>
          <w:sz w:val="18"/>
          <w:szCs w:val="24"/>
        </w:rPr>
        <w:t>387</w:t>
      </w:r>
      <w:r w:rsidRPr="002E5A1F">
        <w:rPr>
          <w:rFonts w:ascii="Helvetica Neue" w:hAnsi="Helvetica Neue" w:cs="Times New Roman"/>
          <w:noProof/>
          <w:sz w:val="18"/>
          <w:szCs w:val="24"/>
        </w:rPr>
        <w:t>: 183–8.</w:t>
      </w:r>
    </w:p>
    <w:p w14:paraId="2AF7668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29</w:t>
      </w:r>
      <w:r w:rsidRPr="002E5A1F">
        <w:rPr>
          <w:rFonts w:ascii="Helvetica Neue" w:hAnsi="Helvetica Neue" w:cs="Times New Roman"/>
          <w:noProof/>
          <w:sz w:val="18"/>
          <w:szCs w:val="24"/>
        </w:rPr>
        <w:tab/>
        <w:t xml:space="preserve">Hall HI, Frazier EL, Rhodes P,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Differences in Human Immunodeficiency Virus Care and Treatment Among Subpopulations in the United States. </w:t>
      </w:r>
      <w:r w:rsidRPr="002E5A1F">
        <w:rPr>
          <w:rFonts w:ascii="Helvetica Neue" w:hAnsi="Helvetica Neue" w:cs="Times New Roman"/>
          <w:i/>
          <w:iCs/>
          <w:noProof/>
          <w:sz w:val="18"/>
          <w:szCs w:val="24"/>
        </w:rPr>
        <w:t>JAMA Intern Med</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173</w:t>
      </w:r>
      <w:r w:rsidRPr="002E5A1F">
        <w:rPr>
          <w:rFonts w:ascii="Helvetica Neue" w:hAnsi="Helvetica Neue" w:cs="Times New Roman"/>
          <w:noProof/>
          <w:sz w:val="18"/>
          <w:szCs w:val="24"/>
        </w:rPr>
        <w:t>: 1337–44.</w:t>
      </w:r>
    </w:p>
    <w:p w14:paraId="702637D0"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30</w:t>
      </w:r>
      <w:r w:rsidRPr="002E5A1F">
        <w:rPr>
          <w:rFonts w:ascii="Helvetica Neue" w:hAnsi="Helvetica Neue" w:cs="Times New Roman"/>
          <w:noProof/>
          <w:sz w:val="18"/>
          <w:szCs w:val="24"/>
        </w:rPr>
        <w:tab/>
        <w:t xml:space="preserve">Vittinghoff E, Douglas J, Judson F, McKirnan D, MacQueen K, Buchbinder SP. Per-contact risk of human immunodeficiency virus transmission between male sexual partners. </w:t>
      </w:r>
      <w:r w:rsidRPr="002E5A1F">
        <w:rPr>
          <w:rFonts w:ascii="Helvetica Neue" w:hAnsi="Helvetica Neue" w:cs="Times New Roman"/>
          <w:i/>
          <w:iCs/>
          <w:noProof/>
          <w:sz w:val="18"/>
          <w:szCs w:val="24"/>
        </w:rPr>
        <w:t>Am J Epidemiol</w:t>
      </w:r>
      <w:r w:rsidRPr="002E5A1F">
        <w:rPr>
          <w:rFonts w:ascii="Helvetica Neue" w:hAnsi="Helvetica Neue" w:cs="Times New Roman"/>
          <w:noProof/>
          <w:sz w:val="18"/>
          <w:szCs w:val="24"/>
        </w:rPr>
        <w:t xml:space="preserve"> 1999; </w:t>
      </w:r>
      <w:r w:rsidRPr="002E5A1F">
        <w:rPr>
          <w:rFonts w:ascii="Helvetica Neue" w:hAnsi="Helvetica Neue" w:cs="Times New Roman"/>
          <w:b/>
          <w:bCs/>
          <w:noProof/>
          <w:sz w:val="18"/>
          <w:szCs w:val="24"/>
        </w:rPr>
        <w:t>150</w:t>
      </w:r>
      <w:r w:rsidRPr="002E5A1F">
        <w:rPr>
          <w:rFonts w:ascii="Helvetica Neue" w:hAnsi="Helvetica Neue" w:cs="Times New Roman"/>
          <w:noProof/>
          <w:sz w:val="18"/>
          <w:szCs w:val="24"/>
        </w:rPr>
        <w:t>: 306–11.</w:t>
      </w:r>
    </w:p>
    <w:p w14:paraId="05382BC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31</w:t>
      </w:r>
      <w:r w:rsidRPr="002E5A1F">
        <w:rPr>
          <w:rFonts w:ascii="Helvetica Neue" w:hAnsi="Helvetica Neue" w:cs="Times New Roman"/>
          <w:noProof/>
          <w:sz w:val="18"/>
          <w:szCs w:val="24"/>
        </w:rPr>
        <w:tab/>
        <w:t xml:space="preserve">Wilson DP, Law MG, Grulich AE, Cooper DA, Kaldor JM. Relation between HIV viral load and infectiousness: a model-based analysis. </w:t>
      </w:r>
      <w:r w:rsidRPr="002E5A1F">
        <w:rPr>
          <w:rFonts w:ascii="Helvetica Neue" w:hAnsi="Helvetica Neue" w:cs="Times New Roman"/>
          <w:i/>
          <w:iCs/>
          <w:noProof/>
          <w:sz w:val="18"/>
          <w:szCs w:val="24"/>
        </w:rPr>
        <w:t>Lancet</w:t>
      </w:r>
      <w:r w:rsidRPr="002E5A1F">
        <w:rPr>
          <w:rFonts w:ascii="Helvetica Neue" w:hAnsi="Helvetica Neue" w:cs="Times New Roman"/>
          <w:noProof/>
          <w:sz w:val="18"/>
          <w:szCs w:val="24"/>
        </w:rPr>
        <w:t xml:space="preserve"> 2008; </w:t>
      </w:r>
      <w:r w:rsidRPr="002E5A1F">
        <w:rPr>
          <w:rFonts w:ascii="Helvetica Neue" w:hAnsi="Helvetica Neue" w:cs="Times New Roman"/>
          <w:b/>
          <w:bCs/>
          <w:noProof/>
          <w:sz w:val="18"/>
          <w:szCs w:val="24"/>
        </w:rPr>
        <w:t>372</w:t>
      </w:r>
      <w:r w:rsidRPr="002E5A1F">
        <w:rPr>
          <w:rFonts w:ascii="Helvetica Neue" w:hAnsi="Helvetica Neue" w:cs="Times New Roman"/>
          <w:noProof/>
          <w:sz w:val="18"/>
          <w:szCs w:val="24"/>
        </w:rPr>
        <w:t>: 314–20.</w:t>
      </w:r>
    </w:p>
    <w:p w14:paraId="56F4965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32</w:t>
      </w:r>
      <w:r w:rsidRPr="002E5A1F">
        <w:rPr>
          <w:rFonts w:ascii="Helvetica Neue" w:hAnsi="Helvetica Neue" w:cs="Times New Roman"/>
          <w:noProof/>
          <w:sz w:val="18"/>
          <w:szCs w:val="24"/>
        </w:rPr>
        <w:tab/>
        <w:t xml:space="preserve">Bellan SE, Dushoff J, Galvani AP, Meyers LA. Reassessment of HIV-1 acute phase infectivity: accounting for heterogeneity and study design with simulated cohorts. </w:t>
      </w:r>
      <w:r w:rsidRPr="002E5A1F">
        <w:rPr>
          <w:rFonts w:ascii="Helvetica Neue" w:hAnsi="Helvetica Neue" w:cs="Times New Roman"/>
          <w:i/>
          <w:iCs/>
          <w:noProof/>
          <w:sz w:val="18"/>
          <w:szCs w:val="24"/>
        </w:rPr>
        <w:t>PLoS Med</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12</w:t>
      </w:r>
      <w:r w:rsidRPr="002E5A1F">
        <w:rPr>
          <w:rFonts w:ascii="Helvetica Neue" w:hAnsi="Helvetica Neue" w:cs="Times New Roman"/>
          <w:noProof/>
          <w:sz w:val="18"/>
          <w:szCs w:val="24"/>
        </w:rPr>
        <w:t>: e1001801.</w:t>
      </w:r>
    </w:p>
    <w:p w14:paraId="0039272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33</w:t>
      </w:r>
      <w:r w:rsidRPr="002E5A1F">
        <w:rPr>
          <w:rFonts w:ascii="Helvetica Neue" w:hAnsi="Helvetica Neue" w:cs="Times New Roman"/>
          <w:noProof/>
          <w:sz w:val="18"/>
          <w:szCs w:val="24"/>
        </w:rPr>
        <w:tab/>
        <w:t xml:space="preserve">Varghese B, Maher JE, Peterman TA, Branson BM, Steketee RW. Reducing the risk of sexual HIV transmission: quantifying the per-act risk for HIV on the basis of choice of partner, sex act, and condom use.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2002; </w:t>
      </w:r>
      <w:r w:rsidRPr="002E5A1F">
        <w:rPr>
          <w:rFonts w:ascii="Helvetica Neue" w:hAnsi="Helvetica Neue" w:cs="Times New Roman"/>
          <w:b/>
          <w:bCs/>
          <w:noProof/>
          <w:sz w:val="18"/>
          <w:szCs w:val="24"/>
        </w:rPr>
        <w:t>29</w:t>
      </w:r>
      <w:r w:rsidRPr="002E5A1F">
        <w:rPr>
          <w:rFonts w:ascii="Helvetica Neue" w:hAnsi="Helvetica Neue" w:cs="Times New Roman"/>
          <w:noProof/>
          <w:sz w:val="18"/>
          <w:szCs w:val="24"/>
        </w:rPr>
        <w:t>: 38–43.</w:t>
      </w:r>
    </w:p>
    <w:p w14:paraId="2BA0EEC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34</w:t>
      </w:r>
      <w:r w:rsidRPr="002E5A1F">
        <w:rPr>
          <w:rFonts w:ascii="Helvetica Neue" w:hAnsi="Helvetica Neue" w:cs="Times New Roman"/>
          <w:noProof/>
          <w:sz w:val="18"/>
          <w:szCs w:val="24"/>
        </w:rPr>
        <w:tab/>
        <w:t xml:space="preserve">Weller SC, Davis-Beaty K. Condom effectiveness in reducing heterosexual HIV transmission. </w:t>
      </w:r>
      <w:r w:rsidRPr="002E5A1F">
        <w:rPr>
          <w:rFonts w:ascii="Helvetica Neue" w:hAnsi="Helvetica Neue" w:cs="Times New Roman"/>
          <w:i/>
          <w:iCs/>
          <w:noProof/>
          <w:sz w:val="18"/>
          <w:szCs w:val="24"/>
        </w:rPr>
        <w:t>Cochrane Database Syst Rev</w:t>
      </w:r>
      <w:r w:rsidRPr="002E5A1F">
        <w:rPr>
          <w:rFonts w:ascii="Helvetica Neue" w:hAnsi="Helvetica Neue" w:cs="Times New Roman"/>
          <w:noProof/>
          <w:sz w:val="18"/>
          <w:szCs w:val="24"/>
        </w:rPr>
        <w:t xml:space="preserve"> 2002; : CD003255.</w:t>
      </w:r>
    </w:p>
    <w:p w14:paraId="57F5CED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35</w:t>
      </w:r>
      <w:r w:rsidRPr="002E5A1F">
        <w:rPr>
          <w:rFonts w:ascii="Helvetica Neue" w:hAnsi="Helvetica Neue" w:cs="Times New Roman"/>
          <w:noProof/>
          <w:sz w:val="18"/>
          <w:szCs w:val="24"/>
        </w:rPr>
        <w:tab/>
        <w:t xml:space="preserve">Chesson HW, Pinkerton SD. Sexually transmitted diseases and the increased risk for HIV transmission: Implications for cost-effectiveness analyses of sexually transmitted disease prevention interventions. </w:t>
      </w:r>
      <w:r w:rsidRPr="002E5A1F">
        <w:rPr>
          <w:rFonts w:ascii="Helvetica Neue" w:hAnsi="Helvetica Neue" w:cs="Times New Roman"/>
          <w:i/>
          <w:iCs/>
          <w:noProof/>
          <w:sz w:val="18"/>
          <w:szCs w:val="24"/>
        </w:rPr>
        <w:t>J Acquir Immune Defic Syndr</w:t>
      </w:r>
      <w:r w:rsidRPr="002E5A1F">
        <w:rPr>
          <w:rFonts w:ascii="Helvetica Neue" w:hAnsi="Helvetica Neue" w:cs="Times New Roman"/>
          <w:noProof/>
          <w:sz w:val="18"/>
          <w:szCs w:val="24"/>
        </w:rPr>
        <w:t xml:space="preserve"> 2000;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48–56.</w:t>
      </w:r>
    </w:p>
    <w:p w14:paraId="0C0D085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36</w:t>
      </w:r>
      <w:r w:rsidRPr="002E5A1F">
        <w:rPr>
          <w:rFonts w:ascii="Helvetica Neue" w:hAnsi="Helvetica Neue" w:cs="Times New Roman"/>
          <w:noProof/>
          <w:sz w:val="18"/>
          <w:szCs w:val="24"/>
        </w:rPr>
        <w:tab/>
        <w:t xml:space="preserve">Vaughan AS, Kelley CF, Luisi N,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An application of propensity score weighting to quantify the causal effect of rectal sexually transmitted infections on incident HIV among men who have sex with men. </w:t>
      </w:r>
      <w:r w:rsidRPr="002E5A1F">
        <w:rPr>
          <w:rFonts w:ascii="Helvetica Neue" w:hAnsi="Helvetica Neue" w:cs="Times New Roman"/>
          <w:i/>
          <w:iCs/>
          <w:noProof/>
          <w:sz w:val="18"/>
          <w:szCs w:val="24"/>
        </w:rPr>
        <w:t>BMC Med Res Methodol</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15</w:t>
      </w:r>
      <w:r w:rsidRPr="002E5A1F">
        <w:rPr>
          <w:rFonts w:ascii="Helvetica Neue" w:hAnsi="Helvetica Neue" w:cs="Times New Roman"/>
          <w:noProof/>
          <w:sz w:val="18"/>
          <w:szCs w:val="24"/>
        </w:rPr>
        <w:t>: 25.</w:t>
      </w:r>
    </w:p>
    <w:p w14:paraId="6B04C8B7"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37</w:t>
      </w:r>
      <w:r w:rsidRPr="002E5A1F">
        <w:rPr>
          <w:rFonts w:ascii="Helvetica Neue" w:hAnsi="Helvetica Neue" w:cs="Times New Roman"/>
          <w:noProof/>
          <w:sz w:val="18"/>
          <w:szCs w:val="24"/>
        </w:rPr>
        <w:tab/>
        <w:t xml:space="preserve">Pathela P, Braunstein SL, Blank S, Schillinger JA. HIV Incidence Among Men With and Those Without Sexually Transmitted Rectal Infections: Estimates From Matching Against an HIV Case Registry. </w:t>
      </w:r>
      <w:r w:rsidRPr="002E5A1F">
        <w:rPr>
          <w:rFonts w:ascii="Helvetica Neue" w:hAnsi="Helvetica Neue" w:cs="Times New Roman"/>
          <w:i/>
          <w:iCs/>
          <w:noProof/>
          <w:sz w:val="18"/>
          <w:szCs w:val="24"/>
        </w:rPr>
        <w:t>Clin Infect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57</w:t>
      </w:r>
      <w:r w:rsidRPr="002E5A1F">
        <w:rPr>
          <w:rFonts w:ascii="Helvetica Neue" w:hAnsi="Helvetica Neue" w:cs="Times New Roman"/>
          <w:noProof/>
          <w:sz w:val="18"/>
          <w:szCs w:val="24"/>
        </w:rPr>
        <w:t>: 1203–9.</w:t>
      </w:r>
    </w:p>
    <w:p w14:paraId="319504A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38</w:t>
      </w:r>
      <w:r w:rsidRPr="002E5A1F">
        <w:rPr>
          <w:rFonts w:ascii="Helvetica Neue" w:hAnsi="Helvetica Neue" w:cs="Times New Roman"/>
          <w:noProof/>
          <w:sz w:val="18"/>
          <w:szCs w:val="24"/>
        </w:rPr>
        <w:tab/>
        <w:t xml:space="preserve">Chesson HW, Bernstein KT, Gift TL, Marcus JL, Pipkin S, Kent CK. The cost-effectiveness of screening men who have sex with men for rectal chlamydial and gonococcal infection to prevent HIV Infection.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40</w:t>
      </w:r>
      <w:r w:rsidRPr="002E5A1F">
        <w:rPr>
          <w:rFonts w:ascii="Helvetica Neue" w:hAnsi="Helvetica Neue" w:cs="Times New Roman"/>
          <w:noProof/>
          <w:sz w:val="18"/>
          <w:szCs w:val="24"/>
        </w:rPr>
        <w:t>: 366–71.</w:t>
      </w:r>
    </w:p>
    <w:p w14:paraId="3CE02AF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39</w:t>
      </w:r>
      <w:r w:rsidRPr="002E5A1F">
        <w:rPr>
          <w:rFonts w:ascii="Helvetica Neue" w:hAnsi="Helvetica Neue" w:cs="Times New Roman"/>
          <w:noProof/>
          <w:sz w:val="18"/>
          <w:szCs w:val="24"/>
        </w:rPr>
        <w:tab/>
        <w:t xml:space="preserve">Wall KM, Kilembe W, Vwalika B,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Risk of heterosexual HIV transmission attributable to sexually transmitted infections and non-specific genital inflammation in Zambian discordant couples, 1994–2012. </w:t>
      </w:r>
      <w:r w:rsidRPr="002E5A1F">
        <w:rPr>
          <w:rFonts w:ascii="Helvetica Neue" w:hAnsi="Helvetica Neue" w:cs="Times New Roman"/>
          <w:i/>
          <w:iCs/>
          <w:noProof/>
          <w:sz w:val="18"/>
          <w:szCs w:val="24"/>
        </w:rPr>
        <w:t>Int J Epidemiol</w:t>
      </w:r>
      <w:r w:rsidRPr="002E5A1F">
        <w:rPr>
          <w:rFonts w:ascii="Helvetica Neue" w:hAnsi="Helvetica Neue" w:cs="Times New Roman"/>
          <w:noProof/>
          <w:sz w:val="18"/>
          <w:szCs w:val="24"/>
        </w:rPr>
        <w:t xml:space="preserve"> 2017; </w:t>
      </w:r>
      <w:r w:rsidRPr="002E5A1F">
        <w:rPr>
          <w:rFonts w:ascii="Helvetica Neue" w:hAnsi="Helvetica Neue" w:cs="Times New Roman"/>
          <w:b/>
          <w:bCs/>
          <w:noProof/>
          <w:sz w:val="18"/>
          <w:szCs w:val="24"/>
        </w:rPr>
        <w:t>46</w:t>
      </w:r>
      <w:r w:rsidRPr="002E5A1F">
        <w:rPr>
          <w:rFonts w:ascii="Helvetica Neue" w:hAnsi="Helvetica Neue" w:cs="Times New Roman"/>
          <w:noProof/>
          <w:sz w:val="18"/>
          <w:szCs w:val="24"/>
        </w:rPr>
        <w:t>: 1593–606.</w:t>
      </w:r>
    </w:p>
    <w:p w14:paraId="7EDE588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40</w:t>
      </w:r>
      <w:r w:rsidRPr="002E5A1F">
        <w:rPr>
          <w:rFonts w:ascii="Helvetica Neue" w:hAnsi="Helvetica Neue" w:cs="Times New Roman"/>
          <w:noProof/>
          <w:sz w:val="18"/>
          <w:szCs w:val="24"/>
        </w:rPr>
        <w:tab/>
        <w:t xml:space="preserve">Johnson LF, Dorrington RE, Bradshaw D, Coetzee DJ. The role of sexually transmitted infections in the evolution of the South African HIV epidemic. </w:t>
      </w:r>
      <w:r w:rsidRPr="002E5A1F">
        <w:rPr>
          <w:rFonts w:ascii="Helvetica Neue" w:hAnsi="Helvetica Neue" w:cs="Times New Roman"/>
          <w:i/>
          <w:iCs/>
          <w:noProof/>
          <w:sz w:val="18"/>
          <w:szCs w:val="24"/>
        </w:rPr>
        <w:t>Trop Med Int Heal</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17</w:t>
      </w:r>
      <w:r w:rsidRPr="002E5A1F">
        <w:rPr>
          <w:rFonts w:ascii="Helvetica Neue" w:hAnsi="Helvetica Neue" w:cs="Times New Roman"/>
          <w:noProof/>
          <w:sz w:val="18"/>
          <w:szCs w:val="24"/>
        </w:rPr>
        <w:t>: 161–8.</w:t>
      </w:r>
    </w:p>
    <w:p w14:paraId="32F7B985"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41</w:t>
      </w:r>
      <w:r w:rsidRPr="002E5A1F">
        <w:rPr>
          <w:rFonts w:ascii="Helvetica Neue" w:hAnsi="Helvetica Neue" w:cs="Times New Roman"/>
          <w:noProof/>
          <w:sz w:val="18"/>
          <w:szCs w:val="24"/>
        </w:rPr>
        <w:tab/>
        <w:t xml:space="preserve">Pinkerton SD, Layde PM, DiFranceisco W, Chesson HW, NIMH Multisite HIV Prevention Trial Group. All STDs are not created equal: An analysis of the differential effects of sexual behaviour changes on different STDs. </w:t>
      </w:r>
      <w:r w:rsidRPr="002E5A1F">
        <w:rPr>
          <w:rFonts w:ascii="Helvetica Neue" w:hAnsi="Helvetica Neue" w:cs="Times New Roman"/>
          <w:i/>
          <w:iCs/>
          <w:noProof/>
          <w:sz w:val="18"/>
          <w:szCs w:val="24"/>
        </w:rPr>
        <w:t>Int J STD AIDS</w:t>
      </w:r>
      <w:r w:rsidRPr="002E5A1F">
        <w:rPr>
          <w:rFonts w:ascii="Helvetica Neue" w:hAnsi="Helvetica Neue" w:cs="Times New Roman"/>
          <w:noProof/>
          <w:sz w:val="18"/>
          <w:szCs w:val="24"/>
        </w:rPr>
        <w:t xml:space="preserve"> 2003; </w:t>
      </w:r>
      <w:r w:rsidRPr="002E5A1F">
        <w:rPr>
          <w:rFonts w:ascii="Helvetica Neue" w:hAnsi="Helvetica Neue" w:cs="Times New Roman"/>
          <w:b/>
          <w:bCs/>
          <w:noProof/>
          <w:sz w:val="18"/>
          <w:szCs w:val="24"/>
        </w:rPr>
        <w:t>14</w:t>
      </w:r>
      <w:r w:rsidRPr="002E5A1F">
        <w:rPr>
          <w:rFonts w:ascii="Helvetica Neue" w:hAnsi="Helvetica Neue" w:cs="Times New Roman"/>
          <w:noProof/>
          <w:sz w:val="18"/>
          <w:szCs w:val="24"/>
        </w:rPr>
        <w:t>: 320–8.</w:t>
      </w:r>
    </w:p>
    <w:p w14:paraId="6494E1E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42</w:t>
      </w:r>
      <w:r w:rsidRPr="002E5A1F">
        <w:rPr>
          <w:rFonts w:ascii="Helvetica Neue" w:hAnsi="Helvetica Neue" w:cs="Times New Roman"/>
          <w:noProof/>
          <w:sz w:val="18"/>
          <w:szCs w:val="24"/>
        </w:rPr>
        <w:tab/>
        <w:t xml:space="preserve">Pinkerton SD, Chesson HW, Layde PM, National Institute of Mental Health Multisite HIV Prevention Trial Group. Utility of behavioral changes as markers of sexually transmitted disease risk reduction in sexually transmitted disease/HIV prevention trials. </w:t>
      </w:r>
      <w:r w:rsidRPr="002E5A1F">
        <w:rPr>
          <w:rFonts w:ascii="Helvetica Neue" w:hAnsi="Helvetica Neue" w:cs="Times New Roman"/>
          <w:i/>
          <w:iCs/>
          <w:noProof/>
          <w:sz w:val="18"/>
          <w:szCs w:val="24"/>
        </w:rPr>
        <w:t>J Acquir Immune Defic Syndr</w:t>
      </w:r>
      <w:r w:rsidRPr="002E5A1F">
        <w:rPr>
          <w:rFonts w:ascii="Helvetica Neue" w:hAnsi="Helvetica Neue" w:cs="Times New Roman"/>
          <w:noProof/>
          <w:sz w:val="18"/>
          <w:szCs w:val="24"/>
        </w:rPr>
        <w:t xml:space="preserve"> 2002; </w:t>
      </w:r>
      <w:r w:rsidRPr="002E5A1F">
        <w:rPr>
          <w:rFonts w:ascii="Helvetica Neue" w:hAnsi="Helvetica Neue" w:cs="Times New Roman"/>
          <w:b/>
          <w:bCs/>
          <w:noProof/>
          <w:sz w:val="18"/>
          <w:szCs w:val="24"/>
        </w:rPr>
        <w:t>31</w:t>
      </w:r>
      <w:r w:rsidRPr="002E5A1F">
        <w:rPr>
          <w:rFonts w:ascii="Helvetica Neue" w:hAnsi="Helvetica Neue" w:cs="Times New Roman"/>
          <w:noProof/>
          <w:sz w:val="18"/>
          <w:szCs w:val="24"/>
        </w:rPr>
        <w:t>: 71–9.</w:t>
      </w:r>
    </w:p>
    <w:p w14:paraId="3EAA6847"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43</w:t>
      </w:r>
      <w:r w:rsidRPr="002E5A1F">
        <w:rPr>
          <w:rFonts w:ascii="Helvetica Neue" w:hAnsi="Helvetica Neue" w:cs="Times New Roman"/>
          <w:noProof/>
          <w:sz w:val="18"/>
          <w:szCs w:val="24"/>
        </w:rPr>
        <w:tab/>
        <w:t xml:space="preserve">Stigum H, Magnus P, Veierod M, Bakketeig LS. Impact on Sexually Transmitted Disease Spread of Increased Condom Use by Young Females, 1987–1992. </w:t>
      </w:r>
      <w:r w:rsidRPr="002E5A1F">
        <w:rPr>
          <w:rFonts w:ascii="Helvetica Neue" w:hAnsi="Helvetica Neue" w:cs="Times New Roman"/>
          <w:i/>
          <w:iCs/>
          <w:noProof/>
          <w:sz w:val="18"/>
          <w:szCs w:val="24"/>
        </w:rPr>
        <w:t>Int J Epidem</w:t>
      </w:r>
      <w:r w:rsidRPr="002E5A1F">
        <w:rPr>
          <w:rFonts w:ascii="Helvetica Neue" w:hAnsi="Helvetica Neue" w:cs="Times New Roman"/>
          <w:noProof/>
          <w:sz w:val="18"/>
          <w:szCs w:val="24"/>
        </w:rPr>
        <w:t xml:space="preserve"> 1995;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813–20.</w:t>
      </w:r>
    </w:p>
    <w:p w14:paraId="2A6F4915"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44</w:t>
      </w:r>
      <w:r w:rsidRPr="002E5A1F">
        <w:rPr>
          <w:rFonts w:ascii="Helvetica Neue" w:hAnsi="Helvetica Neue" w:cs="Times New Roman"/>
          <w:noProof/>
          <w:sz w:val="18"/>
          <w:szCs w:val="24"/>
        </w:rPr>
        <w:tab/>
        <w:t xml:space="preserve">Vickerman P, Watts C, Peeling RW, Mabey D, Alary M. Modelling the cost effectiveness of rapid point of </w:t>
      </w:r>
      <w:r w:rsidRPr="002E5A1F">
        <w:rPr>
          <w:rFonts w:ascii="Helvetica Neue" w:hAnsi="Helvetica Neue" w:cs="Times New Roman"/>
          <w:noProof/>
          <w:sz w:val="18"/>
          <w:szCs w:val="24"/>
        </w:rPr>
        <w:lastRenderedPageBreak/>
        <w:t xml:space="preserve">care diagnostic tests for the control of HIV and other sexually transmitted infections among female sex workers.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2006; </w:t>
      </w:r>
      <w:r w:rsidRPr="002E5A1F">
        <w:rPr>
          <w:rFonts w:ascii="Helvetica Neue" w:hAnsi="Helvetica Neue" w:cs="Times New Roman"/>
          <w:b/>
          <w:bCs/>
          <w:noProof/>
          <w:sz w:val="18"/>
          <w:szCs w:val="24"/>
        </w:rPr>
        <w:t>82</w:t>
      </w:r>
      <w:r w:rsidRPr="002E5A1F">
        <w:rPr>
          <w:rFonts w:ascii="Helvetica Neue" w:hAnsi="Helvetica Neue" w:cs="Times New Roman"/>
          <w:noProof/>
          <w:sz w:val="18"/>
          <w:szCs w:val="24"/>
        </w:rPr>
        <w:t>: 403–12.</w:t>
      </w:r>
    </w:p>
    <w:p w14:paraId="0A53639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45</w:t>
      </w:r>
      <w:r w:rsidRPr="002E5A1F">
        <w:rPr>
          <w:rFonts w:ascii="Helvetica Neue" w:hAnsi="Helvetica Neue" w:cs="Times New Roman"/>
          <w:noProof/>
          <w:sz w:val="18"/>
          <w:szCs w:val="24"/>
        </w:rPr>
        <w:tab/>
        <w:t xml:space="preserve">Althaus CL, Heijne JCM, Herzog SA, Roellin A, Low N. Individual and population level effects of partner notification for Chlamydia trachomatis. </w:t>
      </w:r>
      <w:r w:rsidRPr="002E5A1F">
        <w:rPr>
          <w:rFonts w:ascii="Helvetica Neue" w:hAnsi="Helvetica Neue" w:cs="Times New Roman"/>
          <w:i/>
          <w:iCs/>
          <w:noProof/>
          <w:sz w:val="18"/>
          <w:szCs w:val="24"/>
        </w:rPr>
        <w:t>PLoS One</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7</w:t>
      </w:r>
      <w:r w:rsidRPr="002E5A1F">
        <w:rPr>
          <w:rFonts w:ascii="Helvetica Neue" w:hAnsi="Helvetica Neue" w:cs="Times New Roman"/>
          <w:noProof/>
          <w:sz w:val="18"/>
          <w:szCs w:val="24"/>
        </w:rPr>
        <w:t>: e51438.</w:t>
      </w:r>
    </w:p>
    <w:p w14:paraId="3C1FDA0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46</w:t>
      </w:r>
      <w:r w:rsidRPr="002E5A1F">
        <w:rPr>
          <w:rFonts w:ascii="Helvetica Neue" w:hAnsi="Helvetica Neue" w:cs="Times New Roman"/>
          <w:noProof/>
          <w:sz w:val="18"/>
          <w:szCs w:val="24"/>
        </w:rPr>
        <w:tab/>
        <w:t xml:space="preserve">Andersen B, Gundgaard J, Kretzschmar M, Olsen J, Welte R, Oster-Gaard L. Prediction of costs, effectiveness, and disease control of a population-based program using home sampling for diagnosis of urogenital Chlamydia trachomatis infections.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2006; </w:t>
      </w:r>
      <w:r w:rsidRPr="002E5A1F">
        <w:rPr>
          <w:rFonts w:ascii="Helvetica Neue" w:hAnsi="Helvetica Neue" w:cs="Times New Roman"/>
          <w:b/>
          <w:bCs/>
          <w:noProof/>
          <w:sz w:val="18"/>
          <w:szCs w:val="24"/>
        </w:rPr>
        <w:t>33</w:t>
      </w:r>
      <w:r w:rsidRPr="002E5A1F">
        <w:rPr>
          <w:rFonts w:ascii="Helvetica Neue" w:hAnsi="Helvetica Neue" w:cs="Times New Roman"/>
          <w:noProof/>
          <w:sz w:val="18"/>
          <w:szCs w:val="24"/>
        </w:rPr>
        <w:t>: 407–15.</w:t>
      </w:r>
    </w:p>
    <w:p w14:paraId="2CFC911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47</w:t>
      </w:r>
      <w:r w:rsidRPr="002E5A1F">
        <w:rPr>
          <w:rFonts w:ascii="Helvetica Neue" w:hAnsi="Helvetica Neue" w:cs="Times New Roman"/>
          <w:noProof/>
          <w:sz w:val="18"/>
          <w:szCs w:val="24"/>
        </w:rPr>
        <w:tab/>
        <w:t xml:space="preserve">Davies B, Anderson S-J, Turner KME, Ward H. How robust are the natural history parameters used in chlamydia transmission dynamic models? A systematic review. </w:t>
      </w:r>
      <w:r w:rsidRPr="002E5A1F">
        <w:rPr>
          <w:rFonts w:ascii="Helvetica Neue" w:hAnsi="Helvetica Neue" w:cs="Times New Roman"/>
          <w:i/>
          <w:iCs/>
          <w:noProof/>
          <w:sz w:val="18"/>
          <w:szCs w:val="24"/>
        </w:rPr>
        <w:t>Theor Biol Med Model</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11</w:t>
      </w:r>
      <w:r w:rsidRPr="002E5A1F">
        <w:rPr>
          <w:rFonts w:ascii="Helvetica Neue" w:hAnsi="Helvetica Neue" w:cs="Times New Roman"/>
          <w:noProof/>
          <w:sz w:val="18"/>
          <w:szCs w:val="24"/>
        </w:rPr>
        <w:t>: 8.</w:t>
      </w:r>
    </w:p>
    <w:p w14:paraId="705708E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48</w:t>
      </w:r>
      <w:r w:rsidRPr="002E5A1F">
        <w:rPr>
          <w:rFonts w:ascii="Helvetica Neue" w:hAnsi="Helvetica Neue" w:cs="Times New Roman"/>
          <w:noProof/>
          <w:sz w:val="18"/>
          <w:szCs w:val="24"/>
        </w:rPr>
        <w:tab/>
        <w:t xml:space="preserve">Heijne JCM, Herzog SA, Althaus CL, Tao G, Kent CK, Low N. Insights into the timing of repeated testing after treatment for Chlamydia trachomatis: data and modelling study.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89</w:t>
      </w:r>
      <w:r w:rsidRPr="002E5A1F">
        <w:rPr>
          <w:rFonts w:ascii="Helvetica Neue" w:hAnsi="Helvetica Neue" w:cs="Times New Roman"/>
          <w:noProof/>
          <w:sz w:val="18"/>
          <w:szCs w:val="24"/>
        </w:rPr>
        <w:t>: 57–62.</w:t>
      </w:r>
    </w:p>
    <w:p w14:paraId="55FE69A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49</w:t>
      </w:r>
      <w:r w:rsidRPr="002E5A1F">
        <w:rPr>
          <w:rFonts w:ascii="Helvetica Neue" w:hAnsi="Helvetica Neue" w:cs="Times New Roman"/>
          <w:noProof/>
          <w:sz w:val="18"/>
          <w:szCs w:val="24"/>
        </w:rPr>
        <w:tab/>
        <w:t xml:space="preserve">Hui BB, Gray RT, Wilson DP,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Population movement can sustain STI prevalence in remote Australian indigenous communities. </w:t>
      </w:r>
      <w:r w:rsidRPr="002E5A1F">
        <w:rPr>
          <w:rFonts w:ascii="Helvetica Neue" w:hAnsi="Helvetica Neue" w:cs="Times New Roman"/>
          <w:i/>
          <w:iCs/>
          <w:noProof/>
          <w:sz w:val="18"/>
          <w:szCs w:val="24"/>
        </w:rPr>
        <w:t>BMC Infect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13</w:t>
      </w:r>
      <w:r w:rsidRPr="002E5A1F">
        <w:rPr>
          <w:rFonts w:ascii="Helvetica Neue" w:hAnsi="Helvetica Neue" w:cs="Times New Roman"/>
          <w:noProof/>
          <w:sz w:val="18"/>
          <w:szCs w:val="24"/>
        </w:rPr>
        <w:t>: 188.</w:t>
      </w:r>
    </w:p>
    <w:p w14:paraId="1C28FC2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50</w:t>
      </w:r>
      <w:r w:rsidRPr="002E5A1F">
        <w:rPr>
          <w:rFonts w:ascii="Helvetica Neue" w:hAnsi="Helvetica Neue" w:cs="Times New Roman"/>
          <w:noProof/>
          <w:sz w:val="18"/>
          <w:szCs w:val="24"/>
        </w:rPr>
        <w:tab/>
        <w:t xml:space="preserve">Kretzschmar M, Satterwhite C, Leichliter J, Berman S. Effects of screening and partner notification on Chlamydia positivity in the United States: a modeling study.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39</w:t>
      </w:r>
      <w:r w:rsidRPr="002E5A1F">
        <w:rPr>
          <w:rFonts w:ascii="Helvetica Neue" w:hAnsi="Helvetica Neue" w:cs="Times New Roman"/>
          <w:noProof/>
          <w:sz w:val="18"/>
          <w:szCs w:val="24"/>
        </w:rPr>
        <w:t>: 325–31.</w:t>
      </w:r>
    </w:p>
    <w:p w14:paraId="6B5EF42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51</w:t>
      </w:r>
      <w:r w:rsidRPr="002E5A1F">
        <w:rPr>
          <w:rFonts w:ascii="Helvetica Neue" w:hAnsi="Helvetica Neue" w:cs="Times New Roman"/>
          <w:noProof/>
          <w:sz w:val="18"/>
          <w:szCs w:val="24"/>
        </w:rPr>
        <w:tab/>
        <w:t xml:space="preserve">Kretzschmar M, Welte R, van den Hoek A, Postma MJ. Comparative model-based analysis of screening programs for Chlamydia trachomatis infections. </w:t>
      </w:r>
      <w:r w:rsidRPr="002E5A1F">
        <w:rPr>
          <w:rFonts w:ascii="Helvetica Neue" w:hAnsi="Helvetica Neue" w:cs="Times New Roman"/>
          <w:i/>
          <w:iCs/>
          <w:noProof/>
          <w:sz w:val="18"/>
          <w:szCs w:val="24"/>
        </w:rPr>
        <w:t>Am J Epidemiol</w:t>
      </w:r>
      <w:r w:rsidRPr="002E5A1F">
        <w:rPr>
          <w:rFonts w:ascii="Helvetica Neue" w:hAnsi="Helvetica Neue" w:cs="Times New Roman"/>
          <w:noProof/>
          <w:sz w:val="18"/>
          <w:szCs w:val="24"/>
        </w:rPr>
        <w:t xml:space="preserve"> 2001; </w:t>
      </w:r>
      <w:r w:rsidRPr="002E5A1F">
        <w:rPr>
          <w:rFonts w:ascii="Helvetica Neue" w:hAnsi="Helvetica Neue" w:cs="Times New Roman"/>
          <w:b/>
          <w:bCs/>
          <w:noProof/>
          <w:sz w:val="18"/>
          <w:szCs w:val="24"/>
        </w:rPr>
        <w:t>153</w:t>
      </w:r>
      <w:r w:rsidRPr="002E5A1F">
        <w:rPr>
          <w:rFonts w:ascii="Helvetica Neue" w:hAnsi="Helvetica Neue" w:cs="Times New Roman"/>
          <w:noProof/>
          <w:sz w:val="18"/>
          <w:szCs w:val="24"/>
        </w:rPr>
        <w:t>: 90–101.</w:t>
      </w:r>
    </w:p>
    <w:p w14:paraId="34C98A02"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52</w:t>
      </w:r>
      <w:r w:rsidRPr="002E5A1F">
        <w:rPr>
          <w:rFonts w:ascii="Helvetica Neue" w:hAnsi="Helvetica Neue" w:cs="Times New Roman"/>
          <w:noProof/>
          <w:sz w:val="18"/>
          <w:szCs w:val="24"/>
        </w:rPr>
        <w:tab/>
        <w:t xml:space="preserve">Welte R, Postma M, Leidl R, Kretzschmar M. Costs and effects of chlamydial screening: dynamic versus static modeling.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32</w:t>
      </w:r>
      <w:r w:rsidRPr="002E5A1F">
        <w:rPr>
          <w:rFonts w:ascii="Helvetica Neue" w:hAnsi="Helvetica Neue" w:cs="Times New Roman"/>
          <w:noProof/>
          <w:sz w:val="18"/>
          <w:szCs w:val="24"/>
        </w:rPr>
        <w:t>: 474–83.</w:t>
      </w:r>
    </w:p>
    <w:p w14:paraId="32C042B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53</w:t>
      </w:r>
      <w:r w:rsidRPr="002E5A1F">
        <w:rPr>
          <w:rFonts w:ascii="Helvetica Neue" w:hAnsi="Helvetica Neue" w:cs="Times New Roman"/>
          <w:noProof/>
          <w:sz w:val="18"/>
          <w:szCs w:val="24"/>
        </w:rPr>
        <w:tab/>
        <w:t xml:space="preserve">Turner KME, Adams EJ, Gay N, Ghani AC, Mercer C, Edmunds WJ. Developing a realistic sexual network model of chlamydia transmission in Britain. </w:t>
      </w:r>
      <w:r w:rsidRPr="002E5A1F">
        <w:rPr>
          <w:rFonts w:ascii="Helvetica Neue" w:hAnsi="Helvetica Neue" w:cs="Times New Roman"/>
          <w:i/>
          <w:iCs/>
          <w:noProof/>
          <w:sz w:val="18"/>
          <w:szCs w:val="24"/>
        </w:rPr>
        <w:t>Theor Biol Med Model</w:t>
      </w:r>
      <w:r w:rsidRPr="002E5A1F">
        <w:rPr>
          <w:rFonts w:ascii="Helvetica Neue" w:hAnsi="Helvetica Neue" w:cs="Times New Roman"/>
          <w:noProof/>
          <w:sz w:val="18"/>
          <w:szCs w:val="24"/>
        </w:rPr>
        <w:t xml:space="preserve"> 2006; </w:t>
      </w:r>
      <w:r w:rsidRPr="002E5A1F">
        <w:rPr>
          <w:rFonts w:ascii="Helvetica Neue" w:hAnsi="Helvetica Neue" w:cs="Times New Roman"/>
          <w:b/>
          <w:bCs/>
          <w:noProof/>
          <w:sz w:val="18"/>
          <w:szCs w:val="24"/>
        </w:rPr>
        <w:t>3</w:t>
      </w:r>
      <w:r w:rsidRPr="002E5A1F">
        <w:rPr>
          <w:rFonts w:ascii="Helvetica Neue" w:hAnsi="Helvetica Neue" w:cs="Times New Roman"/>
          <w:noProof/>
          <w:sz w:val="18"/>
          <w:szCs w:val="24"/>
        </w:rPr>
        <w:t>: 3.</w:t>
      </w:r>
    </w:p>
    <w:p w14:paraId="14CC7E70"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54</w:t>
      </w:r>
      <w:r w:rsidRPr="002E5A1F">
        <w:rPr>
          <w:rFonts w:ascii="Helvetica Neue" w:hAnsi="Helvetica Neue" w:cs="Times New Roman"/>
          <w:noProof/>
          <w:sz w:val="18"/>
          <w:szCs w:val="24"/>
        </w:rPr>
        <w:tab/>
        <w:t xml:space="preserve">Johnson LF, Alkema L, Dorrington RE. A Bayesian approach to uncertainty analysis of sexually transmitted infection models.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86</w:t>
      </w:r>
      <w:r w:rsidRPr="002E5A1F">
        <w:rPr>
          <w:rFonts w:ascii="Helvetica Neue" w:hAnsi="Helvetica Neue" w:cs="Times New Roman"/>
          <w:noProof/>
          <w:sz w:val="18"/>
          <w:szCs w:val="24"/>
        </w:rPr>
        <w:t>: 169–74.</w:t>
      </w:r>
    </w:p>
    <w:p w14:paraId="041B504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55</w:t>
      </w:r>
      <w:r w:rsidRPr="002E5A1F">
        <w:rPr>
          <w:rFonts w:ascii="Helvetica Neue" w:hAnsi="Helvetica Neue" w:cs="Times New Roman"/>
          <w:noProof/>
          <w:sz w:val="18"/>
          <w:szCs w:val="24"/>
        </w:rPr>
        <w:tab/>
        <w:t xml:space="preserve">Freeman EE, Orroth KK, White RG,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Proportion of new HIV infections attributable to herpes simplex 2 increases over time: simulations of the changing role of sexually transmitted infections in sub-Saharan African HIV epidemics.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2007; </w:t>
      </w:r>
      <w:r w:rsidRPr="002E5A1F">
        <w:rPr>
          <w:rFonts w:ascii="Helvetica Neue" w:hAnsi="Helvetica Neue" w:cs="Times New Roman"/>
          <w:b/>
          <w:bCs/>
          <w:noProof/>
          <w:sz w:val="18"/>
          <w:szCs w:val="24"/>
        </w:rPr>
        <w:t>83 Suppl 1</w:t>
      </w:r>
      <w:r w:rsidRPr="002E5A1F">
        <w:rPr>
          <w:rFonts w:ascii="Helvetica Neue" w:hAnsi="Helvetica Neue" w:cs="Times New Roman"/>
          <w:noProof/>
          <w:sz w:val="18"/>
          <w:szCs w:val="24"/>
        </w:rPr>
        <w:t>: i17-24.</w:t>
      </w:r>
    </w:p>
    <w:p w14:paraId="26E27E9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56</w:t>
      </w:r>
      <w:r w:rsidRPr="002E5A1F">
        <w:rPr>
          <w:rFonts w:ascii="Helvetica Neue" w:hAnsi="Helvetica Neue" w:cs="Times New Roman"/>
          <w:noProof/>
          <w:sz w:val="18"/>
          <w:szCs w:val="24"/>
        </w:rPr>
        <w:tab/>
        <w:t xml:space="preserve">Pinkerton SD, Chesson HW, Crosby RA, Layde PM. Linearity and nonlinearity in HIV/STI transmission: implications for the evaluation of sexual risk reduction interventions. </w:t>
      </w:r>
      <w:r w:rsidRPr="002E5A1F">
        <w:rPr>
          <w:rFonts w:ascii="Helvetica Neue" w:hAnsi="Helvetica Neue" w:cs="Times New Roman"/>
          <w:i/>
          <w:iCs/>
          <w:noProof/>
          <w:sz w:val="18"/>
          <w:szCs w:val="24"/>
        </w:rPr>
        <w:t>Eval Rev</w:t>
      </w:r>
      <w:r w:rsidRPr="002E5A1F">
        <w:rPr>
          <w:rFonts w:ascii="Helvetica Neue" w:hAnsi="Helvetica Neue" w:cs="Times New Roman"/>
          <w:noProof/>
          <w:sz w:val="18"/>
          <w:szCs w:val="24"/>
        </w:rPr>
        <w:t xml:space="preserve"> 2011; </w:t>
      </w:r>
      <w:r w:rsidRPr="002E5A1F">
        <w:rPr>
          <w:rFonts w:ascii="Helvetica Neue" w:hAnsi="Helvetica Neue" w:cs="Times New Roman"/>
          <w:b/>
          <w:bCs/>
          <w:noProof/>
          <w:sz w:val="18"/>
          <w:szCs w:val="24"/>
        </w:rPr>
        <w:t>35</w:t>
      </w:r>
      <w:r w:rsidRPr="002E5A1F">
        <w:rPr>
          <w:rFonts w:ascii="Helvetica Neue" w:hAnsi="Helvetica Neue" w:cs="Times New Roman"/>
          <w:noProof/>
          <w:sz w:val="18"/>
          <w:szCs w:val="24"/>
        </w:rPr>
        <w:t>: 550–65.</w:t>
      </w:r>
    </w:p>
    <w:p w14:paraId="5A20454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57</w:t>
      </w:r>
      <w:r w:rsidRPr="002E5A1F">
        <w:rPr>
          <w:rFonts w:ascii="Helvetica Neue" w:hAnsi="Helvetica Neue" w:cs="Times New Roman"/>
          <w:noProof/>
          <w:sz w:val="18"/>
          <w:szCs w:val="24"/>
        </w:rPr>
        <w:tab/>
        <w:t xml:space="preserve">Swinton J, Garnett GP, Brunham RC, Anderson RM. Gonococcal infection, infertility, and population growth: I. Endemic states in behaviourally homogeneous growing populations. </w:t>
      </w:r>
      <w:r w:rsidRPr="002E5A1F">
        <w:rPr>
          <w:rFonts w:ascii="Helvetica Neue" w:hAnsi="Helvetica Neue" w:cs="Times New Roman"/>
          <w:i/>
          <w:iCs/>
          <w:noProof/>
          <w:sz w:val="18"/>
          <w:szCs w:val="24"/>
        </w:rPr>
        <w:t>IMA J Math Appl Med Biol</w:t>
      </w:r>
      <w:r w:rsidRPr="002E5A1F">
        <w:rPr>
          <w:rFonts w:ascii="Helvetica Neue" w:hAnsi="Helvetica Neue" w:cs="Times New Roman"/>
          <w:noProof/>
          <w:sz w:val="18"/>
          <w:szCs w:val="24"/>
        </w:rPr>
        <w:t xml:space="preserve"> 1992; </w:t>
      </w:r>
      <w:r w:rsidRPr="002E5A1F">
        <w:rPr>
          <w:rFonts w:ascii="Helvetica Neue" w:hAnsi="Helvetica Neue" w:cs="Times New Roman"/>
          <w:b/>
          <w:bCs/>
          <w:noProof/>
          <w:sz w:val="18"/>
          <w:szCs w:val="24"/>
        </w:rPr>
        <w:t>9</w:t>
      </w:r>
      <w:r w:rsidRPr="002E5A1F">
        <w:rPr>
          <w:rFonts w:ascii="Helvetica Neue" w:hAnsi="Helvetica Neue" w:cs="Times New Roman"/>
          <w:noProof/>
          <w:sz w:val="18"/>
          <w:szCs w:val="24"/>
        </w:rPr>
        <w:t>: 107–26.</w:t>
      </w:r>
    </w:p>
    <w:p w14:paraId="230F3C8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58</w:t>
      </w:r>
      <w:r w:rsidRPr="002E5A1F">
        <w:rPr>
          <w:rFonts w:ascii="Helvetica Neue" w:hAnsi="Helvetica Neue" w:cs="Times New Roman"/>
          <w:noProof/>
          <w:sz w:val="18"/>
          <w:szCs w:val="24"/>
        </w:rPr>
        <w:tab/>
        <w:t xml:space="preserve">Gopalappa C, Huang Y-LA, Gift TL, Owusu-Edusei K, Taylor M, Gales V. Cost-effectiveness of screening men in Maricopa County jails for chlamydia and gonorrhea to avert infections in women.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40</w:t>
      </w:r>
      <w:r w:rsidRPr="002E5A1F">
        <w:rPr>
          <w:rFonts w:ascii="Helvetica Neue" w:hAnsi="Helvetica Neue" w:cs="Times New Roman"/>
          <w:noProof/>
          <w:sz w:val="18"/>
          <w:szCs w:val="24"/>
        </w:rPr>
        <w:t>: 776–83.</w:t>
      </w:r>
    </w:p>
    <w:p w14:paraId="1A92625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59</w:t>
      </w:r>
      <w:r w:rsidRPr="002E5A1F">
        <w:rPr>
          <w:rFonts w:ascii="Helvetica Neue" w:hAnsi="Helvetica Neue" w:cs="Times New Roman"/>
          <w:noProof/>
          <w:sz w:val="18"/>
          <w:szCs w:val="24"/>
        </w:rPr>
        <w:tab/>
        <w:t xml:space="preserve">Gray RT, Beagley KW, Timms P, Wilson DP. Modeling the impact of potential vaccines on epidemics of sexually transmitted Chlamydia trachomatis infection. </w:t>
      </w:r>
      <w:r w:rsidRPr="002E5A1F">
        <w:rPr>
          <w:rFonts w:ascii="Helvetica Neue" w:hAnsi="Helvetica Neue" w:cs="Times New Roman"/>
          <w:i/>
          <w:iCs/>
          <w:noProof/>
          <w:sz w:val="18"/>
          <w:szCs w:val="24"/>
        </w:rPr>
        <w:t>J Inf Dis</w:t>
      </w:r>
      <w:r w:rsidRPr="002E5A1F">
        <w:rPr>
          <w:rFonts w:ascii="Helvetica Neue" w:hAnsi="Helvetica Neue" w:cs="Times New Roman"/>
          <w:noProof/>
          <w:sz w:val="18"/>
          <w:szCs w:val="24"/>
        </w:rPr>
        <w:t xml:space="preserve"> 2009; </w:t>
      </w:r>
      <w:r w:rsidRPr="002E5A1F">
        <w:rPr>
          <w:rFonts w:ascii="Helvetica Neue" w:hAnsi="Helvetica Neue" w:cs="Times New Roman"/>
          <w:b/>
          <w:bCs/>
          <w:noProof/>
          <w:sz w:val="18"/>
          <w:szCs w:val="24"/>
        </w:rPr>
        <w:t>199</w:t>
      </w:r>
      <w:r w:rsidRPr="002E5A1F">
        <w:rPr>
          <w:rFonts w:ascii="Helvetica Neue" w:hAnsi="Helvetica Neue" w:cs="Times New Roman"/>
          <w:noProof/>
          <w:sz w:val="18"/>
          <w:szCs w:val="24"/>
        </w:rPr>
        <w:t>: 1680–8.</w:t>
      </w:r>
    </w:p>
    <w:p w14:paraId="7CD4304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60</w:t>
      </w:r>
      <w:r w:rsidRPr="002E5A1F">
        <w:rPr>
          <w:rFonts w:ascii="Helvetica Neue" w:hAnsi="Helvetica Neue" w:cs="Times New Roman"/>
          <w:noProof/>
          <w:sz w:val="18"/>
          <w:szCs w:val="24"/>
        </w:rPr>
        <w:tab/>
        <w:t xml:space="preserve">Schmid B V, Kretzschmar M. Determinants of sexual network structure and their impact on cumulative network measures. </w:t>
      </w:r>
      <w:r w:rsidRPr="002E5A1F">
        <w:rPr>
          <w:rFonts w:ascii="Helvetica Neue" w:hAnsi="Helvetica Neue" w:cs="Times New Roman"/>
          <w:i/>
          <w:iCs/>
          <w:noProof/>
          <w:sz w:val="18"/>
          <w:szCs w:val="24"/>
        </w:rPr>
        <w:t>PLoS Comput Biol</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8</w:t>
      </w:r>
      <w:r w:rsidRPr="002E5A1F">
        <w:rPr>
          <w:rFonts w:ascii="Helvetica Neue" w:hAnsi="Helvetica Neue" w:cs="Times New Roman"/>
          <w:noProof/>
          <w:sz w:val="18"/>
          <w:szCs w:val="24"/>
        </w:rPr>
        <w:t>: e1002470.</w:t>
      </w:r>
    </w:p>
    <w:p w14:paraId="734DBB62"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61</w:t>
      </w:r>
      <w:r w:rsidRPr="002E5A1F">
        <w:rPr>
          <w:rFonts w:ascii="Helvetica Neue" w:hAnsi="Helvetica Neue" w:cs="Times New Roman"/>
          <w:noProof/>
          <w:sz w:val="18"/>
          <w:szCs w:val="24"/>
        </w:rPr>
        <w:tab/>
        <w:t xml:space="preserve">Turner KME, Round J, Horner P,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An early evaluation of clinical and economic costs and benefits of implementing point of care NAAT tests for Chlamydia trachomatis and Neisseria gonorrhoea in genitourinary medicine clinics in England.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90</w:t>
      </w:r>
      <w:r w:rsidRPr="002E5A1F">
        <w:rPr>
          <w:rFonts w:ascii="Helvetica Neue" w:hAnsi="Helvetica Neue" w:cs="Times New Roman"/>
          <w:noProof/>
          <w:sz w:val="18"/>
          <w:szCs w:val="24"/>
        </w:rPr>
        <w:t>: 104–11.</w:t>
      </w:r>
    </w:p>
    <w:p w14:paraId="081A8E7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62</w:t>
      </w:r>
      <w:r w:rsidRPr="002E5A1F">
        <w:rPr>
          <w:rFonts w:ascii="Helvetica Neue" w:hAnsi="Helvetica Neue" w:cs="Times New Roman"/>
          <w:noProof/>
          <w:sz w:val="18"/>
          <w:szCs w:val="24"/>
        </w:rPr>
        <w:tab/>
        <w:t xml:space="preserve">Turner KME, Adams EJ, Lamontagne DS, Emmett L, Baster K, Edmunds WJ. Modelling the effectiveness of chlamydia screening in England.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2006; </w:t>
      </w:r>
      <w:r w:rsidRPr="002E5A1F">
        <w:rPr>
          <w:rFonts w:ascii="Helvetica Neue" w:hAnsi="Helvetica Neue" w:cs="Times New Roman"/>
          <w:b/>
          <w:bCs/>
          <w:noProof/>
          <w:sz w:val="18"/>
          <w:szCs w:val="24"/>
        </w:rPr>
        <w:t>82</w:t>
      </w:r>
      <w:r w:rsidRPr="002E5A1F">
        <w:rPr>
          <w:rFonts w:ascii="Helvetica Neue" w:hAnsi="Helvetica Neue" w:cs="Times New Roman"/>
          <w:noProof/>
          <w:sz w:val="18"/>
          <w:szCs w:val="24"/>
        </w:rPr>
        <w:t>: 496–502.</w:t>
      </w:r>
    </w:p>
    <w:p w14:paraId="7DD872C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63</w:t>
      </w:r>
      <w:r w:rsidRPr="002E5A1F">
        <w:rPr>
          <w:rFonts w:ascii="Helvetica Neue" w:hAnsi="Helvetica Neue" w:cs="Times New Roman"/>
          <w:noProof/>
          <w:sz w:val="18"/>
          <w:szCs w:val="24"/>
        </w:rPr>
        <w:tab/>
        <w:t xml:space="preserve">Althaus CL, Heijne JCM, Low N. Towards more robust estimates of the transmissibility of Chlamydia trachomatis.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39</w:t>
      </w:r>
      <w:r w:rsidRPr="002E5A1F">
        <w:rPr>
          <w:rFonts w:ascii="Helvetica Neue" w:hAnsi="Helvetica Neue" w:cs="Times New Roman"/>
          <w:noProof/>
          <w:sz w:val="18"/>
          <w:szCs w:val="24"/>
        </w:rPr>
        <w:t>: 402–4.</w:t>
      </w:r>
    </w:p>
    <w:p w14:paraId="73B80652"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64</w:t>
      </w:r>
      <w:r w:rsidRPr="002E5A1F">
        <w:rPr>
          <w:rFonts w:ascii="Helvetica Neue" w:hAnsi="Helvetica Neue" w:cs="Times New Roman"/>
          <w:noProof/>
          <w:sz w:val="18"/>
          <w:szCs w:val="24"/>
        </w:rPr>
        <w:tab/>
        <w:t xml:space="preserve">Pinkerton SD, Layde PM, NIMH multisite HIV prevention trial group. Using sexually transmitted disease incidence as a surrogate marker for HIV incidence in prevention trials: a modeling study.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2002; </w:t>
      </w:r>
      <w:r w:rsidRPr="002E5A1F">
        <w:rPr>
          <w:rFonts w:ascii="Helvetica Neue" w:hAnsi="Helvetica Neue" w:cs="Times New Roman"/>
          <w:b/>
          <w:bCs/>
          <w:noProof/>
          <w:sz w:val="18"/>
          <w:szCs w:val="24"/>
        </w:rPr>
        <w:t>29</w:t>
      </w:r>
      <w:r w:rsidRPr="002E5A1F">
        <w:rPr>
          <w:rFonts w:ascii="Helvetica Neue" w:hAnsi="Helvetica Neue" w:cs="Times New Roman"/>
          <w:noProof/>
          <w:sz w:val="18"/>
          <w:szCs w:val="24"/>
        </w:rPr>
        <w:t>: 298–307.</w:t>
      </w:r>
    </w:p>
    <w:p w14:paraId="75D7634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65</w:t>
      </w:r>
      <w:r w:rsidRPr="002E5A1F">
        <w:rPr>
          <w:rFonts w:ascii="Helvetica Neue" w:hAnsi="Helvetica Neue" w:cs="Times New Roman"/>
          <w:noProof/>
          <w:sz w:val="18"/>
          <w:szCs w:val="24"/>
        </w:rPr>
        <w:tab/>
        <w:t xml:space="preserve">Owusu-Edusei K, Hoover KW, Gift TL. Cost-effectiveness of opt-out chlamydia testing for high-risk young women in the US. </w:t>
      </w:r>
      <w:r w:rsidRPr="002E5A1F">
        <w:rPr>
          <w:rFonts w:ascii="Helvetica Neue" w:hAnsi="Helvetica Neue" w:cs="Times New Roman"/>
          <w:i/>
          <w:iCs/>
          <w:noProof/>
          <w:sz w:val="18"/>
          <w:szCs w:val="24"/>
        </w:rPr>
        <w:t>Am J Prev Med</w:t>
      </w:r>
      <w:r w:rsidRPr="002E5A1F">
        <w:rPr>
          <w:rFonts w:ascii="Helvetica Neue" w:hAnsi="Helvetica Neue" w:cs="Times New Roman"/>
          <w:noProof/>
          <w:sz w:val="18"/>
          <w:szCs w:val="24"/>
        </w:rPr>
        <w:t xml:space="preserve"> 2016; </w:t>
      </w:r>
      <w:r w:rsidRPr="002E5A1F">
        <w:rPr>
          <w:rFonts w:ascii="Helvetica Neue" w:hAnsi="Helvetica Neue" w:cs="Times New Roman"/>
          <w:b/>
          <w:bCs/>
          <w:noProof/>
          <w:sz w:val="18"/>
          <w:szCs w:val="24"/>
        </w:rPr>
        <w:t>51</w:t>
      </w:r>
      <w:r w:rsidRPr="002E5A1F">
        <w:rPr>
          <w:rFonts w:ascii="Helvetica Neue" w:hAnsi="Helvetica Neue" w:cs="Times New Roman"/>
          <w:noProof/>
          <w:sz w:val="18"/>
          <w:szCs w:val="24"/>
        </w:rPr>
        <w:t>: 216–24.</w:t>
      </w:r>
    </w:p>
    <w:p w14:paraId="6309C0B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66</w:t>
      </w:r>
      <w:r w:rsidRPr="002E5A1F">
        <w:rPr>
          <w:rFonts w:ascii="Helvetica Neue" w:hAnsi="Helvetica Neue" w:cs="Times New Roman"/>
          <w:noProof/>
          <w:sz w:val="18"/>
          <w:szCs w:val="24"/>
        </w:rPr>
        <w:tab/>
        <w:t xml:space="preserve">de Vries R, van Bergen JEAM, de Jong-van den Berg LTW, Postma MJ, PILOT-CT Study Group. Systematic screening for Chlamydia trachomatis: estimating cost-effectiveness using dynamic modeling and Dutch data. </w:t>
      </w:r>
      <w:r w:rsidRPr="002E5A1F">
        <w:rPr>
          <w:rFonts w:ascii="Helvetica Neue" w:hAnsi="Helvetica Neue" w:cs="Times New Roman"/>
          <w:i/>
          <w:iCs/>
          <w:noProof/>
          <w:sz w:val="18"/>
          <w:szCs w:val="24"/>
        </w:rPr>
        <w:t>Value Heal</w:t>
      </w:r>
      <w:r w:rsidRPr="002E5A1F">
        <w:rPr>
          <w:rFonts w:ascii="Helvetica Neue" w:hAnsi="Helvetica Neue" w:cs="Times New Roman"/>
          <w:noProof/>
          <w:sz w:val="18"/>
          <w:szCs w:val="24"/>
        </w:rPr>
        <w:t xml:space="preserve"> 2006; </w:t>
      </w:r>
      <w:r w:rsidRPr="002E5A1F">
        <w:rPr>
          <w:rFonts w:ascii="Helvetica Neue" w:hAnsi="Helvetica Neue" w:cs="Times New Roman"/>
          <w:b/>
          <w:bCs/>
          <w:noProof/>
          <w:sz w:val="18"/>
          <w:szCs w:val="24"/>
        </w:rPr>
        <w:t>9</w:t>
      </w:r>
      <w:r w:rsidRPr="002E5A1F">
        <w:rPr>
          <w:rFonts w:ascii="Helvetica Neue" w:hAnsi="Helvetica Neue" w:cs="Times New Roman"/>
          <w:noProof/>
          <w:sz w:val="18"/>
          <w:szCs w:val="24"/>
        </w:rPr>
        <w:t>: 1–11.</w:t>
      </w:r>
    </w:p>
    <w:p w14:paraId="0832FF6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lastRenderedPageBreak/>
        <w:t>67</w:t>
      </w:r>
      <w:r w:rsidRPr="002E5A1F">
        <w:rPr>
          <w:rFonts w:ascii="Helvetica Neue" w:hAnsi="Helvetica Neue" w:cs="Times New Roman"/>
          <w:noProof/>
          <w:sz w:val="18"/>
          <w:szCs w:val="24"/>
        </w:rPr>
        <w:tab/>
        <w:t xml:space="preserve">Clarke J, White KAJ, Turner K. Approximating optimal controls for networks when there are combinations of population-level and targeted measures available: chlamydia infection as a case-study. </w:t>
      </w:r>
      <w:r w:rsidRPr="002E5A1F">
        <w:rPr>
          <w:rFonts w:ascii="Helvetica Neue" w:hAnsi="Helvetica Neue" w:cs="Times New Roman"/>
          <w:i/>
          <w:iCs/>
          <w:noProof/>
          <w:sz w:val="18"/>
          <w:szCs w:val="24"/>
        </w:rPr>
        <w:t>Bull Math Biol</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75</w:t>
      </w:r>
      <w:r w:rsidRPr="002E5A1F">
        <w:rPr>
          <w:rFonts w:ascii="Helvetica Neue" w:hAnsi="Helvetica Neue" w:cs="Times New Roman"/>
          <w:noProof/>
          <w:sz w:val="18"/>
          <w:szCs w:val="24"/>
        </w:rPr>
        <w:t>: 1747–77.</w:t>
      </w:r>
    </w:p>
    <w:p w14:paraId="277DD55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68</w:t>
      </w:r>
      <w:r w:rsidRPr="002E5A1F">
        <w:rPr>
          <w:rFonts w:ascii="Helvetica Neue" w:hAnsi="Helvetica Neue" w:cs="Times New Roman"/>
          <w:noProof/>
          <w:sz w:val="18"/>
          <w:szCs w:val="24"/>
        </w:rPr>
        <w:tab/>
        <w:t xml:space="preserve">Kretzschmar M, van Duynhoven YT, Severijnen AJ. Modeling prevention strategies for gonorrhea and Chlamydia using stochastic network simulations. </w:t>
      </w:r>
      <w:r w:rsidRPr="002E5A1F">
        <w:rPr>
          <w:rFonts w:ascii="Helvetica Neue" w:hAnsi="Helvetica Neue" w:cs="Times New Roman"/>
          <w:i/>
          <w:iCs/>
          <w:noProof/>
          <w:sz w:val="18"/>
          <w:szCs w:val="24"/>
        </w:rPr>
        <w:t>Am J Epidemiol</w:t>
      </w:r>
      <w:r w:rsidRPr="002E5A1F">
        <w:rPr>
          <w:rFonts w:ascii="Helvetica Neue" w:hAnsi="Helvetica Neue" w:cs="Times New Roman"/>
          <w:noProof/>
          <w:sz w:val="18"/>
          <w:szCs w:val="24"/>
        </w:rPr>
        <w:t xml:space="preserve"> 1996; </w:t>
      </w:r>
      <w:r w:rsidRPr="002E5A1F">
        <w:rPr>
          <w:rFonts w:ascii="Helvetica Neue" w:hAnsi="Helvetica Neue" w:cs="Times New Roman"/>
          <w:b/>
          <w:bCs/>
          <w:noProof/>
          <w:sz w:val="18"/>
          <w:szCs w:val="24"/>
        </w:rPr>
        <w:t>144</w:t>
      </w:r>
      <w:r w:rsidRPr="002E5A1F">
        <w:rPr>
          <w:rFonts w:ascii="Helvetica Neue" w:hAnsi="Helvetica Neue" w:cs="Times New Roman"/>
          <w:noProof/>
          <w:sz w:val="18"/>
          <w:szCs w:val="24"/>
        </w:rPr>
        <w:t>: 306–17.</w:t>
      </w:r>
    </w:p>
    <w:p w14:paraId="216EFF5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69</w:t>
      </w:r>
      <w:r w:rsidRPr="002E5A1F">
        <w:rPr>
          <w:rFonts w:ascii="Helvetica Neue" w:hAnsi="Helvetica Neue" w:cs="Times New Roman"/>
          <w:noProof/>
          <w:sz w:val="18"/>
          <w:szCs w:val="24"/>
        </w:rPr>
        <w:tab/>
        <w:t xml:space="preserve">Roberts TE, Robinson S, Barton PM,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Cost effectiveness of home based population screening for Chlamydia trachomatis in the UK: economic evaluation of chlamydia screening studies (ClaSS) project. </w:t>
      </w:r>
      <w:r w:rsidRPr="002E5A1F">
        <w:rPr>
          <w:rFonts w:ascii="Helvetica Neue" w:hAnsi="Helvetica Neue" w:cs="Times New Roman"/>
          <w:i/>
          <w:iCs/>
          <w:noProof/>
          <w:sz w:val="18"/>
          <w:szCs w:val="24"/>
        </w:rPr>
        <w:t>BMJ</w:t>
      </w:r>
      <w:r w:rsidRPr="002E5A1F">
        <w:rPr>
          <w:rFonts w:ascii="Helvetica Neue" w:hAnsi="Helvetica Neue" w:cs="Times New Roman"/>
          <w:noProof/>
          <w:sz w:val="18"/>
          <w:szCs w:val="24"/>
        </w:rPr>
        <w:t xml:space="preserve"> 2007; </w:t>
      </w:r>
      <w:r w:rsidRPr="002E5A1F">
        <w:rPr>
          <w:rFonts w:ascii="Helvetica Neue" w:hAnsi="Helvetica Neue" w:cs="Times New Roman"/>
          <w:b/>
          <w:bCs/>
          <w:noProof/>
          <w:sz w:val="18"/>
          <w:szCs w:val="24"/>
        </w:rPr>
        <w:t>335</w:t>
      </w:r>
      <w:r w:rsidRPr="002E5A1F">
        <w:rPr>
          <w:rFonts w:ascii="Helvetica Neue" w:hAnsi="Helvetica Neue" w:cs="Times New Roman"/>
          <w:noProof/>
          <w:sz w:val="18"/>
          <w:szCs w:val="24"/>
        </w:rPr>
        <w:t>: 291.</w:t>
      </w:r>
    </w:p>
    <w:p w14:paraId="3A45988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70</w:t>
      </w:r>
      <w:r w:rsidRPr="002E5A1F">
        <w:rPr>
          <w:rFonts w:ascii="Helvetica Neue" w:hAnsi="Helvetica Neue" w:cs="Times New Roman"/>
          <w:noProof/>
          <w:sz w:val="18"/>
          <w:szCs w:val="24"/>
        </w:rPr>
        <w:tab/>
        <w:t xml:space="preserve">Schmid B V, Over EAB, van den Broek IVF,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Effects of population based screening for Chlamydia infections in the Netherlands limited by declining participation rates. </w:t>
      </w:r>
      <w:r w:rsidRPr="002E5A1F">
        <w:rPr>
          <w:rFonts w:ascii="Helvetica Neue" w:hAnsi="Helvetica Neue" w:cs="Times New Roman"/>
          <w:i/>
          <w:iCs/>
          <w:noProof/>
          <w:sz w:val="18"/>
          <w:szCs w:val="24"/>
        </w:rPr>
        <w:t>PLoS One</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8</w:t>
      </w:r>
      <w:r w:rsidRPr="002E5A1F">
        <w:rPr>
          <w:rFonts w:ascii="Helvetica Neue" w:hAnsi="Helvetica Neue" w:cs="Times New Roman"/>
          <w:noProof/>
          <w:sz w:val="18"/>
          <w:szCs w:val="24"/>
        </w:rPr>
        <w:t>: e58674.</w:t>
      </w:r>
    </w:p>
    <w:p w14:paraId="1AFA0FB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71</w:t>
      </w:r>
      <w:r w:rsidRPr="002E5A1F">
        <w:rPr>
          <w:rFonts w:ascii="Helvetica Neue" w:hAnsi="Helvetica Neue" w:cs="Times New Roman"/>
          <w:noProof/>
          <w:sz w:val="18"/>
          <w:szCs w:val="24"/>
        </w:rPr>
        <w:tab/>
        <w:t xml:space="preserve">Xiridou M, Vriend HJ, Lugner AK,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Modelling the impact of chlamydia screening on the transmission of HIV among men who have sex with men. </w:t>
      </w:r>
      <w:r w:rsidRPr="002E5A1F">
        <w:rPr>
          <w:rFonts w:ascii="Helvetica Neue" w:hAnsi="Helvetica Neue" w:cs="Times New Roman"/>
          <w:i/>
          <w:iCs/>
          <w:noProof/>
          <w:sz w:val="18"/>
          <w:szCs w:val="24"/>
        </w:rPr>
        <w:t>BMC Infect Dis</w:t>
      </w:r>
      <w:r w:rsidRPr="002E5A1F">
        <w:rPr>
          <w:rFonts w:ascii="Helvetica Neue" w:hAnsi="Helvetica Neue" w:cs="Times New Roman"/>
          <w:noProof/>
          <w:sz w:val="18"/>
          <w:szCs w:val="24"/>
        </w:rPr>
        <w:t xml:space="preserve"> 2013; </w:t>
      </w:r>
      <w:r w:rsidRPr="002E5A1F">
        <w:rPr>
          <w:rFonts w:ascii="Helvetica Neue" w:hAnsi="Helvetica Neue" w:cs="Times New Roman"/>
          <w:b/>
          <w:bCs/>
          <w:noProof/>
          <w:sz w:val="18"/>
          <w:szCs w:val="24"/>
        </w:rPr>
        <w:t>13</w:t>
      </w:r>
      <w:r w:rsidRPr="002E5A1F">
        <w:rPr>
          <w:rFonts w:ascii="Helvetica Neue" w:hAnsi="Helvetica Neue" w:cs="Times New Roman"/>
          <w:noProof/>
          <w:sz w:val="18"/>
          <w:szCs w:val="24"/>
        </w:rPr>
        <w:t>: 436.</w:t>
      </w:r>
    </w:p>
    <w:p w14:paraId="0638FB8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72</w:t>
      </w:r>
      <w:r w:rsidRPr="002E5A1F">
        <w:rPr>
          <w:rFonts w:ascii="Helvetica Neue" w:hAnsi="Helvetica Neue" w:cs="Times New Roman"/>
          <w:noProof/>
          <w:sz w:val="18"/>
          <w:szCs w:val="24"/>
        </w:rPr>
        <w:tab/>
        <w:t xml:space="preserve">Beck EC, Birkett M, Armbruster B, Mustanski B. A data-driven simulation of HIV spread among young men who have sex with men: Role of age and race mixing and STIs. </w:t>
      </w:r>
      <w:r w:rsidRPr="002E5A1F">
        <w:rPr>
          <w:rFonts w:ascii="Helvetica Neue" w:hAnsi="Helvetica Neue" w:cs="Times New Roman"/>
          <w:i/>
          <w:iCs/>
          <w:noProof/>
          <w:sz w:val="18"/>
          <w:szCs w:val="24"/>
        </w:rPr>
        <w:t>J Acquir Immune Defic Syndr</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70</w:t>
      </w:r>
      <w:r w:rsidRPr="002E5A1F">
        <w:rPr>
          <w:rFonts w:ascii="Helvetica Neue" w:hAnsi="Helvetica Neue" w:cs="Times New Roman"/>
          <w:noProof/>
          <w:sz w:val="18"/>
          <w:szCs w:val="24"/>
        </w:rPr>
        <w:t>: 186–94.</w:t>
      </w:r>
    </w:p>
    <w:p w14:paraId="5316380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73</w:t>
      </w:r>
      <w:r w:rsidRPr="002E5A1F">
        <w:rPr>
          <w:rFonts w:ascii="Helvetica Neue" w:hAnsi="Helvetica Neue" w:cs="Times New Roman"/>
          <w:noProof/>
          <w:sz w:val="18"/>
          <w:szCs w:val="24"/>
        </w:rPr>
        <w:tab/>
        <w:t xml:space="preserve">Tuli K, Kerndt PR. Preventing sexually transmitted infections among incarcerated men who have sex with men: a cost-effectiveness analysis.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2009; </w:t>
      </w:r>
      <w:r w:rsidRPr="002E5A1F">
        <w:rPr>
          <w:rFonts w:ascii="Helvetica Neue" w:hAnsi="Helvetica Neue" w:cs="Times New Roman"/>
          <w:b/>
          <w:bCs/>
          <w:noProof/>
          <w:sz w:val="18"/>
          <w:szCs w:val="24"/>
        </w:rPr>
        <w:t>36</w:t>
      </w:r>
      <w:r w:rsidRPr="002E5A1F">
        <w:rPr>
          <w:rFonts w:ascii="Helvetica Neue" w:hAnsi="Helvetica Neue" w:cs="Times New Roman"/>
          <w:noProof/>
          <w:sz w:val="18"/>
          <w:szCs w:val="24"/>
        </w:rPr>
        <w:t>: S41-8.</w:t>
      </w:r>
    </w:p>
    <w:p w14:paraId="1670DB3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74</w:t>
      </w:r>
      <w:r w:rsidRPr="002E5A1F">
        <w:rPr>
          <w:rFonts w:ascii="Helvetica Neue" w:hAnsi="Helvetica Neue" w:cs="Times New Roman"/>
          <w:noProof/>
          <w:sz w:val="18"/>
          <w:szCs w:val="24"/>
        </w:rPr>
        <w:tab/>
        <w:t xml:space="preserve">Darrow WW. Condom use and use-effectiveness in high-risk populations.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1989; </w:t>
      </w:r>
      <w:r w:rsidRPr="002E5A1F">
        <w:rPr>
          <w:rFonts w:ascii="Helvetica Neue" w:hAnsi="Helvetica Neue" w:cs="Times New Roman"/>
          <w:b/>
          <w:bCs/>
          <w:noProof/>
          <w:sz w:val="18"/>
          <w:szCs w:val="24"/>
        </w:rPr>
        <w:t>16</w:t>
      </w:r>
      <w:r w:rsidRPr="002E5A1F">
        <w:rPr>
          <w:rFonts w:ascii="Helvetica Neue" w:hAnsi="Helvetica Neue" w:cs="Times New Roman"/>
          <w:noProof/>
          <w:sz w:val="18"/>
          <w:szCs w:val="24"/>
        </w:rPr>
        <w:t>: 157–60.</w:t>
      </w:r>
    </w:p>
    <w:p w14:paraId="0296589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75</w:t>
      </w:r>
      <w:r w:rsidRPr="002E5A1F">
        <w:rPr>
          <w:rFonts w:ascii="Helvetica Neue" w:hAnsi="Helvetica Neue" w:cs="Times New Roman"/>
          <w:noProof/>
          <w:sz w:val="18"/>
          <w:szCs w:val="24"/>
        </w:rPr>
        <w:tab/>
        <w:t xml:space="preserve">Joesoef MR, Linnan M, Barakbah Y, Idajadi A, Kambodji A, Schulz K. Patterns of sexually transmitted diseases in female sex workers in Surabaya, Indonesia. </w:t>
      </w:r>
      <w:r w:rsidRPr="002E5A1F">
        <w:rPr>
          <w:rFonts w:ascii="Helvetica Neue" w:hAnsi="Helvetica Neue" w:cs="Times New Roman"/>
          <w:i/>
          <w:iCs/>
          <w:noProof/>
          <w:sz w:val="18"/>
          <w:szCs w:val="24"/>
        </w:rPr>
        <w:t>Int J STD AIDS</w:t>
      </w:r>
      <w:r w:rsidRPr="002E5A1F">
        <w:rPr>
          <w:rFonts w:ascii="Helvetica Neue" w:hAnsi="Helvetica Neue" w:cs="Times New Roman"/>
          <w:noProof/>
          <w:sz w:val="18"/>
          <w:szCs w:val="24"/>
        </w:rPr>
        <w:t xml:space="preserve"> 1997; </w:t>
      </w:r>
      <w:r w:rsidRPr="002E5A1F">
        <w:rPr>
          <w:rFonts w:ascii="Helvetica Neue" w:hAnsi="Helvetica Neue" w:cs="Times New Roman"/>
          <w:b/>
          <w:bCs/>
          <w:noProof/>
          <w:sz w:val="18"/>
          <w:szCs w:val="24"/>
        </w:rPr>
        <w:t>8</w:t>
      </w:r>
      <w:r w:rsidRPr="002E5A1F">
        <w:rPr>
          <w:rFonts w:ascii="Helvetica Neue" w:hAnsi="Helvetica Neue" w:cs="Times New Roman"/>
          <w:noProof/>
          <w:sz w:val="18"/>
          <w:szCs w:val="24"/>
        </w:rPr>
        <w:t>: 576–80.</w:t>
      </w:r>
    </w:p>
    <w:p w14:paraId="5CD19EF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76</w:t>
      </w:r>
      <w:r w:rsidRPr="002E5A1F">
        <w:rPr>
          <w:rFonts w:ascii="Helvetica Neue" w:hAnsi="Helvetica Neue" w:cs="Times New Roman"/>
          <w:noProof/>
          <w:sz w:val="18"/>
          <w:szCs w:val="24"/>
        </w:rPr>
        <w:tab/>
        <w:t xml:space="preserve">Korenromp EL, Van Vliet C, Grosskurth H,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Model-based evaluation of single-round mass treatment of sexually transmitted diseases for HIV control in a rural African population. </w:t>
      </w:r>
      <w:r w:rsidRPr="002E5A1F">
        <w:rPr>
          <w:rFonts w:ascii="Helvetica Neue" w:hAnsi="Helvetica Neue" w:cs="Times New Roman"/>
          <w:i/>
          <w:iCs/>
          <w:noProof/>
          <w:sz w:val="18"/>
          <w:szCs w:val="24"/>
        </w:rPr>
        <w:t>AIDS</w:t>
      </w:r>
      <w:r w:rsidRPr="002E5A1F">
        <w:rPr>
          <w:rFonts w:ascii="Helvetica Neue" w:hAnsi="Helvetica Neue" w:cs="Times New Roman"/>
          <w:noProof/>
          <w:sz w:val="18"/>
          <w:szCs w:val="24"/>
        </w:rPr>
        <w:t xml:space="preserve"> 2000; </w:t>
      </w:r>
      <w:r w:rsidRPr="002E5A1F">
        <w:rPr>
          <w:rFonts w:ascii="Helvetica Neue" w:hAnsi="Helvetica Neue" w:cs="Times New Roman"/>
          <w:b/>
          <w:bCs/>
          <w:noProof/>
          <w:sz w:val="18"/>
          <w:szCs w:val="24"/>
        </w:rPr>
        <w:t>14</w:t>
      </w:r>
      <w:r w:rsidRPr="002E5A1F">
        <w:rPr>
          <w:rFonts w:ascii="Helvetica Neue" w:hAnsi="Helvetica Neue" w:cs="Times New Roman"/>
          <w:noProof/>
          <w:sz w:val="18"/>
          <w:szCs w:val="24"/>
        </w:rPr>
        <w:t>: 573–93.</w:t>
      </w:r>
    </w:p>
    <w:p w14:paraId="70CCBBE7"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77</w:t>
      </w:r>
      <w:r w:rsidRPr="002E5A1F">
        <w:rPr>
          <w:rFonts w:ascii="Helvetica Neue" w:hAnsi="Helvetica Neue" w:cs="Times New Roman"/>
          <w:noProof/>
          <w:sz w:val="18"/>
          <w:szCs w:val="24"/>
        </w:rPr>
        <w:tab/>
        <w:t xml:space="preserve">Marseille E, Kahn JG, Billinghurst K, Saba J. Cost-effectiveness of the female condom in preventing HIV and STDs in commercial sex workers in rural South Africa. </w:t>
      </w:r>
      <w:r w:rsidRPr="002E5A1F">
        <w:rPr>
          <w:rFonts w:ascii="Helvetica Neue" w:hAnsi="Helvetica Neue" w:cs="Times New Roman"/>
          <w:i/>
          <w:iCs/>
          <w:noProof/>
          <w:sz w:val="18"/>
          <w:szCs w:val="24"/>
        </w:rPr>
        <w:t>Soc Sci Med</w:t>
      </w:r>
      <w:r w:rsidRPr="002E5A1F">
        <w:rPr>
          <w:rFonts w:ascii="Helvetica Neue" w:hAnsi="Helvetica Neue" w:cs="Times New Roman"/>
          <w:noProof/>
          <w:sz w:val="18"/>
          <w:szCs w:val="24"/>
        </w:rPr>
        <w:t xml:space="preserve"> 2001; </w:t>
      </w:r>
      <w:r w:rsidRPr="002E5A1F">
        <w:rPr>
          <w:rFonts w:ascii="Helvetica Neue" w:hAnsi="Helvetica Neue" w:cs="Times New Roman"/>
          <w:b/>
          <w:bCs/>
          <w:noProof/>
          <w:sz w:val="18"/>
          <w:szCs w:val="24"/>
        </w:rPr>
        <w:t>52</w:t>
      </w:r>
      <w:r w:rsidRPr="002E5A1F">
        <w:rPr>
          <w:rFonts w:ascii="Helvetica Neue" w:hAnsi="Helvetica Neue" w:cs="Times New Roman"/>
          <w:noProof/>
          <w:sz w:val="18"/>
          <w:szCs w:val="24"/>
        </w:rPr>
        <w:t>: 135–48.</w:t>
      </w:r>
    </w:p>
    <w:p w14:paraId="7951910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78</w:t>
      </w:r>
      <w:r w:rsidRPr="002E5A1F">
        <w:rPr>
          <w:rFonts w:ascii="Helvetica Neue" w:hAnsi="Helvetica Neue" w:cs="Times New Roman"/>
          <w:noProof/>
          <w:sz w:val="18"/>
          <w:szCs w:val="24"/>
        </w:rPr>
        <w:tab/>
        <w:t xml:space="preserve">Armbruster B, Brandeau ML. Contact tracing to control infectious disease: when enough is enough. </w:t>
      </w:r>
      <w:r w:rsidRPr="002E5A1F">
        <w:rPr>
          <w:rFonts w:ascii="Helvetica Neue" w:hAnsi="Helvetica Neue" w:cs="Times New Roman"/>
          <w:i/>
          <w:iCs/>
          <w:noProof/>
          <w:sz w:val="18"/>
          <w:szCs w:val="24"/>
        </w:rPr>
        <w:t>Heal Care Manag Sci</w:t>
      </w:r>
      <w:r w:rsidRPr="002E5A1F">
        <w:rPr>
          <w:rFonts w:ascii="Helvetica Neue" w:hAnsi="Helvetica Neue" w:cs="Times New Roman"/>
          <w:noProof/>
          <w:sz w:val="18"/>
          <w:szCs w:val="24"/>
        </w:rPr>
        <w:t xml:space="preserve"> 2007; </w:t>
      </w:r>
      <w:r w:rsidRPr="002E5A1F">
        <w:rPr>
          <w:rFonts w:ascii="Helvetica Neue" w:hAnsi="Helvetica Neue" w:cs="Times New Roman"/>
          <w:b/>
          <w:bCs/>
          <w:noProof/>
          <w:sz w:val="18"/>
          <w:szCs w:val="24"/>
        </w:rPr>
        <w:t>10</w:t>
      </w:r>
      <w:r w:rsidRPr="002E5A1F">
        <w:rPr>
          <w:rFonts w:ascii="Helvetica Neue" w:hAnsi="Helvetica Neue" w:cs="Times New Roman"/>
          <w:noProof/>
          <w:sz w:val="18"/>
          <w:szCs w:val="24"/>
        </w:rPr>
        <w:t>: 341–55.</w:t>
      </w:r>
    </w:p>
    <w:p w14:paraId="4935294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79</w:t>
      </w:r>
      <w:r w:rsidRPr="002E5A1F">
        <w:rPr>
          <w:rFonts w:ascii="Helvetica Neue" w:hAnsi="Helvetica Neue" w:cs="Times New Roman"/>
          <w:noProof/>
          <w:sz w:val="18"/>
          <w:szCs w:val="24"/>
        </w:rPr>
        <w:tab/>
        <w:t xml:space="preserve">Chen MI, Ghani AC, Edmunds J. Mind the gap: the role of time between sex with two consecutive partners on the transmission dynamics of gonorrhea.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2008; </w:t>
      </w:r>
      <w:r w:rsidRPr="002E5A1F">
        <w:rPr>
          <w:rFonts w:ascii="Helvetica Neue" w:hAnsi="Helvetica Neue" w:cs="Times New Roman"/>
          <w:b/>
          <w:bCs/>
          <w:noProof/>
          <w:sz w:val="18"/>
          <w:szCs w:val="24"/>
        </w:rPr>
        <w:t>35</w:t>
      </w:r>
      <w:r w:rsidRPr="002E5A1F">
        <w:rPr>
          <w:rFonts w:ascii="Helvetica Neue" w:hAnsi="Helvetica Neue" w:cs="Times New Roman"/>
          <w:noProof/>
          <w:sz w:val="18"/>
          <w:szCs w:val="24"/>
        </w:rPr>
        <w:t>: 435–44.</w:t>
      </w:r>
    </w:p>
    <w:p w14:paraId="177D9F7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80</w:t>
      </w:r>
      <w:r w:rsidRPr="002E5A1F">
        <w:rPr>
          <w:rFonts w:ascii="Helvetica Neue" w:hAnsi="Helvetica Neue" w:cs="Times New Roman"/>
          <w:noProof/>
          <w:sz w:val="18"/>
          <w:szCs w:val="24"/>
        </w:rPr>
        <w:tab/>
        <w:t xml:space="preserve">Garnett GP, Swinton J, Brunham RC, Anderson RM. Gonococcal infection, infertility, and population growth: II. The influence of heterogeneity in sexual behaviour. </w:t>
      </w:r>
      <w:r w:rsidRPr="002E5A1F">
        <w:rPr>
          <w:rFonts w:ascii="Helvetica Neue" w:hAnsi="Helvetica Neue" w:cs="Times New Roman"/>
          <w:i/>
          <w:iCs/>
          <w:noProof/>
          <w:sz w:val="18"/>
          <w:szCs w:val="24"/>
        </w:rPr>
        <w:t>IMA J Math Appl Med Biol</w:t>
      </w:r>
      <w:r w:rsidRPr="002E5A1F">
        <w:rPr>
          <w:rFonts w:ascii="Helvetica Neue" w:hAnsi="Helvetica Neue" w:cs="Times New Roman"/>
          <w:noProof/>
          <w:sz w:val="18"/>
          <w:szCs w:val="24"/>
        </w:rPr>
        <w:t xml:space="preserve"> 1992; </w:t>
      </w:r>
      <w:r w:rsidRPr="002E5A1F">
        <w:rPr>
          <w:rFonts w:ascii="Helvetica Neue" w:hAnsi="Helvetica Neue" w:cs="Times New Roman"/>
          <w:b/>
          <w:bCs/>
          <w:noProof/>
          <w:sz w:val="18"/>
          <w:szCs w:val="24"/>
        </w:rPr>
        <w:t>9</w:t>
      </w:r>
      <w:r w:rsidRPr="002E5A1F">
        <w:rPr>
          <w:rFonts w:ascii="Helvetica Neue" w:hAnsi="Helvetica Neue" w:cs="Times New Roman"/>
          <w:noProof/>
          <w:sz w:val="18"/>
          <w:szCs w:val="24"/>
        </w:rPr>
        <w:t>: 127–44.</w:t>
      </w:r>
    </w:p>
    <w:p w14:paraId="495BC98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81</w:t>
      </w:r>
      <w:r w:rsidRPr="002E5A1F">
        <w:rPr>
          <w:rFonts w:ascii="Helvetica Neue" w:hAnsi="Helvetica Neue" w:cs="Times New Roman"/>
          <w:noProof/>
          <w:sz w:val="18"/>
          <w:szCs w:val="24"/>
        </w:rPr>
        <w:tab/>
        <w:t xml:space="preserve">Ghani AC, Aral SO. Patterns of sex worker-client contacts and their implications for the persistence of sexually transmitted infections. </w:t>
      </w:r>
      <w:r w:rsidRPr="002E5A1F">
        <w:rPr>
          <w:rFonts w:ascii="Helvetica Neue" w:hAnsi="Helvetica Neue" w:cs="Times New Roman"/>
          <w:i/>
          <w:iCs/>
          <w:noProof/>
          <w:sz w:val="18"/>
          <w:szCs w:val="24"/>
        </w:rPr>
        <w:t>J Inf Dis</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191</w:t>
      </w:r>
      <w:r w:rsidRPr="002E5A1F">
        <w:rPr>
          <w:rFonts w:ascii="Helvetica Neue" w:hAnsi="Helvetica Neue" w:cs="Times New Roman"/>
          <w:noProof/>
          <w:sz w:val="18"/>
          <w:szCs w:val="24"/>
        </w:rPr>
        <w:t>: S34–41.</w:t>
      </w:r>
    </w:p>
    <w:p w14:paraId="614E7749"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82</w:t>
      </w:r>
      <w:r w:rsidRPr="002E5A1F">
        <w:rPr>
          <w:rFonts w:ascii="Helvetica Neue" w:hAnsi="Helvetica Neue" w:cs="Times New Roman"/>
          <w:noProof/>
          <w:sz w:val="18"/>
          <w:szCs w:val="24"/>
        </w:rPr>
        <w:tab/>
        <w:t xml:space="preserve">Ghani AC, Swinton J, Garnett GP. The role of sexual partnership networks in the epidemiology of gonorrhea.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1997; </w:t>
      </w:r>
      <w:r w:rsidRPr="002E5A1F">
        <w:rPr>
          <w:rFonts w:ascii="Helvetica Neue" w:hAnsi="Helvetica Neue" w:cs="Times New Roman"/>
          <w:b/>
          <w:bCs/>
          <w:noProof/>
          <w:sz w:val="18"/>
          <w:szCs w:val="24"/>
        </w:rPr>
        <w:t>24</w:t>
      </w:r>
      <w:r w:rsidRPr="002E5A1F">
        <w:rPr>
          <w:rFonts w:ascii="Helvetica Neue" w:hAnsi="Helvetica Neue" w:cs="Times New Roman"/>
          <w:noProof/>
          <w:sz w:val="18"/>
          <w:szCs w:val="24"/>
        </w:rPr>
        <w:t>: 45–56.</w:t>
      </w:r>
    </w:p>
    <w:p w14:paraId="1A431D6A"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83</w:t>
      </w:r>
      <w:r w:rsidRPr="002E5A1F">
        <w:rPr>
          <w:rFonts w:ascii="Helvetica Neue" w:hAnsi="Helvetica Neue" w:cs="Times New Roman"/>
          <w:noProof/>
          <w:sz w:val="18"/>
          <w:szCs w:val="24"/>
        </w:rPr>
        <w:tab/>
        <w:t xml:space="preserve">Hazel A, Marino S, Simon C. An anthropologically based model of the impact of asymptomatic cases on the spread of Neisseria gonorrhoeae. </w:t>
      </w:r>
      <w:r w:rsidRPr="002E5A1F">
        <w:rPr>
          <w:rFonts w:ascii="Helvetica Neue" w:hAnsi="Helvetica Neue" w:cs="Times New Roman"/>
          <w:i/>
          <w:iCs/>
          <w:noProof/>
          <w:sz w:val="18"/>
          <w:szCs w:val="24"/>
        </w:rPr>
        <w:t>J R Soc Interface</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12</w:t>
      </w:r>
      <w:r w:rsidRPr="002E5A1F">
        <w:rPr>
          <w:rFonts w:ascii="Helvetica Neue" w:hAnsi="Helvetica Neue" w:cs="Times New Roman"/>
          <w:noProof/>
          <w:sz w:val="18"/>
          <w:szCs w:val="24"/>
        </w:rPr>
        <w:t>: 20150067.</w:t>
      </w:r>
    </w:p>
    <w:p w14:paraId="1BCC2295"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84</w:t>
      </w:r>
      <w:r w:rsidRPr="002E5A1F">
        <w:rPr>
          <w:rFonts w:ascii="Helvetica Neue" w:hAnsi="Helvetica Neue" w:cs="Times New Roman"/>
          <w:noProof/>
          <w:sz w:val="18"/>
          <w:szCs w:val="24"/>
        </w:rPr>
        <w:tab/>
        <w:t xml:space="preserve">Hui BB, Ryder N, Su J-Y,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Exploring the benefits of molecular testing for gonorrhoea antibiotic resistance surveillance in remote settings. </w:t>
      </w:r>
      <w:r w:rsidRPr="002E5A1F">
        <w:rPr>
          <w:rFonts w:ascii="Helvetica Neue" w:hAnsi="Helvetica Neue" w:cs="Times New Roman"/>
          <w:i/>
          <w:iCs/>
          <w:noProof/>
          <w:sz w:val="18"/>
          <w:szCs w:val="24"/>
        </w:rPr>
        <w:t>PLoS One</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10</w:t>
      </w:r>
      <w:r w:rsidRPr="002E5A1F">
        <w:rPr>
          <w:rFonts w:ascii="Helvetica Neue" w:hAnsi="Helvetica Neue" w:cs="Times New Roman"/>
          <w:noProof/>
          <w:sz w:val="18"/>
          <w:szCs w:val="24"/>
        </w:rPr>
        <w:t>: e0133202.</w:t>
      </w:r>
    </w:p>
    <w:p w14:paraId="0157750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85</w:t>
      </w:r>
      <w:r w:rsidRPr="002E5A1F">
        <w:rPr>
          <w:rFonts w:ascii="Helvetica Neue" w:hAnsi="Helvetica Neue" w:cs="Times New Roman"/>
          <w:noProof/>
          <w:sz w:val="18"/>
          <w:szCs w:val="24"/>
        </w:rPr>
        <w:tab/>
        <w:t xml:space="preserve">McCluskey CC, Roth E, van den Driessche P. Implication of Ariaal sexual mixing on gonorrhea. </w:t>
      </w:r>
      <w:r w:rsidRPr="002E5A1F">
        <w:rPr>
          <w:rFonts w:ascii="Helvetica Neue" w:hAnsi="Helvetica Neue" w:cs="Times New Roman"/>
          <w:i/>
          <w:iCs/>
          <w:noProof/>
          <w:sz w:val="18"/>
          <w:szCs w:val="24"/>
        </w:rPr>
        <w:t>Am J Hum Biol</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17</w:t>
      </w:r>
      <w:r w:rsidRPr="002E5A1F">
        <w:rPr>
          <w:rFonts w:ascii="Helvetica Neue" w:hAnsi="Helvetica Neue" w:cs="Times New Roman"/>
          <w:noProof/>
          <w:sz w:val="18"/>
          <w:szCs w:val="24"/>
        </w:rPr>
        <w:t>: 293–301.</w:t>
      </w:r>
    </w:p>
    <w:p w14:paraId="1330C77D"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86</w:t>
      </w:r>
      <w:r w:rsidRPr="002E5A1F">
        <w:rPr>
          <w:rFonts w:ascii="Helvetica Neue" w:hAnsi="Helvetica Neue" w:cs="Times New Roman"/>
          <w:noProof/>
          <w:sz w:val="18"/>
          <w:szCs w:val="24"/>
        </w:rPr>
        <w:tab/>
        <w:t xml:space="preserve">Turner KME, Garnett GP, Ghani AC, Sterne JAC, Low N. Investigating ethnic inequalities in the incidence of sexually transmitted infections: mathematical modelling study.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2004; </w:t>
      </w:r>
      <w:r w:rsidRPr="002E5A1F">
        <w:rPr>
          <w:rFonts w:ascii="Helvetica Neue" w:hAnsi="Helvetica Neue" w:cs="Times New Roman"/>
          <w:b/>
          <w:bCs/>
          <w:noProof/>
          <w:sz w:val="18"/>
          <w:szCs w:val="24"/>
        </w:rPr>
        <w:t>80</w:t>
      </w:r>
      <w:r w:rsidRPr="002E5A1F">
        <w:rPr>
          <w:rFonts w:ascii="Helvetica Neue" w:hAnsi="Helvetica Neue" w:cs="Times New Roman"/>
          <w:noProof/>
          <w:sz w:val="18"/>
          <w:szCs w:val="24"/>
        </w:rPr>
        <w:t>: 379–85.</w:t>
      </w:r>
    </w:p>
    <w:p w14:paraId="5161C04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87</w:t>
      </w:r>
      <w:r w:rsidRPr="002E5A1F">
        <w:rPr>
          <w:rFonts w:ascii="Helvetica Neue" w:hAnsi="Helvetica Neue" w:cs="Times New Roman"/>
          <w:noProof/>
          <w:sz w:val="18"/>
          <w:szCs w:val="24"/>
        </w:rPr>
        <w:tab/>
        <w:t xml:space="preserve">Edwards R, Kim S, van den Driessche P. A multigroup model for a heterosexually transmitted disease. </w:t>
      </w:r>
      <w:r w:rsidRPr="002E5A1F">
        <w:rPr>
          <w:rFonts w:ascii="Helvetica Neue" w:hAnsi="Helvetica Neue" w:cs="Times New Roman"/>
          <w:i/>
          <w:iCs/>
          <w:noProof/>
          <w:sz w:val="18"/>
          <w:szCs w:val="24"/>
        </w:rPr>
        <w:t>Math Biosci</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224</w:t>
      </w:r>
      <w:r w:rsidRPr="002E5A1F">
        <w:rPr>
          <w:rFonts w:ascii="Helvetica Neue" w:hAnsi="Helvetica Neue" w:cs="Times New Roman"/>
          <w:noProof/>
          <w:sz w:val="18"/>
          <w:szCs w:val="24"/>
        </w:rPr>
        <w:t>: 87–94.</w:t>
      </w:r>
    </w:p>
    <w:p w14:paraId="2E196BA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88</w:t>
      </w:r>
      <w:r w:rsidRPr="002E5A1F">
        <w:rPr>
          <w:rFonts w:ascii="Helvetica Neue" w:hAnsi="Helvetica Neue" w:cs="Times New Roman"/>
          <w:noProof/>
          <w:sz w:val="18"/>
          <w:szCs w:val="24"/>
        </w:rPr>
        <w:tab/>
        <w:t xml:space="preserve">Craig AP, Gray RT, Edwards JL,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The potential impact of vaccination on the prevalence of gonorrhea. </w:t>
      </w:r>
      <w:r w:rsidRPr="002E5A1F">
        <w:rPr>
          <w:rFonts w:ascii="Helvetica Neue" w:hAnsi="Helvetica Neue" w:cs="Times New Roman"/>
          <w:i/>
          <w:iCs/>
          <w:noProof/>
          <w:sz w:val="18"/>
          <w:szCs w:val="24"/>
        </w:rPr>
        <w:t>Vaccine</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33</w:t>
      </w:r>
      <w:r w:rsidRPr="002E5A1F">
        <w:rPr>
          <w:rFonts w:ascii="Helvetica Neue" w:hAnsi="Helvetica Neue" w:cs="Times New Roman"/>
          <w:noProof/>
          <w:sz w:val="18"/>
          <w:szCs w:val="24"/>
        </w:rPr>
        <w:t>: 4520–5.</w:t>
      </w:r>
    </w:p>
    <w:p w14:paraId="20437C00"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89</w:t>
      </w:r>
      <w:r w:rsidRPr="002E5A1F">
        <w:rPr>
          <w:rFonts w:ascii="Helvetica Neue" w:hAnsi="Helvetica Neue" w:cs="Times New Roman"/>
          <w:noProof/>
          <w:sz w:val="18"/>
          <w:szCs w:val="24"/>
        </w:rPr>
        <w:tab/>
        <w:t xml:space="preserve">Althouse BM, Hébert-Dufresne L. Epidemic cycles driven by host behaviour. </w:t>
      </w:r>
      <w:r w:rsidRPr="002E5A1F">
        <w:rPr>
          <w:rFonts w:ascii="Helvetica Neue" w:hAnsi="Helvetica Neue" w:cs="Times New Roman"/>
          <w:i/>
          <w:iCs/>
          <w:noProof/>
          <w:sz w:val="18"/>
          <w:szCs w:val="24"/>
        </w:rPr>
        <w:t>J R Stat Soc Ser B Stat Methodol</w:t>
      </w:r>
      <w:r w:rsidRPr="002E5A1F">
        <w:rPr>
          <w:rFonts w:ascii="Helvetica Neue" w:hAnsi="Helvetica Neue" w:cs="Times New Roman"/>
          <w:noProof/>
          <w:sz w:val="18"/>
          <w:szCs w:val="24"/>
        </w:rPr>
        <w:t xml:space="preserve"> 2014; </w:t>
      </w:r>
      <w:r w:rsidRPr="002E5A1F">
        <w:rPr>
          <w:rFonts w:ascii="Helvetica Neue" w:hAnsi="Helvetica Neue" w:cs="Times New Roman"/>
          <w:b/>
          <w:bCs/>
          <w:noProof/>
          <w:sz w:val="18"/>
          <w:szCs w:val="24"/>
        </w:rPr>
        <w:t>11</w:t>
      </w:r>
      <w:r w:rsidRPr="002E5A1F">
        <w:rPr>
          <w:rFonts w:ascii="Helvetica Neue" w:hAnsi="Helvetica Neue" w:cs="Times New Roman"/>
          <w:noProof/>
          <w:sz w:val="18"/>
          <w:szCs w:val="24"/>
        </w:rPr>
        <w:t>: 20140575.</w:t>
      </w:r>
    </w:p>
    <w:p w14:paraId="57F8C46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90</w:t>
      </w:r>
      <w:r w:rsidRPr="002E5A1F">
        <w:rPr>
          <w:rFonts w:ascii="Helvetica Neue" w:hAnsi="Helvetica Neue" w:cs="Times New Roman"/>
          <w:noProof/>
          <w:sz w:val="18"/>
          <w:szCs w:val="24"/>
        </w:rPr>
        <w:tab/>
        <w:t xml:space="preserve">Boily MC, Anderson RM. Human immunodeficiency virus transmission and the role of other sexually transmitted diseases. Measures of association and study design.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1996; </w:t>
      </w:r>
      <w:r w:rsidRPr="002E5A1F">
        <w:rPr>
          <w:rFonts w:ascii="Helvetica Neue" w:hAnsi="Helvetica Neue" w:cs="Times New Roman"/>
          <w:b/>
          <w:bCs/>
          <w:noProof/>
          <w:sz w:val="18"/>
          <w:szCs w:val="24"/>
        </w:rPr>
        <w:t>23</w:t>
      </w:r>
      <w:r w:rsidRPr="002E5A1F">
        <w:rPr>
          <w:rFonts w:ascii="Helvetica Neue" w:hAnsi="Helvetica Neue" w:cs="Times New Roman"/>
          <w:noProof/>
          <w:sz w:val="18"/>
          <w:szCs w:val="24"/>
        </w:rPr>
        <w:t>: 312–32.</w:t>
      </w:r>
    </w:p>
    <w:p w14:paraId="7D94347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91</w:t>
      </w:r>
      <w:r w:rsidRPr="002E5A1F">
        <w:rPr>
          <w:rFonts w:ascii="Helvetica Neue" w:hAnsi="Helvetica Neue" w:cs="Times New Roman"/>
          <w:noProof/>
          <w:sz w:val="18"/>
          <w:szCs w:val="24"/>
        </w:rPr>
        <w:tab/>
        <w:t xml:space="preserve">Garnett GP, Mertz KJ, Finelli L, Levine WC, St Louis ME. The transmission dynamics of gonorrhoea: modelling the reported behaviour of infected patients from Newark, New Jersey. </w:t>
      </w:r>
      <w:r w:rsidRPr="002E5A1F">
        <w:rPr>
          <w:rFonts w:ascii="Helvetica Neue" w:hAnsi="Helvetica Neue" w:cs="Times New Roman"/>
          <w:i/>
          <w:iCs/>
          <w:noProof/>
          <w:sz w:val="18"/>
          <w:szCs w:val="24"/>
        </w:rPr>
        <w:t>Philos Trans R Soc L B Biol Sci</w:t>
      </w:r>
      <w:r w:rsidRPr="002E5A1F">
        <w:rPr>
          <w:rFonts w:ascii="Helvetica Neue" w:hAnsi="Helvetica Neue" w:cs="Times New Roman"/>
          <w:noProof/>
          <w:sz w:val="18"/>
          <w:szCs w:val="24"/>
        </w:rPr>
        <w:t xml:space="preserve"> 1999; </w:t>
      </w:r>
      <w:r w:rsidRPr="002E5A1F">
        <w:rPr>
          <w:rFonts w:ascii="Helvetica Neue" w:hAnsi="Helvetica Neue" w:cs="Times New Roman"/>
          <w:b/>
          <w:bCs/>
          <w:noProof/>
          <w:sz w:val="18"/>
          <w:szCs w:val="24"/>
        </w:rPr>
        <w:t>354</w:t>
      </w:r>
      <w:r w:rsidRPr="002E5A1F">
        <w:rPr>
          <w:rFonts w:ascii="Helvetica Neue" w:hAnsi="Helvetica Neue" w:cs="Times New Roman"/>
          <w:noProof/>
          <w:sz w:val="18"/>
          <w:szCs w:val="24"/>
        </w:rPr>
        <w:t>: 787–97.</w:t>
      </w:r>
    </w:p>
    <w:p w14:paraId="39AD427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lastRenderedPageBreak/>
        <w:t>92</w:t>
      </w:r>
      <w:r w:rsidRPr="002E5A1F">
        <w:rPr>
          <w:rFonts w:ascii="Helvetica Neue" w:hAnsi="Helvetica Neue" w:cs="Times New Roman"/>
          <w:noProof/>
          <w:sz w:val="18"/>
          <w:szCs w:val="24"/>
        </w:rPr>
        <w:tab/>
        <w:t xml:space="preserve">Xiridou M, Soetens LC, Koedijk FDH, VAN DER Sande MAB, Wallinga J. Public health measures to control the spread of antimicrobial resistance in Neisseria gonorrhoeae in men who have sex with men. </w:t>
      </w:r>
      <w:r w:rsidRPr="002E5A1F">
        <w:rPr>
          <w:rFonts w:ascii="Helvetica Neue" w:hAnsi="Helvetica Neue" w:cs="Times New Roman"/>
          <w:i/>
          <w:iCs/>
          <w:noProof/>
          <w:sz w:val="18"/>
          <w:szCs w:val="24"/>
        </w:rPr>
        <w:t>Epidemiol Infect</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143</w:t>
      </w:r>
      <w:r w:rsidRPr="002E5A1F">
        <w:rPr>
          <w:rFonts w:ascii="Helvetica Neue" w:hAnsi="Helvetica Neue" w:cs="Times New Roman"/>
          <w:noProof/>
          <w:sz w:val="18"/>
          <w:szCs w:val="24"/>
        </w:rPr>
        <w:t>: 1575–84.</w:t>
      </w:r>
    </w:p>
    <w:p w14:paraId="46DAF67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93</w:t>
      </w:r>
      <w:r w:rsidRPr="002E5A1F">
        <w:rPr>
          <w:rFonts w:ascii="Helvetica Neue" w:hAnsi="Helvetica Neue" w:cs="Times New Roman"/>
          <w:noProof/>
          <w:sz w:val="18"/>
          <w:szCs w:val="24"/>
        </w:rPr>
        <w:tab/>
        <w:t xml:space="preserve">Morin BR, Medina-Rios L, Camacho ET, Castillo-Chavez C. Static behavioral effects on gonorrhea transmission dynamics in a MSM population. </w:t>
      </w:r>
      <w:r w:rsidRPr="002E5A1F">
        <w:rPr>
          <w:rFonts w:ascii="Helvetica Neue" w:hAnsi="Helvetica Neue" w:cs="Times New Roman"/>
          <w:i/>
          <w:iCs/>
          <w:noProof/>
          <w:sz w:val="18"/>
          <w:szCs w:val="24"/>
        </w:rPr>
        <w:t>J Theor Biol</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267</w:t>
      </w:r>
      <w:r w:rsidRPr="002E5A1F">
        <w:rPr>
          <w:rFonts w:ascii="Helvetica Neue" w:hAnsi="Helvetica Neue" w:cs="Times New Roman"/>
          <w:noProof/>
          <w:sz w:val="18"/>
          <w:szCs w:val="24"/>
        </w:rPr>
        <w:t>: 35–40.</w:t>
      </w:r>
    </w:p>
    <w:p w14:paraId="592D1D8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94</w:t>
      </w:r>
      <w:r w:rsidRPr="002E5A1F">
        <w:rPr>
          <w:rFonts w:ascii="Helvetica Neue" w:hAnsi="Helvetica Neue" w:cs="Times New Roman"/>
          <w:noProof/>
          <w:sz w:val="18"/>
          <w:szCs w:val="24"/>
        </w:rPr>
        <w:tab/>
        <w:t xml:space="preserve">Xiridou M, Lugnér A, de Vries HJC,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Cost-effectiveness of dual antimicrobial therapy for gonococcal infections among men who have sex with men in the Netherlands.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2016; </w:t>
      </w:r>
      <w:r w:rsidRPr="002E5A1F">
        <w:rPr>
          <w:rFonts w:ascii="Helvetica Neue" w:hAnsi="Helvetica Neue" w:cs="Times New Roman"/>
          <w:b/>
          <w:bCs/>
          <w:noProof/>
          <w:sz w:val="18"/>
          <w:szCs w:val="24"/>
        </w:rPr>
        <w:t>43</w:t>
      </w:r>
      <w:r w:rsidRPr="002E5A1F">
        <w:rPr>
          <w:rFonts w:ascii="Helvetica Neue" w:hAnsi="Helvetica Neue" w:cs="Times New Roman"/>
          <w:noProof/>
          <w:sz w:val="18"/>
          <w:szCs w:val="24"/>
        </w:rPr>
        <w:t>: 542–8.</w:t>
      </w:r>
    </w:p>
    <w:p w14:paraId="32D27AA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95</w:t>
      </w:r>
      <w:r w:rsidRPr="002E5A1F">
        <w:rPr>
          <w:rFonts w:ascii="Helvetica Neue" w:hAnsi="Helvetica Neue" w:cs="Times New Roman"/>
          <w:noProof/>
          <w:sz w:val="18"/>
          <w:szCs w:val="24"/>
        </w:rPr>
        <w:tab/>
        <w:t xml:space="preserve">Hui B, Fairley CK, Chen M,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Oral and anal sex are key to sustaining gonorrhoea at endemic levels in MSM populations: a mathematical model.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91</w:t>
      </w:r>
      <w:r w:rsidRPr="002E5A1F">
        <w:rPr>
          <w:rFonts w:ascii="Helvetica Neue" w:hAnsi="Helvetica Neue" w:cs="Times New Roman"/>
          <w:noProof/>
          <w:sz w:val="18"/>
          <w:szCs w:val="24"/>
        </w:rPr>
        <w:t>: 365–9.</w:t>
      </w:r>
    </w:p>
    <w:p w14:paraId="4FB8B58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96</w:t>
      </w:r>
      <w:r w:rsidRPr="002E5A1F">
        <w:rPr>
          <w:rFonts w:ascii="Helvetica Neue" w:hAnsi="Helvetica Neue" w:cs="Times New Roman"/>
          <w:noProof/>
          <w:sz w:val="18"/>
          <w:szCs w:val="24"/>
        </w:rPr>
        <w:tab/>
        <w:t xml:space="preserve">Farley TA, Cohen DA, Elkins W. Asymptomatic sexually transmitted diseases: The case for screening. </w:t>
      </w:r>
      <w:r w:rsidRPr="002E5A1F">
        <w:rPr>
          <w:rFonts w:ascii="Helvetica Neue" w:hAnsi="Helvetica Neue" w:cs="Times New Roman"/>
          <w:i/>
          <w:iCs/>
          <w:noProof/>
          <w:sz w:val="18"/>
          <w:szCs w:val="24"/>
        </w:rPr>
        <w:t>Prev Med (Baltim)</w:t>
      </w:r>
      <w:r w:rsidRPr="002E5A1F">
        <w:rPr>
          <w:rFonts w:ascii="Helvetica Neue" w:hAnsi="Helvetica Neue" w:cs="Times New Roman"/>
          <w:noProof/>
          <w:sz w:val="18"/>
          <w:szCs w:val="24"/>
        </w:rPr>
        <w:t xml:space="preserve"> 2003; </w:t>
      </w:r>
      <w:r w:rsidRPr="002E5A1F">
        <w:rPr>
          <w:rFonts w:ascii="Helvetica Neue" w:hAnsi="Helvetica Neue" w:cs="Times New Roman"/>
          <w:b/>
          <w:bCs/>
          <w:noProof/>
          <w:sz w:val="18"/>
          <w:szCs w:val="24"/>
        </w:rPr>
        <w:t>36</w:t>
      </w:r>
      <w:r w:rsidRPr="002E5A1F">
        <w:rPr>
          <w:rFonts w:ascii="Helvetica Neue" w:hAnsi="Helvetica Neue" w:cs="Times New Roman"/>
          <w:noProof/>
          <w:sz w:val="18"/>
          <w:szCs w:val="24"/>
        </w:rPr>
        <w:t>: 502–9.</w:t>
      </w:r>
    </w:p>
    <w:p w14:paraId="7C19F4B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97</w:t>
      </w:r>
      <w:r w:rsidRPr="002E5A1F">
        <w:rPr>
          <w:rFonts w:ascii="Helvetica Neue" w:hAnsi="Helvetica Neue" w:cs="Times New Roman"/>
          <w:noProof/>
          <w:sz w:val="18"/>
          <w:szCs w:val="24"/>
        </w:rPr>
        <w:tab/>
        <w:t xml:space="preserve">Kent CK, Chaw JK, Wong W,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Prevalence of rectal, urethral, and pharyngeal chlamydia and gonorrhea detected in 2 clinical settings among men who have sex with men: San Francisco, California, 2003. </w:t>
      </w:r>
      <w:r w:rsidRPr="002E5A1F">
        <w:rPr>
          <w:rFonts w:ascii="Helvetica Neue" w:hAnsi="Helvetica Neue" w:cs="Times New Roman"/>
          <w:i/>
          <w:iCs/>
          <w:noProof/>
          <w:sz w:val="18"/>
          <w:szCs w:val="24"/>
        </w:rPr>
        <w:t>Clin Infect Dis</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41</w:t>
      </w:r>
      <w:r w:rsidRPr="002E5A1F">
        <w:rPr>
          <w:rFonts w:ascii="Helvetica Neue" w:hAnsi="Helvetica Neue" w:cs="Times New Roman"/>
          <w:noProof/>
          <w:sz w:val="18"/>
          <w:szCs w:val="24"/>
        </w:rPr>
        <w:t>: 67–74.</w:t>
      </w:r>
    </w:p>
    <w:p w14:paraId="0ACDA1B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98</w:t>
      </w:r>
      <w:r w:rsidRPr="002E5A1F">
        <w:rPr>
          <w:rFonts w:ascii="Helvetica Neue" w:hAnsi="Helvetica Neue" w:cs="Times New Roman"/>
          <w:noProof/>
          <w:sz w:val="18"/>
          <w:szCs w:val="24"/>
        </w:rPr>
        <w:tab/>
        <w:t xml:space="preserve">Gift TL, Kissinger P, Mohammed H, Leichliter JS, Hogben M, Golden MR. The cost and cost-effectiveness of expedited partner therapy compared with standard partner referral for the treatment of chlamydia or gonorrhea.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2011; </w:t>
      </w:r>
      <w:r w:rsidRPr="002E5A1F">
        <w:rPr>
          <w:rFonts w:ascii="Helvetica Neue" w:hAnsi="Helvetica Neue" w:cs="Times New Roman"/>
          <w:b/>
          <w:bCs/>
          <w:noProof/>
          <w:sz w:val="18"/>
          <w:szCs w:val="24"/>
        </w:rPr>
        <w:t>38</w:t>
      </w:r>
      <w:r w:rsidRPr="002E5A1F">
        <w:rPr>
          <w:rFonts w:ascii="Helvetica Neue" w:hAnsi="Helvetica Neue" w:cs="Times New Roman"/>
          <w:noProof/>
          <w:sz w:val="18"/>
          <w:szCs w:val="24"/>
        </w:rPr>
        <w:t>: 1067–73.</w:t>
      </w:r>
    </w:p>
    <w:p w14:paraId="0DC1BAE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99</w:t>
      </w:r>
      <w:r w:rsidRPr="002E5A1F">
        <w:rPr>
          <w:rFonts w:ascii="Helvetica Neue" w:hAnsi="Helvetica Neue" w:cs="Times New Roman"/>
          <w:noProof/>
          <w:sz w:val="18"/>
          <w:szCs w:val="24"/>
        </w:rPr>
        <w:tab/>
        <w:t xml:space="preserve">Tuite AR, Jayaraman GC, Allen VG, Fisman DN. Estimation of the burden of disease and costs of genital Chlamydia trachomatis infection in Canada.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2012; </w:t>
      </w:r>
      <w:r w:rsidRPr="002E5A1F">
        <w:rPr>
          <w:rFonts w:ascii="Helvetica Neue" w:hAnsi="Helvetica Neue" w:cs="Times New Roman"/>
          <w:b/>
          <w:bCs/>
          <w:noProof/>
          <w:sz w:val="18"/>
          <w:szCs w:val="24"/>
        </w:rPr>
        <w:t>39</w:t>
      </w:r>
      <w:r w:rsidRPr="002E5A1F">
        <w:rPr>
          <w:rFonts w:ascii="Helvetica Neue" w:hAnsi="Helvetica Neue" w:cs="Times New Roman"/>
          <w:noProof/>
          <w:sz w:val="18"/>
          <w:szCs w:val="24"/>
        </w:rPr>
        <w:t>: 260–7.</w:t>
      </w:r>
    </w:p>
    <w:p w14:paraId="5C2D00F2"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100</w:t>
      </w:r>
      <w:r w:rsidRPr="002E5A1F">
        <w:rPr>
          <w:rFonts w:ascii="Helvetica Neue" w:hAnsi="Helvetica Neue" w:cs="Times New Roman"/>
          <w:noProof/>
          <w:sz w:val="18"/>
          <w:szCs w:val="24"/>
        </w:rPr>
        <w:tab/>
        <w:t xml:space="preserve">White PJ, Ward H, Cassell JA, Mercer CH, Garnett GP. Vicious and virtuous circles in the dynamics of infectious disease and the provision of health care: gonorrhea in Britain as an example. </w:t>
      </w:r>
      <w:r w:rsidRPr="002E5A1F">
        <w:rPr>
          <w:rFonts w:ascii="Helvetica Neue" w:hAnsi="Helvetica Neue" w:cs="Times New Roman"/>
          <w:i/>
          <w:iCs/>
          <w:noProof/>
          <w:sz w:val="18"/>
          <w:szCs w:val="24"/>
        </w:rPr>
        <w:t>J Inf Dis</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192</w:t>
      </w:r>
      <w:r w:rsidRPr="002E5A1F">
        <w:rPr>
          <w:rFonts w:ascii="Helvetica Neue" w:hAnsi="Helvetica Neue" w:cs="Times New Roman"/>
          <w:noProof/>
          <w:sz w:val="18"/>
          <w:szCs w:val="24"/>
        </w:rPr>
        <w:t>: 824–36.</w:t>
      </w:r>
    </w:p>
    <w:p w14:paraId="458A1E8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101</w:t>
      </w:r>
      <w:r w:rsidRPr="002E5A1F">
        <w:rPr>
          <w:rFonts w:ascii="Helvetica Neue" w:hAnsi="Helvetica Neue" w:cs="Times New Roman"/>
          <w:noProof/>
          <w:sz w:val="18"/>
          <w:szCs w:val="24"/>
        </w:rPr>
        <w:tab/>
        <w:t xml:space="preserve">Vickerman P, Ndowa F, O’Farrell N, Steen R, Alary M, Delany-Moretlwe S. Using mathematical modelling to estimate the impact of periodic presumptive treatment on the transmission of sexually transmitted infections and HIV among female sex workers.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86</w:t>
      </w:r>
      <w:r w:rsidRPr="002E5A1F">
        <w:rPr>
          <w:rFonts w:ascii="Helvetica Neue" w:hAnsi="Helvetica Neue" w:cs="Times New Roman"/>
          <w:noProof/>
          <w:sz w:val="18"/>
          <w:szCs w:val="24"/>
        </w:rPr>
        <w:t>: 163–8.</w:t>
      </w:r>
    </w:p>
    <w:p w14:paraId="5EC1057E"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102</w:t>
      </w:r>
      <w:r w:rsidRPr="002E5A1F">
        <w:rPr>
          <w:rFonts w:ascii="Helvetica Neue" w:hAnsi="Helvetica Neue" w:cs="Times New Roman"/>
          <w:noProof/>
          <w:sz w:val="18"/>
          <w:szCs w:val="24"/>
        </w:rPr>
        <w:tab/>
        <w:t xml:space="preserve">Brunham RC, Pourbohloul B, Mak S, White R, Rekart ML. The unexpected impact of a Chlamydia trachomatis infection control program on susceptibility to reinfection. </w:t>
      </w:r>
      <w:r w:rsidRPr="002E5A1F">
        <w:rPr>
          <w:rFonts w:ascii="Helvetica Neue" w:hAnsi="Helvetica Neue" w:cs="Times New Roman"/>
          <w:i/>
          <w:iCs/>
          <w:noProof/>
          <w:sz w:val="18"/>
          <w:szCs w:val="24"/>
        </w:rPr>
        <w:t>J Inf Dis</w:t>
      </w:r>
      <w:r w:rsidRPr="002E5A1F">
        <w:rPr>
          <w:rFonts w:ascii="Helvetica Neue" w:hAnsi="Helvetica Neue" w:cs="Times New Roman"/>
          <w:noProof/>
          <w:sz w:val="18"/>
          <w:szCs w:val="24"/>
        </w:rPr>
        <w:t xml:space="preserve"> 2005; </w:t>
      </w:r>
      <w:r w:rsidRPr="002E5A1F">
        <w:rPr>
          <w:rFonts w:ascii="Helvetica Neue" w:hAnsi="Helvetica Neue" w:cs="Times New Roman"/>
          <w:b/>
          <w:bCs/>
          <w:noProof/>
          <w:sz w:val="18"/>
          <w:szCs w:val="24"/>
        </w:rPr>
        <w:t>192</w:t>
      </w:r>
      <w:r w:rsidRPr="002E5A1F">
        <w:rPr>
          <w:rFonts w:ascii="Helvetica Neue" w:hAnsi="Helvetica Neue" w:cs="Times New Roman"/>
          <w:noProof/>
          <w:sz w:val="18"/>
          <w:szCs w:val="24"/>
        </w:rPr>
        <w:t>: 1836–44.</w:t>
      </w:r>
    </w:p>
    <w:p w14:paraId="2DFC8951"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103</w:t>
      </w:r>
      <w:r w:rsidRPr="002E5A1F">
        <w:rPr>
          <w:rFonts w:ascii="Helvetica Neue" w:hAnsi="Helvetica Neue" w:cs="Times New Roman"/>
          <w:noProof/>
          <w:sz w:val="18"/>
          <w:szCs w:val="24"/>
        </w:rPr>
        <w:tab/>
        <w:t xml:space="preserve">Althaus CL, Heijne JCM, Roellin A, Low N. Transmission dynamics of Chlamydia trachomatis affect the impact of screening programmes. </w:t>
      </w:r>
      <w:r w:rsidRPr="002E5A1F">
        <w:rPr>
          <w:rFonts w:ascii="Helvetica Neue" w:hAnsi="Helvetica Neue" w:cs="Times New Roman"/>
          <w:i/>
          <w:iCs/>
          <w:noProof/>
          <w:sz w:val="18"/>
          <w:szCs w:val="24"/>
        </w:rPr>
        <w:t>Epidemics</w:t>
      </w:r>
      <w:r w:rsidRPr="002E5A1F">
        <w:rPr>
          <w:rFonts w:ascii="Helvetica Neue" w:hAnsi="Helvetica Neue" w:cs="Times New Roman"/>
          <w:noProof/>
          <w:sz w:val="18"/>
          <w:szCs w:val="24"/>
        </w:rPr>
        <w:t xml:space="preserve"> 2010; </w:t>
      </w:r>
      <w:r w:rsidRPr="002E5A1F">
        <w:rPr>
          <w:rFonts w:ascii="Helvetica Neue" w:hAnsi="Helvetica Neue" w:cs="Times New Roman"/>
          <w:b/>
          <w:bCs/>
          <w:noProof/>
          <w:sz w:val="18"/>
          <w:szCs w:val="24"/>
        </w:rPr>
        <w:t>2</w:t>
      </w:r>
      <w:r w:rsidRPr="002E5A1F">
        <w:rPr>
          <w:rFonts w:ascii="Helvetica Neue" w:hAnsi="Helvetica Neue" w:cs="Times New Roman"/>
          <w:noProof/>
          <w:sz w:val="18"/>
          <w:szCs w:val="24"/>
        </w:rPr>
        <w:t>: 123–31.</w:t>
      </w:r>
    </w:p>
    <w:p w14:paraId="4C2CBA66"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104</w:t>
      </w:r>
      <w:r w:rsidRPr="002E5A1F">
        <w:rPr>
          <w:rFonts w:ascii="Helvetica Neue" w:hAnsi="Helvetica Neue" w:cs="Times New Roman"/>
          <w:noProof/>
          <w:sz w:val="18"/>
          <w:szCs w:val="24"/>
        </w:rPr>
        <w:tab/>
        <w:t xml:space="preserve">Boily MC, Lowndes C, Alary M. The impact of HIV epidemic phases on the effectiveness of core group interventions: insights from mathematical models. </w:t>
      </w:r>
      <w:r w:rsidRPr="002E5A1F">
        <w:rPr>
          <w:rFonts w:ascii="Helvetica Neue" w:hAnsi="Helvetica Neue" w:cs="Times New Roman"/>
          <w:i/>
          <w:iCs/>
          <w:noProof/>
          <w:sz w:val="18"/>
          <w:szCs w:val="24"/>
        </w:rPr>
        <w:t>Sex Transm Infect</w:t>
      </w:r>
      <w:r w:rsidRPr="002E5A1F">
        <w:rPr>
          <w:rFonts w:ascii="Helvetica Neue" w:hAnsi="Helvetica Neue" w:cs="Times New Roman"/>
          <w:noProof/>
          <w:sz w:val="18"/>
          <w:szCs w:val="24"/>
        </w:rPr>
        <w:t xml:space="preserve"> 2002; </w:t>
      </w:r>
      <w:r w:rsidRPr="002E5A1F">
        <w:rPr>
          <w:rFonts w:ascii="Helvetica Neue" w:hAnsi="Helvetica Neue" w:cs="Times New Roman"/>
          <w:b/>
          <w:bCs/>
          <w:noProof/>
          <w:sz w:val="18"/>
          <w:szCs w:val="24"/>
        </w:rPr>
        <w:t>78 Suppl 1</w:t>
      </w:r>
      <w:r w:rsidRPr="002E5A1F">
        <w:rPr>
          <w:rFonts w:ascii="Helvetica Neue" w:hAnsi="Helvetica Neue" w:cs="Times New Roman"/>
          <w:noProof/>
          <w:sz w:val="18"/>
          <w:szCs w:val="24"/>
        </w:rPr>
        <w:t>: i78-90.</w:t>
      </w:r>
    </w:p>
    <w:p w14:paraId="6AF7A9F4"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105</w:t>
      </w:r>
      <w:r w:rsidRPr="002E5A1F">
        <w:rPr>
          <w:rFonts w:ascii="Helvetica Neue" w:hAnsi="Helvetica Neue" w:cs="Times New Roman"/>
          <w:noProof/>
          <w:sz w:val="18"/>
          <w:szCs w:val="24"/>
        </w:rPr>
        <w:tab/>
        <w:t xml:space="preserve">Centers for Disease Control and Prevention. 2015 STD Treatment Guidelines. </w:t>
      </w:r>
      <w:r w:rsidRPr="002E5A1F">
        <w:rPr>
          <w:rFonts w:ascii="Helvetica Neue" w:hAnsi="Helvetica Neue" w:cs="Times New Roman"/>
          <w:i/>
          <w:iCs/>
          <w:noProof/>
          <w:sz w:val="18"/>
          <w:szCs w:val="24"/>
        </w:rPr>
        <w:t>MMWR Recomm Reports</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64</w:t>
      </w:r>
      <w:r w:rsidRPr="002E5A1F">
        <w:rPr>
          <w:rFonts w:ascii="Helvetica Neue" w:hAnsi="Helvetica Neue" w:cs="Times New Roman"/>
          <w:noProof/>
          <w:sz w:val="18"/>
          <w:szCs w:val="24"/>
        </w:rPr>
        <w:t>. http://www.cdc.gov/std/tg2015/default.htm.</w:t>
      </w:r>
    </w:p>
    <w:p w14:paraId="3A3FD9B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106</w:t>
      </w:r>
      <w:r w:rsidRPr="002E5A1F">
        <w:rPr>
          <w:rFonts w:ascii="Helvetica Neue" w:hAnsi="Helvetica Neue" w:cs="Times New Roman"/>
          <w:noProof/>
          <w:sz w:val="18"/>
          <w:szCs w:val="24"/>
        </w:rPr>
        <w:tab/>
        <w:t xml:space="preserve">Hoots BE, Torrone EA, Bernstein KT, Paz-Bailey G, NHBS Study Group. Self-reported chlamydia and gonorrhea testing and diagnosis among men who have sex with men 20 U.S. cities, 2011 and 2014.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2018; : 1.</w:t>
      </w:r>
    </w:p>
    <w:p w14:paraId="3E9141A3"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107</w:t>
      </w:r>
      <w:r w:rsidRPr="002E5A1F">
        <w:rPr>
          <w:rFonts w:ascii="Helvetica Neue" w:hAnsi="Helvetica Neue" w:cs="Times New Roman"/>
          <w:noProof/>
          <w:sz w:val="18"/>
          <w:szCs w:val="24"/>
        </w:rPr>
        <w:tab/>
        <w:t xml:space="preserve">Hoots BE, Torrone E, Bernstein KT, Paz-Bailey G. Chlamydia and gonorrhea testing and diagnosis among men who have sex with men — 20 U.S. cities, 2011 and 2014. </w:t>
      </w:r>
      <w:r w:rsidRPr="002E5A1F">
        <w:rPr>
          <w:rFonts w:ascii="Helvetica Neue" w:hAnsi="Helvetica Neue" w:cs="Times New Roman"/>
          <w:i/>
          <w:iCs/>
          <w:noProof/>
          <w:sz w:val="18"/>
          <w:szCs w:val="24"/>
        </w:rPr>
        <w:t>Unpublished</w:t>
      </w:r>
      <w:r w:rsidRPr="002E5A1F">
        <w:rPr>
          <w:rFonts w:ascii="Helvetica Neue" w:hAnsi="Helvetica Neue" w:cs="Times New Roman"/>
          <w:noProof/>
          <w:sz w:val="18"/>
          <w:szCs w:val="24"/>
        </w:rPr>
        <w:t xml:space="preserve"> 2017.</w:t>
      </w:r>
    </w:p>
    <w:p w14:paraId="658FEE7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108</w:t>
      </w:r>
      <w:r w:rsidRPr="002E5A1F">
        <w:rPr>
          <w:rFonts w:ascii="Helvetica Neue" w:hAnsi="Helvetica Neue" w:cs="Times New Roman"/>
          <w:noProof/>
          <w:sz w:val="18"/>
          <w:szCs w:val="24"/>
        </w:rPr>
        <w:tab/>
        <w:t xml:space="preserve">Rosenberg ES, Grey JA, Sanchez TH, Sullivan PS. Rates of Prevalent HIV Infection, Prevalent Diagnoses, and New Diagnoses Among Men Who Have Sex With Men in US States, Metropolitan Statistical Areas, and Counties, 2012-2013. </w:t>
      </w:r>
      <w:r w:rsidRPr="002E5A1F">
        <w:rPr>
          <w:rFonts w:ascii="Helvetica Neue" w:hAnsi="Helvetica Neue" w:cs="Times New Roman"/>
          <w:i/>
          <w:iCs/>
          <w:noProof/>
          <w:sz w:val="18"/>
          <w:szCs w:val="24"/>
        </w:rPr>
        <w:t>JMIR public Heal Surveill</w:t>
      </w:r>
      <w:r w:rsidRPr="002E5A1F">
        <w:rPr>
          <w:rFonts w:ascii="Helvetica Neue" w:hAnsi="Helvetica Neue" w:cs="Times New Roman"/>
          <w:noProof/>
          <w:sz w:val="18"/>
          <w:szCs w:val="24"/>
        </w:rPr>
        <w:t xml:space="preserve"> 2016; </w:t>
      </w:r>
      <w:r w:rsidRPr="002E5A1F">
        <w:rPr>
          <w:rFonts w:ascii="Helvetica Neue" w:hAnsi="Helvetica Neue" w:cs="Times New Roman"/>
          <w:b/>
          <w:bCs/>
          <w:noProof/>
          <w:sz w:val="18"/>
          <w:szCs w:val="24"/>
        </w:rPr>
        <w:t>2</w:t>
      </w:r>
      <w:r w:rsidRPr="002E5A1F">
        <w:rPr>
          <w:rFonts w:ascii="Helvetica Neue" w:hAnsi="Helvetica Neue" w:cs="Times New Roman"/>
          <w:noProof/>
          <w:sz w:val="18"/>
          <w:szCs w:val="24"/>
        </w:rPr>
        <w:t>: e22.</w:t>
      </w:r>
    </w:p>
    <w:p w14:paraId="5DBC4CC8"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109</w:t>
      </w:r>
      <w:r w:rsidRPr="002E5A1F">
        <w:rPr>
          <w:rFonts w:ascii="Helvetica Neue" w:hAnsi="Helvetica Neue" w:cs="Times New Roman"/>
          <w:noProof/>
          <w:sz w:val="18"/>
          <w:szCs w:val="24"/>
        </w:rPr>
        <w:tab/>
        <w:t xml:space="preserve">Kelley CF, Vaughan AS, Luisi N,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The effect of high rates of bacterial sexually transmitted infections on HIV incidence in a cohort of black and white men who have sex with men in Atlanta, Georgia. </w:t>
      </w:r>
      <w:r w:rsidRPr="002E5A1F">
        <w:rPr>
          <w:rFonts w:ascii="Helvetica Neue" w:hAnsi="Helvetica Neue" w:cs="Times New Roman"/>
          <w:i/>
          <w:iCs/>
          <w:noProof/>
          <w:sz w:val="18"/>
          <w:szCs w:val="24"/>
        </w:rPr>
        <w:t>AIDS Res Hum Retroviruses</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31</w:t>
      </w:r>
      <w:r w:rsidRPr="002E5A1F">
        <w:rPr>
          <w:rFonts w:ascii="Helvetica Neue" w:hAnsi="Helvetica Neue" w:cs="Times New Roman"/>
          <w:noProof/>
          <w:sz w:val="18"/>
          <w:szCs w:val="24"/>
        </w:rPr>
        <w:t>: 587–92.</w:t>
      </w:r>
    </w:p>
    <w:p w14:paraId="1BDA70AC"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110</w:t>
      </w:r>
      <w:r w:rsidRPr="002E5A1F">
        <w:rPr>
          <w:rFonts w:ascii="Helvetica Neue" w:hAnsi="Helvetica Neue" w:cs="Times New Roman"/>
          <w:noProof/>
          <w:sz w:val="18"/>
          <w:szCs w:val="24"/>
        </w:rPr>
        <w:tab/>
        <w:t xml:space="preserve">Hernández-Romieu AC, Sullivan PS, Rothenberg R,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Heterogeneity of HIV prevalence among the sexual networks of black and white men who have sex with men in Atlanta: Illuminating a mechanism for increased HIV risk for young black men who have sex with men.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2015; </w:t>
      </w:r>
      <w:r w:rsidRPr="002E5A1F">
        <w:rPr>
          <w:rFonts w:ascii="Helvetica Neue" w:hAnsi="Helvetica Neue" w:cs="Times New Roman"/>
          <w:b/>
          <w:bCs/>
          <w:noProof/>
          <w:sz w:val="18"/>
          <w:szCs w:val="24"/>
        </w:rPr>
        <w:t>42</w:t>
      </w:r>
      <w:r w:rsidRPr="002E5A1F">
        <w:rPr>
          <w:rFonts w:ascii="Helvetica Neue" w:hAnsi="Helvetica Neue" w:cs="Times New Roman"/>
          <w:noProof/>
          <w:sz w:val="18"/>
          <w:szCs w:val="24"/>
        </w:rPr>
        <w:t>: 505–12.</w:t>
      </w:r>
    </w:p>
    <w:p w14:paraId="26212C0F"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111</w:t>
      </w:r>
      <w:r w:rsidRPr="002E5A1F">
        <w:rPr>
          <w:rFonts w:ascii="Helvetica Neue" w:hAnsi="Helvetica Neue" w:cs="Times New Roman"/>
          <w:noProof/>
          <w:sz w:val="18"/>
          <w:szCs w:val="24"/>
        </w:rPr>
        <w:tab/>
        <w:t xml:space="preserve">Korenromp EL, Bakker R, De Vlas SJ, Robinson NJ, Hayes R, Habbema JDF. Can behavior change explain increases in the proportion of genital ulcers attributable to herpes in sub-Saharan Africa? A simulation modeling study.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2002; </w:t>
      </w:r>
      <w:r w:rsidRPr="002E5A1F">
        <w:rPr>
          <w:rFonts w:ascii="Helvetica Neue" w:hAnsi="Helvetica Neue" w:cs="Times New Roman"/>
          <w:b/>
          <w:bCs/>
          <w:noProof/>
          <w:sz w:val="18"/>
          <w:szCs w:val="24"/>
        </w:rPr>
        <w:t>29</w:t>
      </w:r>
      <w:r w:rsidRPr="002E5A1F">
        <w:rPr>
          <w:rFonts w:ascii="Helvetica Neue" w:hAnsi="Helvetica Neue" w:cs="Times New Roman"/>
          <w:noProof/>
          <w:sz w:val="18"/>
          <w:szCs w:val="24"/>
        </w:rPr>
        <w:t>: 228–38.</w:t>
      </w:r>
    </w:p>
    <w:p w14:paraId="61A4106B" w14:textId="77777777" w:rsidR="002E5A1F" w:rsidRPr="002E5A1F" w:rsidRDefault="002E5A1F" w:rsidP="002E5A1F">
      <w:pPr>
        <w:widowControl w:val="0"/>
        <w:autoSpaceDE w:val="0"/>
        <w:autoSpaceDN w:val="0"/>
        <w:adjustRightInd w:val="0"/>
        <w:spacing w:after="60"/>
        <w:ind w:left="640" w:hanging="640"/>
        <w:rPr>
          <w:rFonts w:ascii="Helvetica Neue" w:hAnsi="Helvetica Neue" w:cs="Times New Roman"/>
          <w:noProof/>
          <w:sz w:val="18"/>
          <w:szCs w:val="24"/>
        </w:rPr>
      </w:pPr>
      <w:r w:rsidRPr="002E5A1F">
        <w:rPr>
          <w:rFonts w:ascii="Helvetica Neue" w:hAnsi="Helvetica Neue" w:cs="Times New Roman"/>
          <w:noProof/>
          <w:sz w:val="18"/>
          <w:szCs w:val="24"/>
        </w:rPr>
        <w:t>112</w:t>
      </w:r>
      <w:r w:rsidRPr="002E5A1F">
        <w:rPr>
          <w:rFonts w:ascii="Helvetica Neue" w:hAnsi="Helvetica Neue" w:cs="Times New Roman"/>
          <w:noProof/>
          <w:sz w:val="18"/>
          <w:szCs w:val="24"/>
        </w:rPr>
        <w:tab/>
        <w:t xml:space="preserve">Stenger MR, Pathela P, Anschuetz G,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Increases in the Rate of Neisseria gonorrhoeae Among Gay, Bisexual and Other Men Who Have Sex With Men: Findings From the Sexually Transmitted Disease Surveillance Network 2010-2015. </w:t>
      </w:r>
      <w:r w:rsidRPr="002E5A1F">
        <w:rPr>
          <w:rFonts w:ascii="Helvetica Neue" w:hAnsi="Helvetica Neue" w:cs="Times New Roman"/>
          <w:i/>
          <w:iCs/>
          <w:noProof/>
          <w:sz w:val="18"/>
          <w:szCs w:val="24"/>
        </w:rPr>
        <w:t>Sex Transm Dis</w:t>
      </w:r>
      <w:r w:rsidRPr="002E5A1F">
        <w:rPr>
          <w:rFonts w:ascii="Helvetica Neue" w:hAnsi="Helvetica Neue" w:cs="Times New Roman"/>
          <w:noProof/>
          <w:sz w:val="18"/>
          <w:szCs w:val="24"/>
        </w:rPr>
        <w:t xml:space="preserve"> 2017; </w:t>
      </w:r>
      <w:r w:rsidRPr="002E5A1F">
        <w:rPr>
          <w:rFonts w:ascii="Helvetica Neue" w:hAnsi="Helvetica Neue" w:cs="Times New Roman"/>
          <w:b/>
          <w:bCs/>
          <w:noProof/>
          <w:sz w:val="18"/>
          <w:szCs w:val="24"/>
        </w:rPr>
        <w:t>44</w:t>
      </w:r>
      <w:r w:rsidRPr="002E5A1F">
        <w:rPr>
          <w:rFonts w:ascii="Helvetica Neue" w:hAnsi="Helvetica Neue" w:cs="Times New Roman"/>
          <w:noProof/>
          <w:sz w:val="18"/>
          <w:szCs w:val="24"/>
        </w:rPr>
        <w:t>: 393–7.</w:t>
      </w:r>
    </w:p>
    <w:p w14:paraId="6E16B1F5" w14:textId="77777777" w:rsidR="002E5A1F" w:rsidRPr="002E5A1F" w:rsidRDefault="002E5A1F" w:rsidP="002E5A1F">
      <w:pPr>
        <w:widowControl w:val="0"/>
        <w:autoSpaceDE w:val="0"/>
        <w:autoSpaceDN w:val="0"/>
        <w:adjustRightInd w:val="0"/>
        <w:spacing w:after="60"/>
        <w:ind w:left="640" w:hanging="640"/>
        <w:rPr>
          <w:rFonts w:ascii="Helvetica Neue" w:hAnsi="Helvetica Neue"/>
          <w:noProof/>
          <w:sz w:val="18"/>
        </w:rPr>
      </w:pPr>
      <w:r w:rsidRPr="002E5A1F">
        <w:rPr>
          <w:rFonts w:ascii="Helvetica Neue" w:hAnsi="Helvetica Neue" w:cs="Times New Roman"/>
          <w:noProof/>
          <w:sz w:val="18"/>
          <w:szCs w:val="24"/>
        </w:rPr>
        <w:lastRenderedPageBreak/>
        <w:t>113</w:t>
      </w:r>
      <w:r w:rsidRPr="002E5A1F">
        <w:rPr>
          <w:rFonts w:ascii="Helvetica Neue" w:hAnsi="Helvetica Neue" w:cs="Times New Roman"/>
          <w:noProof/>
          <w:sz w:val="18"/>
          <w:szCs w:val="24"/>
        </w:rPr>
        <w:tab/>
        <w:t xml:space="preserve">Toni T, Welch D, Strelkowa N, </w:t>
      </w:r>
      <w:r w:rsidRPr="002E5A1F">
        <w:rPr>
          <w:rFonts w:ascii="Helvetica Neue" w:hAnsi="Helvetica Neue" w:cs="Times New Roman"/>
          <w:i/>
          <w:iCs/>
          <w:noProof/>
          <w:sz w:val="18"/>
          <w:szCs w:val="24"/>
        </w:rPr>
        <w:t>et al.</w:t>
      </w:r>
      <w:r w:rsidRPr="002E5A1F">
        <w:rPr>
          <w:rFonts w:ascii="Helvetica Neue" w:hAnsi="Helvetica Neue" w:cs="Times New Roman"/>
          <w:noProof/>
          <w:sz w:val="18"/>
          <w:szCs w:val="24"/>
        </w:rPr>
        <w:t xml:space="preserve"> Approximate Bayesian computation scheme for parameter inference and model selection in dynamical systems. </w:t>
      </w:r>
      <w:r w:rsidRPr="002E5A1F">
        <w:rPr>
          <w:rFonts w:ascii="Helvetica Neue" w:hAnsi="Helvetica Neue" w:cs="Times New Roman"/>
          <w:i/>
          <w:iCs/>
          <w:noProof/>
          <w:sz w:val="18"/>
          <w:szCs w:val="24"/>
        </w:rPr>
        <w:t>J R Soc Interface</w:t>
      </w:r>
      <w:r w:rsidRPr="002E5A1F">
        <w:rPr>
          <w:rFonts w:ascii="Helvetica Neue" w:hAnsi="Helvetica Neue" w:cs="Times New Roman"/>
          <w:noProof/>
          <w:sz w:val="18"/>
          <w:szCs w:val="24"/>
        </w:rPr>
        <w:t xml:space="preserve"> 2009; </w:t>
      </w:r>
      <w:r w:rsidRPr="002E5A1F">
        <w:rPr>
          <w:rFonts w:ascii="Helvetica Neue" w:hAnsi="Helvetica Neue" w:cs="Times New Roman"/>
          <w:b/>
          <w:bCs/>
          <w:noProof/>
          <w:sz w:val="18"/>
          <w:szCs w:val="24"/>
        </w:rPr>
        <w:t>6</w:t>
      </w:r>
      <w:r w:rsidRPr="002E5A1F">
        <w:rPr>
          <w:rFonts w:ascii="Helvetica Neue" w:hAnsi="Helvetica Neue" w:cs="Times New Roman"/>
          <w:noProof/>
          <w:sz w:val="18"/>
          <w:szCs w:val="24"/>
        </w:rPr>
        <w:t>: 187–202.</w:t>
      </w:r>
    </w:p>
    <w:p w14:paraId="7B0800A9" w14:textId="77777777" w:rsidR="003658A7" w:rsidRDefault="003604D9" w:rsidP="004017C2">
      <w:pPr>
        <w:widowControl w:val="0"/>
        <w:autoSpaceDE w:val="0"/>
        <w:autoSpaceDN w:val="0"/>
        <w:adjustRightInd w:val="0"/>
        <w:spacing w:after="60"/>
        <w:ind w:left="640" w:hanging="640"/>
        <w:rPr>
          <w:rFonts w:ascii="Helvetica Neue" w:hAnsi="Helvetica Neue"/>
          <w:sz w:val="18"/>
          <w:szCs w:val="18"/>
        </w:rPr>
      </w:pPr>
      <w:r w:rsidRPr="0024409C">
        <w:rPr>
          <w:rFonts w:ascii="Helvetica Neue" w:hAnsi="Helvetica Neue"/>
          <w:sz w:val="18"/>
          <w:szCs w:val="18"/>
        </w:rPr>
        <w:fldChar w:fldCharType="end"/>
      </w:r>
    </w:p>
    <w:p w14:paraId="292B6C05" w14:textId="77777777" w:rsidR="003658A7" w:rsidRDefault="003658A7" w:rsidP="004017C2">
      <w:pPr>
        <w:widowControl w:val="0"/>
        <w:autoSpaceDE w:val="0"/>
        <w:autoSpaceDN w:val="0"/>
        <w:adjustRightInd w:val="0"/>
        <w:spacing w:after="60"/>
        <w:ind w:left="640" w:hanging="640"/>
        <w:rPr>
          <w:rFonts w:ascii="Helvetica Neue" w:hAnsi="Helvetica Neue"/>
          <w:sz w:val="18"/>
          <w:szCs w:val="18"/>
        </w:rPr>
      </w:pPr>
    </w:p>
    <w:p w14:paraId="16F9B38C" w14:textId="2FA1FB7F" w:rsidR="00A415D4" w:rsidRPr="0024409C" w:rsidRDefault="003658A7" w:rsidP="004A2EC8">
      <w:pPr>
        <w:rPr>
          <w:rFonts w:ascii="Helvetica Neue" w:hAnsi="Helvetica Neue"/>
          <w:sz w:val="18"/>
          <w:szCs w:val="18"/>
        </w:rPr>
      </w:pPr>
      <w:r>
        <w:rPr>
          <w:rFonts w:ascii="Helvetica Neue" w:hAnsi="Helvetica Neue"/>
          <w:sz w:val="18"/>
          <w:szCs w:val="18"/>
        </w:rPr>
        <w:fldChar w:fldCharType="begin"/>
      </w:r>
      <w:r w:rsidRPr="00450D7B">
        <w:rPr>
          <w:rFonts w:ascii="Helvetica Neue" w:hAnsi="Helvetica Neue"/>
          <w:sz w:val="18"/>
          <w:szCs w:val="18"/>
        </w:rPr>
        <w:instrText xml:space="preserve"> ADDIN EN.REFLIST </w:instrText>
      </w:r>
      <w:r>
        <w:rPr>
          <w:rFonts w:ascii="Helvetica Neue" w:hAnsi="Helvetica Neue"/>
          <w:sz w:val="18"/>
          <w:szCs w:val="18"/>
        </w:rPr>
        <w:fldChar w:fldCharType="end"/>
      </w:r>
    </w:p>
    <w:sectPr w:rsidR="00A415D4" w:rsidRPr="0024409C" w:rsidSect="004977A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24A8" w14:textId="77777777" w:rsidR="00DE5ECA" w:rsidRDefault="00DE5ECA" w:rsidP="00770CE3">
      <w:r>
        <w:separator/>
      </w:r>
    </w:p>
  </w:endnote>
  <w:endnote w:type="continuationSeparator" w:id="0">
    <w:p w14:paraId="01BBFA84" w14:textId="77777777" w:rsidR="00DE5ECA" w:rsidRDefault="00DE5ECA" w:rsidP="0077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723F" w14:textId="77777777" w:rsidR="00DE5ECA" w:rsidRDefault="00DE5ECA" w:rsidP="000842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E3B0E8" w14:textId="77777777" w:rsidR="00DE5ECA" w:rsidRDefault="00DE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AC7E" w14:textId="31345EDD" w:rsidR="00DE5ECA" w:rsidRPr="00770CE3" w:rsidRDefault="00DE5ECA" w:rsidP="0008423B">
    <w:pPr>
      <w:pStyle w:val="Footer"/>
      <w:framePr w:wrap="none" w:vAnchor="text" w:hAnchor="margin" w:xAlign="center" w:y="1"/>
      <w:rPr>
        <w:rStyle w:val="PageNumber"/>
        <w:sz w:val="18"/>
      </w:rPr>
    </w:pPr>
    <w:r w:rsidRPr="00770CE3">
      <w:rPr>
        <w:rStyle w:val="PageNumber"/>
        <w:sz w:val="18"/>
      </w:rPr>
      <w:fldChar w:fldCharType="begin"/>
    </w:r>
    <w:r w:rsidRPr="00770CE3">
      <w:rPr>
        <w:rStyle w:val="PageNumber"/>
        <w:sz w:val="18"/>
      </w:rPr>
      <w:instrText xml:space="preserve">PAGE  </w:instrText>
    </w:r>
    <w:r w:rsidRPr="00770CE3">
      <w:rPr>
        <w:rStyle w:val="PageNumber"/>
        <w:sz w:val="18"/>
      </w:rPr>
      <w:fldChar w:fldCharType="separate"/>
    </w:r>
    <w:r>
      <w:rPr>
        <w:rStyle w:val="PageNumber"/>
        <w:noProof/>
        <w:sz w:val="18"/>
      </w:rPr>
      <w:t>44</w:t>
    </w:r>
    <w:r w:rsidRPr="00770CE3">
      <w:rPr>
        <w:rStyle w:val="PageNumber"/>
        <w:sz w:val="18"/>
      </w:rPr>
      <w:fldChar w:fldCharType="end"/>
    </w:r>
  </w:p>
  <w:p w14:paraId="0CEB18E5" w14:textId="77777777" w:rsidR="00DE5ECA" w:rsidRDefault="00DE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C9CC" w14:textId="77777777" w:rsidR="00DE5ECA" w:rsidRDefault="00DE5ECA" w:rsidP="00770CE3">
      <w:r>
        <w:separator/>
      </w:r>
    </w:p>
  </w:footnote>
  <w:footnote w:type="continuationSeparator" w:id="0">
    <w:p w14:paraId="19D902B7" w14:textId="77777777" w:rsidR="00DE5ECA" w:rsidRDefault="00DE5ECA" w:rsidP="0077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F62"/>
    <w:multiLevelType w:val="hybridMultilevel"/>
    <w:tmpl w:val="D0E81486"/>
    <w:lvl w:ilvl="0" w:tplc="4D68218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4406"/>
    <w:multiLevelType w:val="hybridMultilevel"/>
    <w:tmpl w:val="BA4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45AD"/>
    <w:multiLevelType w:val="hybridMultilevel"/>
    <w:tmpl w:val="3E4A14E0"/>
    <w:lvl w:ilvl="0" w:tplc="B8BA66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7D8D"/>
    <w:multiLevelType w:val="hybridMultilevel"/>
    <w:tmpl w:val="A62C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503BB"/>
    <w:multiLevelType w:val="multilevel"/>
    <w:tmpl w:val="B4E08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178D8"/>
    <w:multiLevelType w:val="hybridMultilevel"/>
    <w:tmpl w:val="F94C6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43A24"/>
    <w:multiLevelType w:val="hybridMultilevel"/>
    <w:tmpl w:val="4738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D2D57"/>
    <w:multiLevelType w:val="hybridMultilevel"/>
    <w:tmpl w:val="50DA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56485"/>
    <w:multiLevelType w:val="hybridMultilevel"/>
    <w:tmpl w:val="217C0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B2BBC"/>
    <w:multiLevelType w:val="multilevel"/>
    <w:tmpl w:val="EA2C182C"/>
    <w:lvl w:ilvl="0">
      <w:start w:val="1"/>
      <w:numFmt w:val="bullet"/>
      <w:lvlText w:val="-"/>
      <w:lvlJc w:val="left"/>
      <w:pPr>
        <w:ind w:left="398" w:hanging="360"/>
      </w:pPr>
      <w:rPr>
        <w:rFonts w:ascii="Calibri" w:eastAsiaTheme="minorHAnsi" w:hAnsi="Calibri" w:cs="Times New Roman" w:hint="default"/>
      </w:rPr>
    </w:lvl>
    <w:lvl w:ilvl="1">
      <w:start w:val="1"/>
      <w:numFmt w:val="bullet"/>
      <w:lvlText w:val="o"/>
      <w:lvlJc w:val="left"/>
      <w:pPr>
        <w:ind w:left="1118" w:hanging="360"/>
      </w:pPr>
      <w:rPr>
        <w:rFonts w:ascii="Courier New" w:hAnsi="Courier New" w:cs="Courier New" w:hint="default"/>
      </w:rPr>
    </w:lvl>
    <w:lvl w:ilvl="2">
      <w:start w:val="1"/>
      <w:numFmt w:val="bullet"/>
      <w:lvlText w:val=""/>
      <w:lvlJc w:val="left"/>
      <w:pPr>
        <w:ind w:left="1838" w:hanging="360"/>
      </w:pPr>
      <w:rPr>
        <w:rFonts w:ascii="Wingdings" w:hAnsi="Wingdings" w:hint="default"/>
      </w:rPr>
    </w:lvl>
    <w:lvl w:ilvl="3">
      <w:start w:val="1"/>
      <w:numFmt w:val="bullet"/>
      <w:lvlText w:val=""/>
      <w:lvlJc w:val="left"/>
      <w:pPr>
        <w:ind w:left="2558" w:hanging="360"/>
      </w:pPr>
      <w:rPr>
        <w:rFonts w:ascii="Symbol" w:hAnsi="Symbol" w:hint="default"/>
      </w:rPr>
    </w:lvl>
    <w:lvl w:ilvl="4">
      <w:start w:val="1"/>
      <w:numFmt w:val="bullet"/>
      <w:lvlText w:val="o"/>
      <w:lvlJc w:val="left"/>
      <w:pPr>
        <w:ind w:left="3278" w:hanging="360"/>
      </w:pPr>
      <w:rPr>
        <w:rFonts w:ascii="Courier New" w:hAnsi="Courier New" w:cs="Courier New" w:hint="default"/>
      </w:rPr>
    </w:lvl>
    <w:lvl w:ilvl="5">
      <w:start w:val="1"/>
      <w:numFmt w:val="bullet"/>
      <w:lvlText w:val=""/>
      <w:lvlJc w:val="left"/>
      <w:pPr>
        <w:ind w:left="3998" w:hanging="360"/>
      </w:pPr>
      <w:rPr>
        <w:rFonts w:ascii="Wingdings" w:hAnsi="Wingdings" w:hint="default"/>
      </w:rPr>
    </w:lvl>
    <w:lvl w:ilvl="6">
      <w:start w:val="1"/>
      <w:numFmt w:val="bullet"/>
      <w:lvlText w:val=""/>
      <w:lvlJc w:val="left"/>
      <w:pPr>
        <w:ind w:left="4718" w:hanging="360"/>
      </w:pPr>
      <w:rPr>
        <w:rFonts w:ascii="Symbol" w:hAnsi="Symbol" w:hint="default"/>
      </w:rPr>
    </w:lvl>
    <w:lvl w:ilvl="7">
      <w:start w:val="1"/>
      <w:numFmt w:val="bullet"/>
      <w:lvlText w:val="o"/>
      <w:lvlJc w:val="left"/>
      <w:pPr>
        <w:ind w:left="5438" w:hanging="360"/>
      </w:pPr>
      <w:rPr>
        <w:rFonts w:ascii="Courier New" w:hAnsi="Courier New" w:cs="Courier New" w:hint="default"/>
      </w:rPr>
    </w:lvl>
    <w:lvl w:ilvl="8">
      <w:start w:val="1"/>
      <w:numFmt w:val="bullet"/>
      <w:lvlText w:val=""/>
      <w:lvlJc w:val="left"/>
      <w:pPr>
        <w:ind w:left="6158" w:hanging="360"/>
      </w:pPr>
      <w:rPr>
        <w:rFonts w:ascii="Wingdings" w:hAnsi="Wingdings" w:hint="default"/>
      </w:rPr>
    </w:lvl>
  </w:abstractNum>
  <w:abstractNum w:abstractNumId="10" w15:restartNumberingAfterBreak="0">
    <w:nsid w:val="270823CA"/>
    <w:multiLevelType w:val="hybridMultilevel"/>
    <w:tmpl w:val="90DC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2789B"/>
    <w:multiLevelType w:val="hybridMultilevel"/>
    <w:tmpl w:val="FB963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933B1"/>
    <w:multiLevelType w:val="hybridMultilevel"/>
    <w:tmpl w:val="6EA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10012"/>
    <w:multiLevelType w:val="hybridMultilevel"/>
    <w:tmpl w:val="D7A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1227C"/>
    <w:multiLevelType w:val="hybridMultilevel"/>
    <w:tmpl w:val="3492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12C10"/>
    <w:multiLevelType w:val="hybridMultilevel"/>
    <w:tmpl w:val="07BAB2F2"/>
    <w:lvl w:ilvl="0" w:tplc="7430F7E0">
      <w:start w:val="1"/>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16" w15:restartNumberingAfterBreak="0">
    <w:nsid w:val="34C81219"/>
    <w:multiLevelType w:val="hybridMultilevel"/>
    <w:tmpl w:val="EC2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62BBA"/>
    <w:multiLevelType w:val="hybridMultilevel"/>
    <w:tmpl w:val="645E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B74B0"/>
    <w:multiLevelType w:val="hybridMultilevel"/>
    <w:tmpl w:val="946447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C21A1B"/>
    <w:multiLevelType w:val="hybridMultilevel"/>
    <w:tmpl w:val="DEF01B1C"/>
    <w:lvl w:ilvl="0" w:tplc="7468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739DF"/>
    <w:multiLevelType w:val="hybridMultilevel"/>
    <w:tmpl w:val="ACDA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5B2"/>
    <w:multiLevelType w:val="hybridMultilevel"/>
    <w:tmpl w:val="97A4DE4E"/>
    <w:lvl w:ilvl="0" w:tplc="A51CA9AA">
      <w:start w:val="1"/>
      <w:numFmt w:val="decimal"/>
      <w:lvlText w:val="%1."/>
      <w:lvlJc w:val="left"/>
      <w:pPr>
        <w:tabs>
          <w:tab w:val="num" w:pos="720"/>
        </w:tabs>
        <w:ind w:left="720" w:hanging="360"/>
      </w:pPr>
      <w:rPr>
        <w:rFonts w:ascii="Times New Roman" w:eastAsia="Calibri" w:hAnsi="Times New Roman" w:cs="Times New Roman"/>
      </w:rPr>
    </w:lvl>
    <w:lvl w:ilvl="1" w:tplc="0E10FF0A">
      <w:start w:val="5"/>
      <w:numFmt w:val="decimal"/>
      <w:lvlText w:val="%2."/>
      <w:lvlJc w:val="left"/>
      <w:pPr>
        <w:tabs>
          <w:tab w:val="num" w:pos="1440"/>
        </w:tabs>
        <w:ind w:left="1440" w:hanging="360"/>
      </w:pPr>
      <w:rPr>
        <w:rFonts w:ascii="Times New Roman" w:eastAsia="Batang"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860EB6"/>
    <w:multiLevelType w:val="hybridMultilevel"/>
    <w:tmpl w:val="0C80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04DE7"/>
    <w:multiLevelType w:val="hybridMultilevel"/>
    <w:tmpl w:val="A1EC6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C708F"/>
    <w:multiLevelType w:val="hybridMultilevel"/>
    <w:tmpl w:val="E2F0B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5F7076"/>
    <w:multiLevelType w:val="hybridMultilevel"/>
    <w:tmpl w:val="586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4660"/>
    <w:multiLevelType w:val="hybridMultilevel"/>
    <w:tmpl w:val="4E5A3EC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5C334EED"/>
    <w:multiLevelType w:val="hybridMultilevel"/>
    <w:tmpl w:val="0A2E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B4191"/>
    <w:multiLevelType w:val="hybridMultilevel"/>
    <w:tmpl w:val="3EB2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60579"/>
    <w:multiLevelType w:val="hybridMultilevel"/>
    <w:tmpl w:val="2B387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916D3"/>
    <w:multiLevelType w:val="hybridMultilevel"/>
    <w:tmpl w:val="7D22F4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510BCC"/>
    <w:multiLevelType w:val="hybridMultilevel"/>
    <w:tmpl w:val="70863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80A65"/>
    <w:multiLevelType w:val="hybridMultilevel"/>
    <w:tmpl w:val="5E14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E8337D"/>
    <w:multiLevelType w:val="hybridMultilevel"/>
    <w:tmpl w:val="EA2C182C"/>
    <w:lvl w:ilvl="0" w:tplc="C21EAADA">
      <w:start w:val="1"/>
      <w:numFmt w:val="bullet"/>
      <w:lvlText w:val="-"/>
      <w:lvlJc w:val="left"/>
      <w:pPr>
        <w:ind w:left="398" w:hanging="360"/>
      </w:pPr>
      <w:rPr>
        <w:rFonts w:ascii="Calibri" w:eastAsiaTheme="minorHAnsi" w:hAnsi="Calibri"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34" w15:restartNumberingAfterBreak="0">
    <w:nsid w:val="6E5A402A"/>
    <w:multiLevelType w:val="hybridMultilevel"/>
    <w:tmpl w:val="BCA6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33859"/>
    <w:multiLevelType w:val="hybridMultilevel"/>
    <w:tmpl w:val="DA28DA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0BC3952"/>
    <w:multiLevelType w:val="hybridMultilevel"/>
    <w:tmpl w:val="9B3AA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930D6E"/>
    <w:multiLevelType w:val="hybridMultilevel"/>
    <w:tmpl w:val="7612E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B3776"/>
    <w:multiLevelType w:val="hybridMultilevel"/>
    <w:tmpl w:val="AB4884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9" w15:restartNumberingAfterBreak="0">
    <w:nsid w:val="77AD00EB"/>
    <w:multiLevelType w:val="hybridMultilevel"/>
    <w:tmpl w:val="B914D054"/>
    <w:lvl w:ilvl="0" w:tplc="E62A9306">
      <w:start w:val="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7C5C34E9"/>
    <w:multiLevelType w:val="hybridMultilevel"/>
    <w:tmpl w:val="E890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13007"/>
    <w:multiLevelType w:val="hybridMultilevel"/>
    <w:tmpl w:val="5D7C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num w:numId="1">
    <w:abstractNumId w:val="5"/>
  </w:num>
  <w:num w:numId="2">
    <w:abstractNumId w:val="40"/>
  </w:num>
  <w:num w:numId="3">
    <w:abstractNumId w:val="39"/>
  </w:num>
  <w:num w:numId="4">
    <w:abstractNumId w:val="25"/>
  </w:num>
  <w:num w:numId="5">
    <w:abstractNumId w:val="38"/>
  </w:num>
  <w:num w:numId="6">
    <w:abstractNumId w:val="29"/>
  </w:num>
  <w:num w:numId="7">
    <w:abstractNumId w:val="28"/>
  </w:num>
  <w:num w:numId="8">
    <w:abstractNumId w:val="20"/>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8"/>
  </w:num>
  <w:num w:numId="13">
    <w:abstractNumId w:val="23"/>
  </w:num>
  <w:num w:numId="14">
    <w:abstractNumId w:val="21"/>
  </w:num>
  <w:num w:numId="15">
    <w:abstractNumId w:val="15"/>
  </w:num>
  <w:num w:numId="16">
    <w:abstractNumId w:val="2"/>
  </w:num>
  <w:num w:numId="17">
    <w:abstractNumId w:val="36"/>
  </w:num>
  <w:num w:numId="18">
    <w:abstractNumId w:val="35"/>
  </w:num>
  <w:num w:numId="19">
    <w:abstractNumId w:val="31"/>
  </w:num>
  <w:num w:numId="20">
    <w:abstractNumId w:val="19"/>
  </w:num>
  <w:num w:numId="21">
    <w:abstractNumId w:val="26"/>
  </w:num>
  <w:num w:numId="22">
    <w:abstractNumId w:val="11"/>
  </w:num>
  <w:num w:numId="23">
    <w:abstractNumId w:val="27"/>
  </w:num>
  <w:num w:numId="24">
    <w:abstractNumId w:val="6"/>
  </w:num>
  <w:num w:numId="25">
    <w:abstractNumId w:val="4"/>
  </w:num>
  <w:num w:numId="26">
    <w:abstractNumId w:val="33"/>
  </w:num>
  <w:num w:numId="27">
    <w:abstractNumId w:val="0"/>
  </w:num>
  <w:num w:numId="28">
    <w:abstractNumId w:val="34"/>
  </w:num>
  <w:num w:numId="29">
    <w:abstractNumId w:val="32"/>
  </w:num>
  <w:num w:numId="30">
    <w:abstractNumId w:val="8"/>
  </w:num>
  <w:num w:numId="31">
    <w:abstractNumId w:val="3"/>
  </w:num>
  <w:num w:numId="32">
    <w:abstractNumId w:val="7"/>
  </w:num>
  <w:num w:numId="33">
    <w:abstractNumId w:val="24"/>
  </w:num>
  <w:num w:numId="34">
    <w:abstractNumId w:val="9"/>
  </w:num>
  <w:num w:numId="35">
    <w:abstractNumId w:val="41"/>
  </w:num>
  <w:num w:numId="36">
    <w:abstractNumId w:val="14"/>
  </w:num>
  <w:num w:numId="37">
    <w:abstractNumId w:val="13"/>
  </w:num>
  <w:num w:numId="38">
    <w:abstractNumId w:val="16"/>
  </w:num>
  <w:num w:numId="39">
    <w:abstractNumId w:val="1"/>
  </w:num>
  <w:num w:numId="40">
    <w:abstractNumId w:val="37"/>
  </w:num>
  <w:num w:numId="41">
    <w:abstractNumId w:val="10"/>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IDS and Behavio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9vt5r27drex3ertti52fad9repfd9eawdt&quot;&gt;Epi Library - All&lt;record-ids&gt;&lt;item&gt;3725&lt;/item&gt;&lt;/record-ids&gt;&lt;/item&gt;&lt;/Libraries&gt;"/>
  </w:docVars>
  <w:rsids>
    <w:rsidRoot w:val="00EE5CD6"/>
    <w:rsid w:val="0000026C"/>
    <w:rsid w:val="000011C0"/>
    <w:rsid w:val="0001315B"/>
    <w:rsid w:val="00013D11"/>
    <w:rsid w:val="00015588"/>
    <w:rsid w:val="00015FD9"/>
    <w:rsid w:val="000174C4"/>
    <w:rsid w:val="00017ECD"/>
    <w:rsid w:val="00022D75"/>
    <w:rsid w:val="00022DA7"/>
    <w:rsid w:val="000236BC"/>
    <w:rsid w:val="00026461"/>
    <w:rsid w:val="00026C7E"/>
    <w:rsid w:val="000309FB"/>
    <w:rsid w:val="0003106F"/>
    <w:rsid w:val="0003703E"/>
    <w:rsid w:val="00040A06"/>
    <w:rsid w:val="00040C48"/>
    <w:rsid w:val="00051F9D"/>
    <w:rsid w:val="00053A78"/>
    <w:rsid w:val="000548B9"/>
    <w:rsid w:val="00054BFC"/>
    <w:rsid w:val="000660E8"/>
    <w:rsid w:val="000722E9"/>
    <w:rsid w:val="0007304E"/>
    <w:rsid w:val="00075559"/>
    <w:rsid w:val="00077B0C"/>
    <w:rsid w:val="0008105C"/>
    <w:rsid w:val="00083545"/>
    <w:rsid w:val="0008423B"/>
    <w:rsid w:val="00084BB8"/>
    <w:rsid w:val="00090774"/>
    <w:rsid w:val="00092E55"/>
    <w:rsid w:val="00094359"/>
    <w:rsid w:val="00094758"/>
    <w:rsid w:val="000978A3"/>
    <w:rsid w:val="000A1356"/>
    <w:rsid w:val="000A2049"/>
    <w:rsid w:val="000A4560"/>
    <w:rsid w:val="000A4B30"/>
    <w:rsid w:val="000B4B98"/>
    <w:rsid w:val="000B56F8"/>
    <w:rsid w:val="000B6E74"/>
    <w:rsid w:val="000C4F8D"/>
    <w:rsid w:val="000C6BAC"/>
    <w:rsid w:val="000D0A43"/>
    <w:rsid w:val="000D1DA0"/>
    <w:rsid w:val="000D249B"/>
    <w:rsid w:val="000D7F4C"/>
    <w:rsid w:val="000E501C"/>
    <w:rsid w:val="000F1217"/>
    <w:rsid w:val="000F4379"/>
    <w:rsid w:val="001002FC"/>
    <w:rsid w:val="0010064A"/>
    <w:rsid w:val="00110F83"/>
    <w:rsid w:val="0011160E"/>
    <w:rsid w:val="00111A41"/>
    <w:rsid w:val="00112748"/>
    <w:rsid w:val="001143E0"/>
    <w:rsid w:val="001155B2"/>
    <w:rsid w:val="00116CF8"/>
    <w:rsid w:val="001249D5"/>
    <w:rsid w:val="00133C6A"/>
    <w:rsid w:val="00140356"/>
    <w:rsid w:val="001403FB"/>
    <w:rsid w:val="00140FAC"/>
    <w:rsid w:val="00141AAD"/>
    <w:rsid w:val="001505D0"/>
    <w:rsid w:val="00151C85"/>
    <w:rsid w:val="00154060"/>
    <w:rsid w:val="00154232"/>
    <w:rsid w:val="00160308"/>
    <w:rsid w:val="00166A34"/>
    <w:rsid w:val="00166E1C"/>
    <w:rsid w:val="00167E87"/>
    <w:rsid w:val="001704B1"/>
    <w:rsid w:val="0017335E"/>
    <w:rsid w:val="001748F3"/>
    <w:rsid w:val="00184ABE"/>
    <w:rsid w:val="00194D7F"/>
    <w:rsid w:val="001A1066"/>
    <w:rsid w:val="001A13EA"/>
    <w:rsid w:val="001A1D4A"/>
    <w:rsid w:val="001A7A4A"/>
    <w:rsid w:val="001B6726"/>
    <w:rsid w:val="001B67A7"/>
    <w:rsid w:val="001B6BD3"/>
    <w:rsid w:val="001B7B25"/>
    <w:rsid w:val="001C0A82"/>
    <w:rsid w:val="001C763D"/>
    <w:rsid w:val="001D548F"/>
    <w:rsid w:val="001D63D5"/>
    <w:rsid w:val="001D7CEB"/>
    <w:rsid w:val="001E4678"/>
    <w:rsid w:val="001F0271"/>
    <w:rsid w:val="001F1E58"/>
    <w:rsid w:val="001F3DC9"/>
    <w:rsid w:val="001F4FA0"/>
    <w:rsid w:val="00204A5D"/>
    <w:rsid w:val="00213364"/>
    <w:rsid w:val="002133C3"/>
    <w:rsid w:val="00217EEA"/>
    <w:rsid w:val="002232EA"/>
    <w:rsid w:val="0022392A"/>
    <w:rsid w:val="00225422"/>
    <w:rsid w:val="00225CB4"/>
    <w:rsid w:val="0022748C"/>
    <w:rsid w:val="00227D7D"/>
    <w:rsid w:val="00232595"/>
    <w:rsid w:val="002334CA"/>
    <w:rsid w:val="00236347"/>
    <w:rsid w:val="00237ECC"/>
    <w:rsid w:val="00241EC1"/>
    <w:rsid w:val="0024214F"/>
    <w:rsid w:val="00242F2D"/>
    <w:rsid w:val="0024409C"/>
    <w:rsid w:val="00245DDB"/>
    <w:rsid w:val="002475F9"/>
    <w:rsid w:val="00247BB6"/>
    <w:rsid w:val="00247E44"/>
    <w:rsid w:val="002500E7"/>
    <w:rsid w:val="0025059C"/>
    <w:rsid w:val="002527E7"/>
    <w:rsid w:val="002639DE"/>
    <w:rsid w:val="0027106B"/>
    <w:rsid w:val="002714E6"/>
    <w:rsid w:val="00273CDD"/>
    <w:rsid w:val="0027452E"/>
    <w:rsid w:val="002768F0"/>
    <w:rsid w:val="00277378"/>
    <w:rsid w:val="00281188"/>
    <w:rsid w:val="00287153"/>
    <w:rsid w:val="00290F5D"/>
    <w:rsid w:val="00291ACF"/>
    <w:rsid w:val="002931A7"/>
    <w:rsid w:val="0029368C"/>
    <w:rsid w:val="00294713"/>
    <w:rsid w:val="002A5F09"/>
    <w:rsid w:val="002B2673"/>
    <w:rsid w:val="002B3050"/>
    <w:rsid w:val="002B4591"/>
    <w:rsid w:val="002B683D"/>
    <w:rsid w:val="002C1E8A"/>
    <w:rsid w:val="002C41F1"/>
    <w:rsid w:val="002C7562"/>
    <w:rsid w:val="002D077C"/>
    <w:rsid w:val="002E1354"/>
    <w:rsid w:val="002E5A1F"/>
    <w:rsid w:val="002F42E4"/>
    <w:rsid w:val="00307CFC"/>
    <w:rsid w:val="0031415C"/>
    <w:rsid w:val="003147FC"/>
    <w:rsid w:val="00321E8A"/>
    <w:rsid w:val="0032440F"/>
    <w:rsid w:val="00326945"/>
    <w:rsid w:val="00327580"/>
    <w:rsid w:val="003357A0"/>
    <w:rsid w:val="00337D72"/>
    <w:rsid w:val="003406E5"/>
    <w:rsid w:val="0034543C"/>
    <w:rsid w:val="0034791A"/>
    <w:rsid w:val="00347C13"/>
    <w:rsid w:val="003508C2"/>
    <w:rsid w:val="00354253"/>
    <w:rsid w:val="003565AD"/>
    <w:rsid w:val="0035729E"/>
    <w:rsid w:val="003604D9"/>
    <w:rsid w:val="0036077B"/>
    <w:rsid w:val="003658A7"/>
    <w:rsid w:val="00365E9A"/>
    <w:rsid w:val="00381DA6"/>
    <w:rsid w:val="00386DBF"/>
    <w:rsid w:val="003875F5"/>
    <w:rsid w:val="0039210B"/>
    <w:rsid w:val="003A1F7B"/>
    <w:rsid w:val="003A5CD3"/>
    <w:rsid w:val="003A74D0"/>
    <w:rsid w:val="003B0C4E"/>
    <w:rsid w:val="003B0C6F"/>
    <w:rsid w:val="003B3753"/>
    <w:rsid w:val="003B55E6"/>
    <w:rsid w:val="003B5B8F"/>
    <w:rsid w:val="003B600E"/>
    <w:rsid w:val="003C114A"/>
    <w:rsid w:val="003C2261"/>
    <w:rsid w:val="003D13FF"/>
    <w:rsid w:val="003E0862"/>
    <w:rsid w:val="003E0D07"/>
    <w:rsid w:val="003E6B36"/>
    <w:rsid w:val="003F2429"/>
    <w:rsid w:val="003F350C"/>
    <w:rsid w:val="003F63CC"/>
    <w:rsid w:val="004017C2"/>
    <w:rsid w:val="0040790C"/>
    <w:rsid w:val="004122D3"/>
    <w:rsid w:val="00416493"/>
    <w:rsid w:val="004220D6"/>
    <w:rsid w:val="0042651B"/>
    <w:rsid w:val="00426A41"/>
    <w:rsid w:val="004322F7"/>
    <w:rsid w:val="00433986"/>
    <w:rsid w:val="004355DD"/>
    <w:rsid w:val="00450D7B"/>
    <w:rsid w:val="00462725"/>
    <w:rsid w:val="004639D9"/>
    <w:rsid w:val="004679EF"/>
    <w:rsid w:val="00474A51"/>
    <w:rsid w:val="00476E7B"/>
    <w:rsid w:val="00490F2B"/>
    <w:rsid w:val="00490FEA"/>
    <w:rsid w:val="004958A9"/>
    <w:rsid w:val="0049670D"/>
    <w:rsid w:val="004977A8"/>
    <w:rsid w:val="004A10A8"/>
    <w:rsid w:val="004A2B0D"/>
    <w:rsid w:val="004A2EC8"/>
    <w:rsid w:val="004A7155"/>
    <w:rsid w:val="004B118F"/>
    <w:rsid w:val="004B25B5"/>
    <w:rsid w:val="004B3747"/>
    <w:rsid w:val="004B3B0B"/>
    <w:rsid w:val="004B569A"/>
    <w:rsid w:val="004B6F75"/>
    <w:rsid w:val="004C1F27"/>
    <w:rsid w:val="004C3B03"/>
    <w:rsid w:val="004C3E3B"/>
    <w:rsid w:val="004D0635"/>
    <w:rsid w:val="004D0821"/>
    <w:rsid w:val="004D568E"/>
    <w:rsid w:val="004E1BCD"/>
    <w:rsid w:val="004F1034"/>
    <w:rsid w:val="004F1DC1"/>
    <w:rsid w:val="004F21CB"/>
    <w:rsid w:val="004F321B"/>
    <w:rsid w:val="004F341D"/>
    <w:rsid w:val="004F37EF"/>
    <w:rsid w:val="00513CB4"/>
    <w:rsid w:val="00515A07"/>
    <w:rsid w:val="00522C8D"/>
    <w:rsid w:val="005252D2"/>
    <w:rsid w:val="00530256"/>
    <w:rsid w:val="00531B75"/>
    <w:rsid w:val="00531C2D"/>
    <w:rsid w:val="0053321E"/>
    <w:rsid w:val="005448CA"/>
    <w:rsid w:val="005451D3"/>
    <w:rsid w:val="0054675A"/>
    <w:rsid w:val="00547C8D"/>
    <w:rsid w:val="00550019"/>
    <w:rsid w:val="00551434"/>
    <w:rsid w:val="005676AD"/>
    <w:rsid w:val="00567DA0"/>
    <w:rsid w:val="00574651"/>
    <w:rsid w:val="0057521B"/>
    <w:rsid w:val="0057589A"/>
    <w:rsid w:val="00575C0C"/>
    <w:rsid w:val="005849CF"/>
    <w:rsid w:val="00587AEA"/>
    <w:rsid w:val="00591266"/>
    <w:rsid w:val="005968E9"/>
    <w:rsid w:val="005A0206"/>
    <w:rsid w:val="005A0AF7"/>
    <w:rsid w:val="005A132D"/>
    <w:rsid w:val="005A5E89"/>
    <w:rsid w:val="005A5F6F"/>
    <w:rsid w:val="005B1863"/>
    <w:rsid w:val="005B1AD6"/>
    <w:rsid w:val="005B4FB6"/>
    <w:rsid w:val="005B5D00"/>
    <w:rsid w:val="005C0355"/>
    <w:rsid w:val="005C3404"/>
    <w:rsid w:val="005C450E"/>
    <w:rsid w:val="005C7632"/>
    <w:rsid w:val="005D069B"/>
    <w:rsid w:val="005D2711"/>
    <w:rsid w:val="005E57BF"/>
    <w:rsid w:val="005F0689"/>
    <w:rsid w:val="005F22CC"/>
    <w:rsid w:val="005F2FAC"/>
    <w:rsid w:val="005F39F3"/>
    <w:rsid w:val="005F495D"/>
    <w:rsid w:val="005F567A"/>
    <w:rsid w:val="005F776C"/>
    <w:rsid w:val="00601EFA"/>
    <w:rsid w:val="0060226B"/>
    <w:rsid w:val="00606788"/>
    <w:rsid w:val="006157DC"/>
    <w:rsid w:val="00625555"/>
    <w:rsid w:val="0062760F"/>
    <w:rsid w:val="006302ED"/>
    <w:rsid w:val="006317CA"/>
    <w:rsid w:val="00631DC5"/>
    <w:rsid w:val="00635794"/>
    <w:rsid w:val="00635965"/>
    <w:rsid w:val="0063669B"/>
    <w:rsid w:val="006413F1"/>
    <w:rsid w:val="00646940"/>
    <w:rsid w:val="00651277"/>
    <w:rsid w:val="00656905"/>
    <w:rsid w:val="006600A9"/>
    <w:rsid w:val="00660624"/>
    <w:rsid w:val="00660F9A"/>
    <w:rsid w:val="006700EB"/>
    <w:rsid w:val="006734D6"/>
    <w:rsid w:val="006745BC"/>
    <w:rsid w:val="00676107"/>
    <w:rsid w:val="00677F54"/>
    <w:rsid w:val="00680533"/>
    <w:rsid w:val="00683ECE"/>
    <w:rsid w:val="00685F38"/>
    <w:rsid w:val="00690949"/>
    <w:rsid w:val="0069268E"/>
    <w:rsid w:val="00692DE7"/>
    <w:rsid w:val="0069523E"/>
    <w:rsid w:val="006A1664"/>
    <w:rsid w:val="006A1C86"/>
    <w:rsid w:val="006A39E8"/>
    <w:rsid w:val="006A414D"/>
    <w:rsid w:val="006A64D0"/>
    <w:rsid w:val="006B3B6D"/>
    <w:rsid w:val="006B3C35"/>
    <w:rsid w:val="006B6820"/>
    <w:rsid w:val="006C054F"/>
    <w:rsid w:val="006C2CB5"/>
    <w:rsid w:val="006C7E13"/>
    <w:rsid w:val="006D2F96"/>
    <w:rsid w:val="006D5116"/>
    <w:rsid w:val="006D6FA1"/>
    <w:rsid w:val="006E2408"/>
    <w:rsid w:val="006E5C1F"/>
    <w:rsid w:val="006F25E8"/>
    <w:rsid w:val="006F79EA"/>
    <w:rsid w:val="00702CF6"/>
    <w:rsid w:val="00703AF4"/>
    <w:rsid w:val="0071285F"/>
    <w:rsid w:val="00721A10"/>
    <w:rsid w:val="00722669"/>
    <w:rsid w:val="00722C11"/>
    <w:rsid w:val="007265DF"/>
    <w:rsid w:val="00730744"/>
    <w:rsid w:val="00730957"/>
    <w:rsid w:val="00730BCC"/>
    <w:rsid w:val="00735AB1"/>
    <w:rsid w:val="007411AE"/>
    <w:rsid w:val="00742529"/>
    <w:rsid w:val="0074292E"/>
    <w:rsid w:val="00751CAC"/>
    <w:rsid w:val="00761521"/>
    <w:rsid w:val="00763A77"/>
    <w:rsid w:val="00767541"/>
    <w:rsid w:val="00770B45"/>
    <w:rsid w:val="00770CE3"/>
    <w:rsid w:val="00772D69"/>
    <w:rsid w:val="007742F5"/>
    <w:rsid w:val="00775153"/>
    <w:rsid w:val="007751E4"/>
    <w:rsid w:val="00777511"/>
    <w:rsid w:val="00777796"/>
    <w:rsid w:val="00777E3C"/>
    <w:rsid w:val="00780F61"/>
    <w:rsid w:val="00781389"/>
    <w:rsid w:val="00782595"/>
    <w:rsid w:val="00783340"/>
    <w:rsid w:val="00786191"/>
    <w:rsid w:val="007861ED"/>
    <w:rsid w:val="00787CF0"/>
    <w:rsid w:val="0079047D"/>
    <w:rsid w:val="00791149"/>
    <w:rsid w:val="0079245E"/>
    <w:rsid w:val="00797F05"/>
    <w:rsid w:val="007A0820"/>
    <w:rsid w:val="007A3D34"/>
    <w:rsid w:val="007A6506"/>
    <w:rsid w:val="007A66E1"/>
    <w:rsid w:val="007A7B47"/>
    <w:rsid w:val="007B16B4"/>
    <w:rsid w:val="007B2FED"/>
    <w:rsid w:val="007B5FA4"/>
    <w:rsid w:val="007C4187"/>
    <w:rsid w:val="007C5047"/>
    <w:rsid w:val="007C7B76"/>
    <w:rsid w:val="007D2AC0"/>
    <w:rsid w:val="007D5FA6"/>
    <w:rsid w:val="007E090F"/>
    <w:rsid w:val="007E1377"/>
    <w:rsid w:val="007E1CC0"/>
    <w:rsid w:val="007E1F27"/>
    <w:rsid w:val="007E301C"/>
    <w:rsid w:val="007E3E53"/>
    <w:rsid w:val="007F34EF"/>
    <w:rsid w:val="007F3517"/>
    <w:rsid w:val="007F464D"/>
    <w:rsid w:val="007F550D"/>
    <w:rsid w:val="0080102A"/>
    <w:rsid w:val="00801856"/>
    <w:rsid w:val="0081081C"/>
    <w:rsid w:val="00812E0D"/>
    <w:rsid w:val="0081537B"/>
    <w:rsid w:val="00816352"/>
    <w:rsid w:val="0081769D"/>
    <w:rsid w:val="00820178"/>
    <w:rsid w:val="008329A5"/>
    <w:rsid w:val="00833016"/>
    <w:rsid w:val="00836D6E"/>
    <w:rsid w:val="00837706"/>
    <w:rsid w:val="008427B7"/>
    <w:rsid w:val="0084655D"/>
    <w:rsid w:val="00847345"/>
    <w:rsid w:val="008505BF"/>
    <w:rsid w:val="008540A8"/>
    <w:rsid w:val="0085751C"/>
    <w:rsid w:val="00872443"/>
    <w:rsid w:val="008754EE"/>
    <w:rsid w:val="00875DE4"/>
    <w:rsid w:val="00881C87"/>
    <w:rsid w:val="008850B6"/>
    <w:rsid w:val="00886491"/>
    <w:rsid w:val="00886BF8"/>
    <w:rsid w:val="00887EBC"/>
    <w:rsid w:val="008914B7"/>
    <w:rsid w:val="008B06D5"/>
    <w:rsid w:val="008B0D4A"/>
    <w:rsid w:val="008B3B36"/>
    <w:rsid w:val="008B3B60"/>
    <w:rsid w:val="008B4100"/>
    <w:rsid w:val="008B7EF6"/>
    <w:rsid w:val="008C38B7"/>
    <w:rsid w:val="008C41A8"/>
    <w:rsid w:val="008C4F65"/>
    <w:rsid w:val="008C5199"/>
    <w:rsid w:val="008C6717"/>
    <w:rsid w:val="008C6FD9"/>
    <w:rsid w:val="008D4321"/>
    <w:rsid w:val="008D68D2"/>
    <w:rsid w:val="008D7CB2"/>
    <w:rsid w:val="008E5BF9"/>
    <w:rsid w:val="0090370F"/>
    <w:rsid w:val="009048BD"/>
    <w:rsid w:val="00905CC2"/>
    <w:rsid w:val="0090720B"/>
    <w:rsid w:val="00907D10"/>
    <w:rsid w:val="009145E0"/>
    <w:rsid w:val="00915CE9"/>
    <w:rsid w:val="00920333"/>
    <w:rsid w:val="00921D69"/>
    <w:rsid w:val="00927323"/>
    <w:rsid w:val="00927DEA"/>
    <w:rsid w:val="0093094E"/>
    <w:rsid w:val="009325BC"/>
    <w:rsid w:val="009329E5"/>
    <w:rsid w:val="00933615"/>
    <w:rsid w:val="00936B1F"/>
    <w:rsid w:val="00942F81"/>
    <w:rsid w:val="00952220"/>
    <w:rsid w:val="009567E0"/>
    <w:rsid w:val="00962A93"/>
    <w:rsid w:val="00962C57"/>
    <w:rsid w:val="009636C5"/>
    <w:rsid w:val="00967223"/>
    <w:rsid w:val="0096740D"/>
    <w:rsid w:val="00967F5B"/>
    <w:rsid w:val="009711B6"/>
    <w:rsid w:val="00971F2E"/>
    <w:rsid w:val="00974B77"/>
    <w:rsid w:val="00980538"/>
    <w:rsid w:val="0098174C"/>
    <w:rsid w:val="00981AAE"/>
    <w:rsid w:val="00990EF5"/>
    <w:rsid w:val="0099181A"/>
    <w:rsid w:val="009A0374"/>
    <w:rsid w:val="009A03C2"/>
    <w:rsid w:val="009A1FAB"/>
    <w:rsid w:val="009A5052"/>
    <w:rsid w:val="009B20C2"/>
    <w:rsid w:val="009B236F"/>
    <w:rsid w:val="009B3BB0"/>
    <w:rsid w:val="009C263F"/>
    <w:rsid w:val="009C47F3"/>
    <w:rsid w:val="009C7425"/>
    <w:rsid w:val="009D34B2"/>
    <w:rsid w:val="009D649E"/>
    <w:rsid w:val="009D64F9"/>
    <w:rsid w:val="009D68F4"/>
    <w:rsid w:val="009D6954"/>
    <w:rsid w:val="009D69BE"/>
    <w:rsid w:val="009D7446"/>
    <w:rsid w:val="009E2DCC"/>
    <w:rsid w:val="009E3788"/>
    <w:rsid w:val="009E4120"/>
    <w:rsid w:val="009F60E3"/>
    <w:rsid w:val="00A01AE3"/>
    <w:rsid w:val="00A01CE1"/>
    <w:rsid w:val="00A01DB6"/>
    <w:rsid w:val="00A03556"/>
    <w:rsid w:val="00A10467"/>
    <w:rsid w:val="00A12E56"/>
    <w:rsid w:val="00A14E49"/>
    <w:rsid w:val="00A20503"/>
    <w:rsid w:val="00A20D58"/>
    <w:rsid w:val="00A2582E"/>
    <w:rsid w:val="00A266C5"/>
    <w:rsid w:val="00A30F8F"/>
    <w:rsid w:val="00A3425A"/>
    <w:rsid w:val="00A35391"/>
    <w:rsid w:val="00A36642"/>
    <w:rsid w:val="00A415D4"/>
    <w:rsid w:val="00A431DC"/>
    <w:rsid w:val="00A45CF0"/>
    <w:rsid w:val="00A4635F"/>
    <w:rsid w:val="00A513AF"/>
    <w:rsid w:val="00A5457A"/>
    <w:rsid w:val="00A6150D"/>
    <w:rsid w:val="00A66AA1"/>
    <w:rsid w:val="00A7297B"/>
    <w:rsid w:val="00A7366E"/>
    <w:rsid w:val="00A75A49"/>
    <w:rsid w:val="00A76FBC"/>
    <w:rsid w:val="00A76FC1"/>
    <w:rsid w:val="00A8272C"/>
    <w:rsid w:val="00A8643C"/>
    <w:rsid w:val="00A94F55"/>
    <w:rsid w:val="00A97D37"/>
    <w:rsid w:val="00AA343F"/>
    <w:rsid w:val="00AA63AE"/>
    <w:rsid w:val="00AA6433"/>
    <w:rsid w:val="00AB1254"/>
    <w:rsid w:val="00AB5C56"/>
    <w:rsid w:val="00AC00C5"/>
    <w:rsid w:val="00AC7A22"/>
    <w:rsid w:val="00AD1715"/>
    <w:rsid w:val="00AD3300"/>
    <w:rsid w:val="00AE0151"/>
    <w:rsid w:val="00AE05B6"/>
    <w:rsid w:val="00AE4C9D"/>
    <w:rsid w:val="00AF1256"/>
    <w:rsid w:val="00AF456C"/>
    <w:rsid w:val="00AF5E4E"/>
    <w:rsid w:val="00AF6A60"/>
    <w:rsid w:val="00AF7357"/>
    <w:rsid w:val="00B020AF"/>
    <w:rsid w:val="00B0424C"/>
    <w:rsid w:val="00B10CEF"/>
    <w:rsid w:val="00B2084A"/>
    <w:rsid w:val="00B22A67"/>
    <w:rsid w:val="00B243FE"/>
    <w:rsid w:val="00B24CD8"/>
    <w:rsid w:val="00B27FA2"/>
    <w:rsid w:val="00B37B33"/>
    <w:rsid w:val="00B50CF5"/>
    <w:rsid w:val="00B54056"/>
    <w:rsid w:val="00B55A9D"/>
    <w:rsid w:val="00B63A79"/>
    <w:rsid w:val="00B64454"/>
    <w:rsid w:val="00B65948"/>
    <w:rsid w:val="00B66CCE"/>
    <w:rsid w:val="00B769C9"/>
    <w:rsid w:val="00B7716C"/>
    <w:rsid w:val="00B865DB"/>
    <w:rsid w:val="00B86D4F"/>
    <w:rsid w:val="00B91058"/>
    <w:rsid w:val="00B91911"/>
    <w:rsid w:val="00B941AB"/>
    <w:rsid w:val="00B97FCD"/>
    <w:rsid w:val="00BA1235"/>
    <w:rsid w:val="00BB6623"/>
    <w:rsid w:val="00BB71E3"/>
    <w:rsid w:val="00BC2CC0"/>
    <w:rsid w:val="00BC4528"/>
    <w:rsid w:val="00BD2E47"/>
    <w:rsid w:val="00BD3F74"/>
    <w:rsid w:val="00BD5DA3"/>
    <w:rsid w:val="00BE026E"/>
    <w:rsid w:val="00BE4399"/>
    <w:rsid w:val="00BE445D"/>
    <w:rsid w:val="00BE738B"/>
    <w:rsid w:val="00BF01C4"/>
    <w:rsid w:val="00BF1E96"/>
    <w:rsid w:val="00BF4F03"/>
    <w:rsid w:val="00C014C0"/>
    <w:rsid w:val="00C0250E"/>
    <w:rsid w:val="00C104A0"/>
    <w:rsid w:val="00C10B8A"/>
    <w:rsid w:val="00C114F6"/>
    <w:rsid w:val="00C128B7"/>
    <w:rsid w:val="00C13232"/>
    <w:rsid w:val="00C160F7"/>
    <w:rsid w:val="00C165F3"/>
    <w:rsid w:val="00C23D2D"/>
    <w:rsid w:val="00C23F4D"/>
    <w:rsid w:val="00C36921"/>
    <w:rsid w:val="00C43C01"/>
    <w:rsid w:val="00C5656A"/>
    <w:rsid w:val="00C57B22"/>
    <w:rsid w:val="00C6275A"/>
    <w:rsid w:val="00C62AD7"/>
    <w:rsid w:val="00C656DC"/>
    <w:rsid w:val="00C6598D"/>
    <w:rsid w:val="00C755DE"/>
    <w:rsid w:val="00C80E13"/>
    <w:rsid w:val="00C82BDF"/>
    <w:rsid w:val="00C83692"/>
    <w:rsid w:val="00C8617F"/>
    <w:rsid w:val="00C86F66"/>
    <w:rsid w:val="00C9047D"/>
    <w:rsid w:val="00C90C95"/>
    <w:rsid w:val="00C91431"/>
    <w:rsid w:val="00C93060"/>
    <w:rsid w:val="00C962DC"/>
    <w:rsid w:val="00C96BB7"/>
    <w:rsid w:val="00C96BD0"/>
    <w:rsid w:val="00CA0122"/>
    <w:rsid w:val="00CA46DA"/>
    <w:rsid w:val="00CB19A9"/>
    <w:rsid w:val="00CB3FDA"/>
    <w:rsid w:val="00CB4AE5"/>
    <w:rsid w:val="00CB4FDC"/>
    <w:rsid w:val="00CB5C84"/>
    <w:rsid w:val="00CC0AA0"/>
    <w:rsid w:val="00CC240D"/>
    <w:rsid w:val="00CC4E2C"/>
    <w:rsid w:val="00CC552E"/>
    <w:rsid w:val="00CC7025"/>
    <w:rsid w:val="00CC774A"/>
    <w:rsid w:val="00CD07EE"/>
    <w:rsid w:val="00CD1AE5"/>
    <w:rsid w:val="00CD4EFB"/>
    <w:rsid w:val="00CE487C"/>
    <w:rsid w:val="00CF16D8"/>
    <w:rsid w:val="00CF5C88"/>
    <w:rsid w:val="00CF6600"/>
    <w:rsid w:val="00CF75E3"/>
    <w:rsid w:val="00D0098B"/>
    <w:rsid w:val="00D0180F"/>
    <w:rsid w:val="00D02301"/>
    <w:rsid w:val="00D02D0E"/>
    <w:rsid w:val="00D06A1F"/>
    <w:rsid w:val="00D1076E"/>
    <w:rsid w:val="00D12C54"/>
    <w:rsid w:val="00D13317"/>
    <w:rsid w:val="00D2486C"/>
    <w:rsid w:val="00D30D34"/>
    <w:rsid w:val="00D310E4"/>
    <w:rsid w:val="00D3256C"/>
    <w:rsid w:val="00D330C8"/>
    <w:rsid w:val="00D35720"/>
    <w:rsid w:val="00D445E4"/>
    <w:rsid w:val="00D52DA7"/>
    <w:rsid w:val="00D53942"/>
    <w:rsid w:val="00D55A72"/>
    <w:rsid w:val="00D55B5C"/>
    <w:rsid w:val="00D606C2"/>
    <w:rsid w:val="00D631E6"/>
    <w:rsid w:val="00D661FD"/>
    <w:rsid w:val="00D7095B"/>
    <w:rsid w:val="00D71B66"/>
    <w:rsid w:val="00D730B2"/>
    <w:rsid w:val="00D80A88"/>
    <w:rsid w:val="00D811D5"/>
    <w:rsid w:val="00D821A1"/>
    <w:rsid w:val="00D826D0"/>
    <w:rsid w:val="00D83C56"/>
    <w:rsid w:val="00D8670D"/>
    <w:rsid w:val="00D8688C"/>
    <w:rsid w:val="00D86C65"/>
    <w:rsid w:val="00D913C1"/>
    <w:rsid w:val="00D91B53"/>
    <w:rsid w:val="00D92DFF"/>
    <w:rsid w:val="00D95C08"/>
    <w:rsid w:val="00D963B6"/>
    <w:rsid w:val="00DA18D6"/>
    <w:rsid w:val="00DA3364"/>
    <w:rsid w:val="00DA6BEE"/>
    <w:rsid w:val="00DA7862"/>
    <w:rsid w:val="00DA7A2E"/>
    <w:rsid w:val="00DB1A5C"/>
    <w:rsid w:val="00DB3069"/>
    <w:rsid w:val="00DB36AE"/>
    <w:rsid w:val="00DB71E4"/>
    <w:rsid w:val="00DB7F06"/>
    <w:rsid w:val="00DC0BEE"/>
    <w:rsid w:val="00DC1945"/>
    <w:rsid w:val="00DD4C84"/>
    <w:rsid w:val="00DD6DD4"/>
    <w:rsid w:val="00DE26AB"/>
    <w:rsid w:val="00DE5ECA"/>
    <w:rsid w:val="00DF0087"/>
    <w:rsid w:val="00DF1CCA"/>
    <w:rsid w:val="00DF36B2"/>
    <w:rsid w:val="00DF4339"/>
    <w:rsid w:val="00E00DCC"/>
    <w:rsid w:val="00E050CC"/>
    <w:rsid w:val="00E06482"/>
    <w:rsid w:val="00E119FF"/>
    <w:rsid w:val="00E15040"/>
    <w:rsid w:val="00E16283"/>
    <w:rsid w:val="00E17BB4"/>
    <w:rsid w:val="00E2010D"/>
    <w:rsid w:val="00E22B16"/>
    <w:rsid w:val="00E23942"/>
    <w:rsid w:val="00E26676"/>
    <w:rsid w:val="00E27AC2"/>
    <w:rsid w:val="00E302DE"/>
    <w:rsid w:val="00E31B97"/>
    <w:rsid w:val="00E34A42"/>
    <w:rsid w:val="00E3666D"/>
    <w:rsid w:val="00E37897"/>
    <w:rsid w:val="00E44CBE"/>
    <w:rsid w:val="00E46813"/>
    <w:rsid w:val="00E519C5"/>
    <w:rsid w:val="00E52119"/>
    <w:rsid w:val="00E627CC"/>
    <w:rsid w:val="00E62A7A"/>
    <w:rsid w:val="00E630DF"/>
    <w:rsid w:val="00E65C61"/>
    <w:rsid w:val="00E67E0B"/>
    <w:rsid w:val="00E70FD6"/>
    <w:rsid w:val="00E733E3"/>
    <w:rsid w:val="00E747A6"/>
    <w:rsid w:val="00E7538F"/>
    <w:rsid w:val="00E7629E"/>
    <w:rsid w:val="00E85FBA"/>
    <w:rsid w:val="00E87853"/>
    <w:rsid w:val="00E924EF"/>
    <w:rsid w:val="00E935C6"/>
    <w:rsid w:val="00EA2036"/>
    <w:rsid w:val="00EA31CE"/>
    <w:rsid w:val="00EA384A"/>
    <w:rsid w:val="00EA5897"/>
    <w:rsid w:val="00EA6BA9"/>
    <w:rsid w:val="00EB6FEA"/>
    <w:rsid w:val="00EB7E9A"/>
    <w:rsid w:val="00EC0D68"/>
    <w:rsid w:val="00EC0EED"/>
    <w:rsid w:val="00EC3AC5"/>
    <w:rsid w:val="00EC7981"/>
    <w:rsid w:val="00EC7A9D"/>
    <w:rsid w:val="00EE0961"/>
    <w:rsid w:val="00EE14D5"/>
    <w:rsid w:val="00EE3DAF"/>
    <w:rsid w:val="00EE5CD6"/>
    <w:rsid w:val="00EF0995"/>
    <w:rsid w:val="00EF2BFD"/>
    <w:rsid w:val="00EF3A1F"/>
    <w:rsid w:val="00EF3C98"/>
    <w:rsid w:val="00EF3EF7"/>
    <w:rsid w:val="00EF5FA8"/>
    <w:rsid w:val="00F00946"/>
    <w:rsid w:val="00F00BF7"/>
    <w:rsid w:val="00F01B43"/>
    <w:rsid w:val="00F0238C"/>
    <w:rsid w:val="00F068AD"/>
    <w:rsid w:val="00F076AF"/>
    <w:rsid w:val="00F15379"/>
    <w:rsid w:val="00F23F42"/>
    <w:rsid w:val="00F2449F"/>
    <w:rsid w:val="00F258D5"/>
    <w:rsid w:val="00F3042C"/>
    <w:rsid w:val="00F32C5A"/>
    <w:rsid w:val="00F3451B"/>
    <w:rsid w:val="00F35B99"/>
    <w:rsid w:val="00F35FDC"/>
    <w:rsid w:val="00F37E4B"/>
    <w:rsid w:val="00F42918"/>
    <w:rsid w:val="00F4664C"/>
    <w:rsid w:val="00F50B58"/>
    <w:rsid w:val="00F517A5"/>
    <w:rsid w:val="00F572B5"/>
    <w:rsid w:val="00F57418"/>
    <w:rsid w:val="00F71DA8"/>
    <w:rsid w:val="00F743AB"/>
    <w:rsid w:val="00F774DE"/>
    <w:rsid w:val="00F82993"/>
    <w:rsid w:val="00F84020"/>
    <w:rsid w:val="00F853FB"/>
    <w:rsid w:val="00F86CFD"/>
    <w:rsid w:val="00F87986"/>
    <w:rsid w:val="00F93C44"/>
    <w:rsid w:val="00F957A4"/>
    <w:rsid w:val="00F97CA3"/>
    <w:rsid w:val="00FA4124"/>
    <w:rsid w:val="00FB4DEC"/>
    <w:rsid w:val="00FB7F82"/>
    <w:rsid w:val="00FC3BA6"/>
    <w:rsid w:val="00FC67DC"/>
    <w:rsid w:val="00FD0351"/>
    <w:rsid w:val="00FD207A"/>
    <w:rsid w:val="00FD394C"/>
    <w:rsid w:val="00FD4C9A"/>
    <w:rsid w:val="00FD5873"/>
    <w:rsid w:val="00FD793B"/>
    <w:rsid w:val="00FE03C1"/>
    <w:rsid w:val="00FE2955"/>
    <w:rsid w:val="00FE66E8"/>
    <w:rsid w:val="00FF118E"/>
    <w:rsid w:val="00FF203D"/>
    <w:rsid w:val="00FF2B6A"/>
    <w:rsid w:val="00FF33BA"/>
    <w:rsid w:val="00FF3E50"/>
    <w:rsid w:val="00FF4C71"/>
    <w:rsid w:val="00FF5BE4"/>
    <w:rsid w:val="00FF6A73"/>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E495B6"/>
  <w15:docId w15:val="{8BB4C5C6-B26C-43F0-9285-D740B6F2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528"/>
    <w:pPr>
      <w:spacing w:after="0" w:line="240" w:lineRule="auto"/>
    </w:pPr>
    <w:rPr>
      <w:rFonts w:ascii="Arial" w:hAnsi="Arial" w:cs="Arial"/>
    </w:rPr>
  </w:style>
  <w:style w:type="paragraph" w:styleId="Heading1">
    <w:name w:val="heading 1"/>
    <w:basedOn w:val="Normal"/>
    <w:next w:val="Normal"/>
    <w:link w:val="Heading1Char"/>
    <w:qFormat/>
    <w:rsid w:val="009B3BB0"/>
    <w:pPr>
      <w:tabs>
        <w:tab w:val="left" w:pos="540"/>
      </w:tabs>
      <w:spacing w:line="360" w:lineRule="auto"/>
      <w:outlineLvl w:val="0"/>
    </w:pPr>
    <w:rPr>
      <w:b/>
    </w:rPr>
  </w:style>
  <w:style w:type="paragraph" w:styleId="Heading2">
    <w:name w:val="heading 2"/>
    <w:basedOn w:val="Normal"/>
    <w:next w:val="Normal"/>
    <w:link w:val="Heading2Char"/>
    <w:unhideWhenUsed/>
    <w:qFormat/>
    <w:rsid w:val="009B3BB0"/>
    <w:pPr>
      <w:keepNext/>
      <w:keepLines/>
      <w:tabs>
        <w:tab w:val="left" w:pos="540"/>
      </w:tabs>
      <w:spacing w:before="180" w:line="360" w:lineRule="auto"/>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BB0"/>
    <w:rPr>
      <w:rFonts w:ascii="Arial" w:hAnsi="Arial" w:cs="Arial"/>
      <w:b/>
    </w:rPr>
  </w:style>
  <w:style w:type="character" w:customStyle="1" w:styleId="Heading2Char">
    <w:name w:val="Heading 2 Char"/>
    <w:basedOn w:val="DefaultParagraphFont"/>
    <w:link w:val="Heading2"/>
    <w:rsid w:val="009B3BB0"/>
    <w:rPr>
      <w:rFonts w:ascii="Arial" w:eastAsiaTheme="majorEastAsia" w:hAnsi="Arial" w:cstheme="majorBidi"/>
      <w:i/>
      <w:color w:val="000000" w:themeColor="text1"/>
      <w:szCs w:val="26"/>
    </w:rPr>
  </w:style>
  <w:style w:type="paragraph" w:styleId="ListParagraph">
    <w:name w:val="List Paragraph"/>
    <w:basedOn w:val="Normal"/>
    <w:uiPriority w:val="34"/>
    <w:qFormat/>
    <w:rsid w:val="009B3BB0"/>
    <w:pPr>
      <w:ind w:left="720"/>
      <w:contextualSpacing/>
    </w:pPr>
  </w:style>
  <w:style w:type="character" w:styleId="Hyperlink">
    <w:name w:val="Hyperlink"/>
    <w:basedOn w:val="DefaultParagraphFont"/>
    <w:unhideWhenUsed/>
    <w:rsid w:val="009B3BB0"/>
    <w:rPr>
      <w:color w:val="0563C1" w:themeColor="hyperlink"/>
      <w:u w:val="single"/>
    </w:rPr>
  </w:style>
  <w:style w:type="paragraph" w:styleId="Footer">
    <w:name w:val="footer"/>
    <w:basedOn w:val="Normal"/>
    <w:link w:val="FooterChar"/>
    <w:uiPriority w:val="99"/>
    <w:unhideWhenUsed/>
    <w:rsid w:val="009B3BB0"/>
    <w:pPr>
      <w:tabs>
        <w:tab w:val="center" w:pos="4680"/>
        <w:tab w:val="right" w:pos="9360"/>
      </w:tabs>
    </w:pPr>
  </w:style>
  <w:style w:type="character" w:customStyle="1" w:styleId="FooterChar">
    <w:name w:val="Footer Char"/>
    <w:basedOn w:val="DefaultParagraphFont"/>
    <w:link w:val="Footer"/>
    <w:uiPriority w:val="99"/>
    <w:rsid w:val="009B3BB0"/>
    <w:rPr>
      <w:rFonts w:ascii="Arial" w:hAnsi="Arial" w:cs="Arial"/>
    </w:rPr>
  </w:style>
  <w:style w:type="character" w:styleId="PageNumber">
    <w:name w:val="page number"/>
    <w:basedOn w:val="DefaultParagraphFont"/>
    <w:unhideWhenUsed/>
    <w:rsid w:val="009B3BB0"/>
  </w:style>
  <w:style w:type="paragraph" w:styleId="Header">
    <w:name w:val="header"/>
    <w:basedOn w:val="Normal"/>
    <w:link w:val="HeaderChar"/>
    <w:unhideWhenUsed/>
    <w:rsid w:val="009B3BB0"/>
    <w:pPr>
      <w:tabs>
        <w:tab w:val="center" w:pos="4680"/>
        <w:tab w:val="right" w:pos="9360"/>
      </w:tabs>
    </w:pPr>
  </w:style>
  <w:style w:type="character" w:customStyle="1" w:styleId="HeaderChar">
    <w:name w:val="Header Char"/>
    <w:basedOn w:val="DefaultParagraphFont"/>
    <w:link w:val="Header"/>
    <w:rsid w:val="009B3BB0"/>
    <w:rPr>
      <w:rFonts w:ascii="Arial" w:hAnsi="Arial" w:cs="Arial"/>
    </w:rPr>
  </w:style>
  <w:style w:type="table" w:styleId="TableGrid">
    <w:name w:val="Table Grid"/>
    <w:basedOn w:val="TableNormal"/>
    <w:uiPriority w:val="39"/>
    <w:rsid w:val="009B3BB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9B3BB0"/>
    <w:rPr>
      <w:sz w:val="24"/>
      <w:szCs w:val="24"/>
    </w:rPr>
  </w:style>
  <w:style w:type="character" w:customStyle="1" w:styleId="CommentTextChar">
    <w:name w:val="Comment Text Char"/>
    <w:basedOn w:val="DefaultParagraphFont"/>
    <w:link w:val="CommentText"/>
    <w:rsid w:val="009B3BB0"/>
    <w:rPr>
      <w:rFonts w:ascii="Arial" w:hAnsi="Arial" w:cs="Arial"/>
      <w:sz w:val="24"/>
      <w:szCs w:val="24"/>
    </w:rPr>
  </w:style>
  <w:style w:type="character" w:styleId="CommentReference">
    <w:name w:val="annotation reference"/>
    <w:basedOn w:val="DefaultParagraphFont"/>
    <w:unhideWhenUsed/>
    <w:rsid w:val="009B3BB0"/>
    <w:rPr>
      <w:sz w:val="16"/>
      <w:szCs w:val="16"/>
    </w:rPr>
  </w:style>
  <w:style w:type="paragraph" w:styleId="BalloonText">
    <w:name w:val="Balloon Text"/>
    <w:basedOn w:val="Normal"/>
    <w:link w:val="BalloonTextChar"/>
    <w:unhideWhenUsed/>
    <w:rsid w:val="009B3BB0"/>
    <w:rPr>
      <w:rFonts w:ascii="Times New Roman" w:hAnsi="Times New Roman" w:cs="Times New Roman"/>
      <w:sz w:val="18"/>
      <w:szCs w:val="18"/>
    </w:rPr>
  </w:style>
  <w:style w:type="character" w:customStyle="1" w:styleId="BalloonTextChar">
    <w:name w:val="Balloon Text Char"/>
    <w:basedOn w:val="DefaultParagraphFont"/>
    <w:link w:val="BalloonText"/>
    <w:rsid w:val="009B3BB0"/>
    <w:rPr>
      <w:rFonts w:ascii="Times New Roman" w:hAnsi="Times New Roman" w:cs="Times New Roman"/>
      <w:sz w:val="18"/>
      <w:szCs w:val="18"/>
    </w:rPr>
  </w:style>
  <w:style w:type="paragraph" w:styleId="TOC1">
    <w:name w:val="toc 1"/>
    <w:basedOn w:val="Normal"/>
    <w:next w:val="Normal"/>
    <w:autoRedefine/>
    <w:uiPriority w:val="39"/>
    <w:unhideWhenUsed/>
    <w:rsid w:val="009B3BB0"/>
    <w:pPr>
      <w:tabs>
        <w:tab w:val="left" w:pos="440"/>
        <w:tab w:val="right" w:leader="dot" w:pos="9350"/>
      </w:tabs>
      <w:spacing w:before="120" w:line="276" w:lineRule="auto"/>
    </w:pPr>
    <w:rPr>
      <w:b/>
    </w:rPr>
  </w:style>
  <w:style w:type="paragraph" w:styleId="TOC2">
    <w:name w:val="toc 2"/>
    <w:basedOn w:val="Normal"/>
    <w:next w:val="Normal"/>
    <w:autoRedefine/>
    <w:uiPriority w:val="39"/>
    <w:unhideWhenUsed/>
    <w:rsid w:val="00D55A72"/>
    <w:pPr>
      <w:tabs>
        <w:tab w:val="left" w:pos="880"/>
        <w:tab w:val="right" w:leader="dot" w:pos="9350"/>
      </w:tabs>
      <w:spacing w:line="276" w:lineRule="auto"/>
      <w:ind w:left="432"/>
    </w:pPr>
    <w:rPr>
      <w:i/>
      <w:sz w:val="21"/>
    </w:rPr>
  </w:style>
  <w:style w:type="paragraph" w:styleId="TOC3">
    <w:name w:val="toc 3"/>
    <w:basedOn w:val="Normal"/>
    <w:next w:val="Normal"/>
    <w:autoRedefine/>
    <w:uiPriority w:val="39"/>
    <w:unhideWhenUsed/>
    <w:rsid w:val="009B3BB0"/>
    <w:pPr>
      <w:ind w:left="440"/>
    </w:pPr>
    <w:rPr>
      <w:rFonts w:asciiTheme="minorHAnsi" w:hAnsiTheme="minorHAnsi"/>
    </w:rPr>
  </w:style>
  <w:style w:type="paragraph" w:styleId="TOC4">
    <w:name w:val="toc 4"/>
    <w:basedOn w:val="Normal"/>
    <w:next w:val="Normal"/>
    <w:autoRedefine/>
    <w:uiPriority w:val="39"/>
    <w:unhideWhenUsed/>
    <w:rsid w:val="009B3BB0"/>
    <w:pPr>
      <w:ind w:left="660"/>
    </w:pPr>
    <w:rPr>
      <w:rFonts w:asciiTheme="minorHAnsi" w:hAnsiTheme="minorHAnsi"/>
      <w:sz w:val="20"/>
      <w:szCs w:val="20"/>
    </w:rPr>
  </w:style>
  <w:style w:type="paragraph" w:styleId="TOC5">
    <w:name w:val="toc 5"/>
    <w:basedOn w:val="Normal"/>
    <w:next w:val="Normal"/>
    <w:autoRedefine/>
    <w:uiPriority w:val="39"/>
    <w:unhideWhenUsed/>
    <w:rsid w:val="009B3BB0"/>
    <w:pPr>
      <w:ind w:left="880"/>
    </w:pPr>
    <w:rPr>
      <w:rFonts w:asciiTheme="minorHAnsi" w:hAnsiTheme="minorHAnsi"/>
      <w:sz w:val="20"/>
      <w:szCs w:val="20"/>
    </w:rPr>
  </w:style>
  <w:style w:type="paragraph" w:styleId="TOC6">
    <w:name w:val="toc 6"/>
    <w:basedOn w:val="Normal"/>
    <w:next w:val="Normal"/>
    <w:autoRedefine/>
    <w:uiPriority w:val="39"/>
    <w:unhideWhenUsed/>
    <w:rsid w:val="009B3BB0"/>
    <w:pPr>
      <w:ind w:left="1100"/>
    </w:pPr>
    <w:rPr>
      <w:rFonts w:asciiTheme="minorHAnsi" w:hAnsiTheme="minorHAnsi"/>
      <w:sz w:val="20"/>
      <w:szCs w:val="20"/>
    </w:rPr>
  </w:style>
  <w:style w:type="paragraph" w:styleId="TOC7">
    <w:name w:val="toc 7"/>
    <w:basedOn w:val="Normal"/>
    <w:next w:val="Normal"/>
    <w:autoRedefine/>
    <w:uiPriority w:val="39"/>
    <w:unhideWhenUsed/>
    <w:rsid w:val="009B3BB0"/>
    <w:pPr>
      <w:ind w:left="1320"/>
    </w:pPr>
    <w:rPr>
      <w:rFonts w:asciiTheme="minorHAnsi" w:hAnsiTheme="minorHAnsi"/>
      <w:sz w:val="20"/>
      <w:szCs w:val="20"/>
    </w:rPr>
  </w:style>
  <w:style w:type="paragraph" w:styleId="TOC8">
    <w:name w:val="toc 8"/>
    <w:basedOn w:val="Normal"/>
    <w:next w:val="Normal"/>
    <w:autoRedefine/>
    <w:uiPriority w:val="39"/>
    <w:unhideWhenUsed/>
    <w:rsid w:val="009B3BB0"/>
    <w:pPr>
      <w:ind w:left="1540"/>
    </w:pPr>
    <w:rPr>
      <w:rFonts w:asciiTheme="minorHAnsi" w:hAnsiTheme="minorHAnsi"/>
      <w:sz w:val="20"/>
      <w:szCs w:val="20"/>
    </w:rPr>
  </w:style>
  <w:style w:type="paragraph" w:styleId="TOC9">
    <w:name w:val="toc 9"/>
    <w:basedOn w:val="Normal"/>
    <w:next w:val="Normal"/>
    <w:autoRedefine/>
    <w:uiPriority w:val="39"/>
    <w:unhideWhenUsed/>
    <w:rsid w:val="009B3BB0"/>
    <w:pPr>
      <w:ind w:left="1760"/>
    </w:pPr>
    <w:rPr>
      <w:rFonts w:asciiTheme="minorHAnsi" w:hAnsiTheme="minorHAnsi"/>
      <w:sz w:val="20"/>
      <w:szCs w:val="20"/>
    </w:rPr>
  </w:style>
  <w:style w:type="paragraph" w:styleId="TOCHeading">
    <w:name w:val="TOC Heading"/>
    <w:basedOn w:val="Heading1"/>
    <w:next w:val="Normal"/>
    <w:uiPriority w:val="39"/>
    <w:unhideWhenUsed/>
    <w:qFormat/>
    <w:rsid w:val="009B3BB0"/>
    <w:pPr>
      <w:spacing w:before="480" w:line="276" w:lineRule="auto"/>
      <w:outlineLvl w:val="9"/>
    </w:pPr>
    <w:rPr>
      <w:b w:val="0"/>
      <w:bCs/>
      <w:sz w:val="28"/>
      <w:szCs w:val="28"/>
    </w:rPr>
  </w:style>
  <w:style w:type="paragraph" w:styleId="HTMLPreformatted">
    <w:name w:val="HTML Preformatted"/>
    <w:basedOn w:val="Normal"/>
    <w:link w:val="HTMLPreformattedChar"/>
    <w:uiPriority w:val="99"/>
    <w:rsid w:val="009B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9B3BB0"/>
    <w:rPr>
      <w:rFonts w:ascii="Courier New" w:eastAsia="Batang" w:hAnsi="Courier New" w:cs="Courier New"/>
      <w:sz w:val="20"/>
      <w:szCs w:val="20"/>
      <w:lang w:eastAsia="ko-KR"/>
    </w:rPr>
  </w:style>
  <w:style w:type="paragraph" w:styleId="CommentSubject">
    <w:name w:val="annotation subject"/>
    <w:basedOn w:val="CommentText"/>
    <w:next w:val="CommentText"/>
    <w:link w:val="CommentSubjectChar"/>
    <w:rsid w:val="009B3BB0"/>
    <w:rPr>
      <w:rFonts w:ascii="Times New Roman" w:eastAsia="Batang" w:hAnsi="Times New Roman" w:cs="Times New Roman"/>
      <w:b/>
      <w:bCs/>
      <w:sz w:val="20"/>
      <w:szCs w:val="20"/>
      <w:lang w:eastAsia="ko-KR"/>
    </w:rPr>
  </w:style>
  <w:style w:type="character" w:customStyle="1" w:styleId="CommentSubjectChar">
    <w:name w:val="Comment Subject Char"/>
    <w:basedOn w:val="CommentTextChar"/>
    <w:link w:val="CommentSubject"/>
    <w:rsid w:val="009B3BB0"/>
    <w:rPr>
      <w:rFonts w:ascii="Times New Roman" w:eastAsia="Batang" w:hAnsi="Times New Roman" w:cs="Times New Roman"/>
      <w:b/>
      <w:bCs/>
      <w:sz w:val="20"/>
      <w:szCs w:val="20"/>
      <w:lang w:eastAsia="ko-KR"/>
    </w:rPr>
  </w:style>
  <w:style w:type="paragraph" w:styleId="List2">
    <w:name w:val="List 2"/>
    <w:basedOn w:val="Normal"/>
    <w:rsid w:val="009B3BB0"/>
    <w:pPr>
      <w:ind w:left="720" w:hanging="360"/>
      <w:contextualSpacing/>
    </w:pPr>
    <w:rPr>
      <w:rFonts w:ascii="Times New Roman" w:eastAsia="Batang" w:hAnsi="Times New Roman" w:cs="Times New Roman"/>
      <w:sz w:val="24"/>
      <w:szCs w:val="24"/>
      <w:lang w:eastAsia="ko-KR"/>
    </w:rPr>
  </w:style>
  <w:style w:type="paragraph" w:styleId="BodyText">
    <w:name w:val="Body Text"/>
    <w:basedOn w:val="Normal"/>
    <w:link w:val="BodyTextChar"/>
    <w:rsid w:val="009B3BB0"/>
    <w:pPr>
      <w:spacing w:after="120"/>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rsid w:val="009B3BB0"/>
    <w:rPr>
      <w:rFonts w:ascii="Times New Roman" w:eastAsia="Batang" w:hAnsi="Times New Roman" w:cs="Times New Roman"/>
      <w:sz w:val="24"/>
      <w:szCs w:val="24"/>
      <w:lang w:eastAsia="ko-KR"/>
    </w:rPr>
  </w:style>
  <w:style w:type="paragraph" w:styleId="BodyTextFirstIndent">
    <w:name w:val="Body Text First Indent"/>
    <w:basedOn w:val="BodyText"/>
    <w:link w:val="BodyTextFirstIndentChar"/>
    <w:rsid w:val="009B3BB0"/>
    <w:pPr>
      <w:spacing w:after="0"/>
      <w:ind w:firstLine="360"/>
    </w:pPr>
  </w:style>
  <w:style w:type="character" w:customStyle="1" w:styleId="BodyTextFirstIndentChar">
    <w:name w:val="Body Text First Indent Char"/>
    <w:basedOn w:val="BodyTextChar"/>
    <w:link w:val="BodyTextFirstIndent"/>
    <w:rsid w:val="009B3BB0"/>
    <w:rPr>
      <w:rFonts w:ascii="Times New Roman" w:eastAsia="Batang" w:hAnsi="Times New Roman" w:cs="Times New Roman"/>
      <w:sz w:val="24"/>
      <w:szCs w:val="24"/>
      <w:lang w:eastAsia="ko-KR"/>
    </w:rPr>
  </w:style>
  <w:style w:type="paragraph" w:styleId="List">
    <w:name w:val="List"/>
    <w:basedOn w:val="Normal"/>
    <w:rsid w:val="009B3BB0"/>
    <w:pPr>
      <w:ind w:left="360" w:hanging="360"/>
      <w:contextualSpacing/>
    </w:pPr>
    <w:rPr>
      <w:rFonts w:ascii="Times New Roman" w:eastAsia="Batang" w:hAnsi="Times New Roman" w:cs="Times New Roman"/>
      <w:sz w:val="24"/>
      <w:szCs w:val="24"/>
      <w:lang w:eastAsia="ko-KR"/>
    </w:rPr>
  </w:style>
  <w:style w:type="character" w:styleId="PlaceholderText">
    <w:name w:val="Placeholder Text"/>
    <w:basedOn w:val="DefaultParagraphFont"/>
    <w:uiPriority w:val="99"/>
    <w:semiHidden/>
    <w:rsid w:val="009B3BB0"/>
    <w:rPr>
      <w:color w:val="808080"/>
    </w:rPr>
  </w:style>
  <w:style w:type="table" w:customStyle="1" w:styleId="PlainTable21">
    <w:name w:val="Plain Table 21"/>
    <w:basedOn w:val="TableNormal"/>
    <w:uiPriority w:val="42"/>
    <w:rsid w:val="009B3B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
    <w:name w:val="Body"/>
    <w:rsid w:val="009B3BB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A">
    <w:name w:val="Body A"/>
    <w:rsid w:val="009B3BB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Revision">
    <w:name w:val="Revision"/>
    <w:hidden/>
    <w:uiPriority w:val="99"/>
    <w:semiHidden/>
    <w:rsid w:val="00C43C01"/>
    <w:pPr>
      <w:spacing w:after="0" w:line="240" w:lineRule="auto"/>
    </w:pPr>
    <w:rPr>
      <w:rFonts w:ascii="Arial" w:hAnsi="Arial" w:cs="Arial"/>
    </w:rPr>
  </w:style>
  <w:style w:type="paragraph" w:customStyle="1" w:styleId="p">
    <w:name w:val="p"/>
    <w:basedOn w:val="Normal"/>
    <w:rsid w:val="000236BC"/>
    <w:pPr>
      <w:spacing w:before="100" w:beforeAutospacing="1" w:after="100" w:afterAutospacing="1"/>
    </w:pPr>
    <w:rPr>
      <w:rFonts w:ascii="Times New Roman" w:eastAsia="Times New Roman" w:hAnsi="Times New Roman" w:cs="Times New Roman"/>
      <w:sz w:val="24"/>
      <w:szCs w:val="24"/>
    </w:rPr>
  </w:style>
  <w:style w:type="table" w:styleId="LightShading">
    <w:name w:val="Light Shading"/>
    <w:basedOn w:val="TableNormal"/>
    <w:uiPriority w:val="60"/>
    <w:rsid w:val="0060226B"/>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3658A7"/>
    <w:pPr>
      <w:jc w:val="center"/>
    </w:pPr>
    <w:rPr>
      <w:noProof/>
    </w:rPr>
  </w:style>
  <w:style w:type="character" w:customStyle="1" w:styleId="EndNoteBibliographyTitleChar">
    <w:name w:val="EndNote Bibliography Title Char"/>
    <w:basedOn w:val="DefaultParagraphFont"/>
    <w:link w:val="EndNoteBibliographyTitle"/>
    <w:rsid w:val="003658A7"/>
    <w:rPr>
      <w:rFonts w:ascii="Arial" w:hAnsi="Arial" w:cs="Arial"/>
      <w:noProof/>
    </w:rPr>
  </w:style>
  <w:style w:type="paragraph" w:customStyle="1" w:styleId="EndNoteBibliography">
    <w:name w:val="EndNote Bibliography"/>
    <w:basedOn w:val="Normal"/>
    <w:link w:val="EndNoteBibliographyChar"/>
    <w:rsid w:val="003658A7"/>
    <w:rPr>
      <w:noProof/>
    </w:rPr>
  </w:style>
  <w:style w:type="character" w:customStyle="1" w:styleId="EndNoteBibliographyChar">
    <w:name w:val="EndNote Bibliography Char"/>
    <w:basedOn w:val="DefaultParagraphFont"/>
    <w:link w:val="EndNoteBibliography"/>
    <w:rsid w:val="003658A7"/>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47896">
      <w:bodyDiv w:val="1"/>
      <w:marLeft w:val="0"/>
      <w:marRight w:val="0"/>
      <w:marTop w:val="0"/>
      <w:marBottom w:val="0"/>
      <w:divBdr>
        <w:top w:val="none" w:sz="0" w:space="0" w:color="auto"/>
        <w:left w:val="none" w:sz="0" w:space="0" w:color="auto"/>
        <w:bottom w:val="none" w:sz="0" w:space="0" w:color="auto"/>
        <w:right w:val="none" w:sz="0" w:space="0" w:color="auto"/>
      </w:divBdr>
    </w:div>
    <w:div w:id="719522634">
      <w:bodyDiv w:val="1"/>
      <w:marLeft w:val="0"/>
      <w:marRight w:val="0"/>
      <w:marTop w:val="0"/>
      <w:marBottom w:val="0"/>
      <w:divBdr>
        <w:top w:val="none" w:sz="0" w:space="0" w:color="auto"/>
        <w:left w:val="none" w:sz="0" w:space="0" w:color="auto"/>
        <w:bottom w:val="none" w:sz="0" w:space="0" w:color="auto"/>
        <w:right w:val="none" w:sz="0" w:space="0" w:color="auto"/>
      </w:divBdr>
    </w:div>
    <w:div w:id="826940907">
      <w:bodyDiv w:val="1"/>
      <w:marLeft w:val="0"/>
      <w:marRight w:val="0"/>
      <w:marTop w:val="0"/>
      <w:marBottom w:val="0"/>
      <w:divBdr>
        <w:top w:val="none" w:sz="0" w:space="0" w:color="auto"/>
        <w:left w:val="none" w:sz="0" w:space="0" w:color="auto"/>
        <w:bottom w:val="none" w:sz="0" w:space="0" w:color="auto"/>
        <w:right w:val="none" w:sz="0" w:space="0" w:color="auto"/>
      </w:divBdr>
    </w:div>
    <w:div w:id="1232080891">
      <w:bodyDiv w:val="1"/>
      <w:marLeft w:val="0"/>
      <w:marRight w:val="0"/>
      <w:marTop w:val="0"/>
      <w:marBottom w:val="0"/>
      <w:divBdr>
        <w:top w:val="none" w:sz="0" w:space="0" w:color="auto"/>
        <w:left w:val="none" w:sz="0" w:space="0" w:color="auto"/>
        <w:bottom w:val="none" w:sz="0" w:space="0" w:color="auto"/>
        <w:right w:val="none" w:sz="0" w:space="0" w:color="auto"/>
      </w:divBdr>
    </w:div>
    <w:div w:id="1845393868">
      <w:bodyDiv w:val="1"/>
      <w:marLeft w:val="0"/>
      <w:marRight w:val="0"/>
      <w:marTop w:val="0"/>
      <w:marBottom w:val="0"/>
      <w:divBdr>
        <w:top w:val="none" w:sz="0" w:space="0" w:color="auto"/>
        <w:left w:val="none" w:sz="0" w:space="0" w:color="auto"/>
        <w:bottom w:val="none" w:sz="0" w:space="0" w:color="auto"/>
        <w:right w:val="none" w:sz="0" w:space="0" w:color="auto"/>
      </w:divBdr>
    </w:div>
    <w:div w:id="19029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0453-A97A-9F48-B702-352D075D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199921</Words>
  <Characters>1139550</Characters>
  <Application>Microsoft Office Word</Application>
  <DocSecurity>0</DocSecurity>
  <Lines>9496</Lines>
  <Paragraphs>2673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1336798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Kevin</dc:creator>
  <cp:keywords/>
  <dc:description/>
  <cp:lastModifiedBy>Jones, Jeb</cp:lastModifiedBy>
  <cp:revision>3</cp:revision>
  <dcterms:created xsi:type="dcterms:W3CDTF">2018-12-24T15:41:00Z</dcterms:created>
  <dcterms:modified xsi:type="dcterms:W3CDTF">2018-12-24T15:42:00Z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http://www.zotero.org/styles/the-lancet-infectious-diseases</vt:lpwstr>
  </property>
  <property fmtid="{D5CDD505-2E9C-101B-9397-08002B2CF9AE}" pid="4" name="Mendeley Recent Style Id 0_1">
    <vt:lpwstr>http://www.zotero.org/styles/american-journal-of-public-health</vt:lpwstr>
  </property>
  <property fmtid="{D5CDD505-2E9C-101B-9397-08002B2CF9AE}" pid="5" name="Mendeley Recent Style Name 0_1">
    <vt:lpwstr>American Journal of Public Health</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http://www.zotero.org/styles/epidemics</vt:lpwstr>
  </property>
  <property fmtid="{D5CDD505-2E9C-101B-9397-08002B2CF9AE}" pid="13" name="Mendeley Recent Style Name 4_1">
    <vt:lpwstr>Epidemics</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http://www.zotero.org/styles/sexually-transmitted-infections</vt:lpwstr>
  </property>
  <property fmtid="{D5CDD505-2E9C-101B-9397-08002B2CF9AE}" pid="21" name="Mendeley Recent Style Name 8_1">
    <vt:lpwstr>Sexually Transmitted Infections</vt:lpwstr>
  </property>
  <property fmtid="{D5CDD505-2E9C-101B-9397-08002B2CF9AE}" pid="22" name="Mendeley Recent Style Id 9_1">
    <vt:lpwstr>http://www.zotero.org/styles/the-lancet-infectious-diseases</vt:lpwstr>
  </property>
  <property fmtid="{D5CDD505-2E9C-101B-9397-08002B2CF9AE}" pid="23" name="Mendeley Recent Style Name 9_1">
    <vt:lpwstr>The Lancet Infectious Diseases</vt:lpwstr>
  </property>
  <property fmtid="{D5CDD505-2E9C-101B-9397-08002B2CF9AE}" pid="24" name="Mendeley Unique User Id_1">
    <vt:lpwstr>0f7ed650-4ca9-3df2-9d37-dea1e43ce207</vt:lpwstr>
  </property>
</Properties>
</file>