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9940" w14:textId="77777777" w:rsidR="00436146" w:rsidRPr="00935542" w:rsidRDefault="00436146" w:rsidP="00436146">
      <w:pPr>
        <w:spacing w:line="240" w:lineRule="auto"/>
        <w:rPr>
          <w:b/>
          <w:sz w:val="36"/>
          <w:szCs w:val="20"/>
        </w:rPr>
      </w:pPr>
      <w:r>
        <w:rPr>
          <w:b/>
          <w:sz w:val="36"/>
          <w:szCs w:val="20"/>
        </w:rPr>
        <w:t>Online Supplement</w:t>
      </w:r>
    </w:p>
    <w:p w14:paraId="61932CFA" w14:textId="77777777" w:rsidR="00436146" w:rsidRDefault="00436146" w:rsidP="00436146">
      <w:pPr>
        <w:spacing w:line="240" w:lineRule="auto"/>
        <w:rPr>
          <w:b/>
          <w:szCs w:val="20"/>
        </w:rPr>
      </w:pPr>
    </w:p>
    <w:p w14:paraId="66314F0E" w14:textId="77777777" w:rsidR="00436146" w:rsidRDefault="00436146" w:rsidP="00436146">
      <w:pPr>
        <w:spacing w:line="240" w:lineRule="auto"/>
        <w:rPr>
          <w:b/>
          <w:szCs w:val="20"/>
        </w:rPr>
      </w:pPr>
      <w:r>
        <w:rPr>
          <w:b/>
          <w:szCs w:val="20"/>
        </w:rPr>
        <w:t>Locally-interacting Markov chains</w:t>
      </w:r>
    </w:p>
    <w:p w14:paraId="0CB2BCEE" w14:textId="77777777" w:rsidR="00436146" w:rsidRDefault="00436146" w:rsidP="00436146">
      <w:pPr>
        <w:spacing w:line="240" w:lineRule="auto"/>
        <w:rPr>
          <w:b/>
          <w:szCs w:val="20"/>
        </w:rPr>
      </w:pPr>
    </w:p>
    <w:p w14:paraId="4006BF11" w14:textId="6139D4D0" w:rsidR="00436146" w:rsidRPr="0059607B" w:rsidRDefault="00436146" w:rsidP="00436146">
      <w:pPr>
        <w:spacing w:line="240" w:lineRule="auto"/>
        <w:rPr>
          <w:szCs w:val="20"/>
        </w:rPr>
      </w:pPr>
      <w:r>
        <w:rPr>
          <w:szCs w:val="20"/>
        </w:rPr>
        <w:t xml:space="preserve">The model simulates not only tuberculosis health states, but the states for six medical risk factors in addition to age group, sex, race, length of time in US, and country of birth for each modelled individual. In a traditional </w:t>
      </w:r>
      <w:proofErr w:type="gramStart"/>
      <w:r>
        <w:rPr>
          <w:szCs w:val="20"/>
        </w:rPr>
        <w:t>Markov</w:t>
      </w:r>
      <w:proofErr w:type="gramEnd"/>
      <w:r>
        <w:rPr>
          <w:szCs w:val="20"/>
        </w:rPr>
        <w:t xml:space="preserve"> compartmental model, this would have generated more than 30 million compartments, requiring a prohibitive 900 million state transition calculations per cycle. This so-called “state space explosion” normally prevents models from developing a significant level of </w:t>
      </w:r>
      <w:r w:rsidRPr="0059607B">
        <w:rPr>
          <w:szCs w:val="20"/>
        </w:rPr>
        <w:t xml:space="preserve">resolution </w:t>
      </w:r>
      <w:r w:rsidRPr="0059607B">
        <w:rPr>
          <w:szCs w:val="20"/>
        </w:rPr>
        <w:fldChar w:fldCharType="begin"/>
      </w:r>
      <w:r w:rsidR="00201160">
        <w:rPr>
          <w:szCs w:val="20"/>
        </w:rPr>
        <w:instrText xml:space="preserve"> ADDIN ZOTERO_ITEM CSL_CITATION {"citationID":"23gitj112j","properties":{"formattedCitation":"(E1)","plainCitation":"(E1)"},"citationItems":[{"id":1047,"uris":["http://zotero.org/users/1988472/items/BWQG67MW"],"uri":["http://zotero.org/users/1988472/items/BWQG67MW"],"itemData":{"id":1047,"type":"article-journal","title":"Stochastic automata network of modeling parallel systems","container-title":"Software Engineering, IEEE Transactions on","page":"1093–1108","volume":"17","issue":"10","author":[{"family":"Plateau","given":"Brigitte"},{"family":"Atif","given":"Karim"}],"issued":{"date-parts":[["1991"]]}}}],"schema":"https://github.com/citation-style-language/schema/raw/master/csl-citation.json"} </w:instrText>
      </w:r>
      <w:r w:rsidRPr="0059607B">
        <w:rPr>
          <w:szCs w:val="20"/>
        </w:rPr>
        <w:fldChar w:fldCharType="separate"/>
      </w:r>
      <w:r w:rsidR="00201160">
        <w:rPr>
          <w:noProof/>
          <w:szCs w:val="20"/>
        </w:rPr>
        <w:t>(E1)</w:t>
      </w:r>
      <w:r w:rsidRPr="0059607B">
        <w:rPr>
          <w:szCs w:val="20"/>
        </w:rPr>
        <w:fldChar w:fldCharType="end"/>
      </w:r>
      <w:r w:rsidRPr="0059607B">
        <w:rPr>
          <w:szCs w:val="20"/>
        </w:rPr>
        <w:t xml:space="preserve">. To avoid this conundrum, a global transition matrix can be </w:t>
      </w:r>
      <w:r>
        <w:rPr>
          <w:szCs w:val="20"/>
        </w:rPr>
        <w:t xml:space="preserve">partially </w:t>
      </w:r>
      <w:r w:rsidRPr="0059607B">
        <w:rPr>
          <w:szCs w:val="20"/>
        </w:rPr>
        <w:t xml:space="preserve">decomposed into local matrices. If these matrices interact (such as through functional transition probabilities), they are referred to as </w:t>
      </w:r>
      <w:r w:rsidRPr="0059607B">
        <w:rPr>
          <w:i/>
          <w:szCs w:val="20"/>
        </w:rPr>
        <w:t>locally-interacting Markov chains</w:t>
      </w:r>
      <w:r>
        <w:rPr>
          <w:szCs w:val="20"/>
        </w:rPr>
        <w:t>.</w:t>
      </w:r>
    </w:p>
    <w:p w14:paraId="5DDCC963" w14:textId="77777777" w:rsidR="00436146" w:rsidRPr="0059607B" w:rsidRDefault="00436146" w:rsidP="00436146">
      <w:pPr>
        <w:spacing w:line="240" w:lineRule="auto"/>
        <w:rPr>
          <w:szCs w:val="20"/>
        </w:rPr>
      </w:pPr>
    </w:p>
    <w:p w14:paraId="7A26CF7A" w14:textId="19691AAB" w:rsidR="00436146" w:rsidRPr="0059607B" w:rsidRDefault="00436146" w:rsidP="00436146">
      <w:pPr>
        <w:spacing w:line="240" w:lineRule="auto"/>
        <w:rPr>
          <w:szCs w:val="20"/>
        </w:rPr>
      </w:pPr>
      <w:r w:rsidRPr="0059607B">
        <w:rPr>
          <w:szCs w:val="20"/>
        </w:rPr>
        <w:t xml:space="preserve">This is the strategy that we implemented within our model. A chain was created for each </w:t>
      </w:r>
      <w:r>
        <w:rPr>
          <w:szCs w:val="20"/>
        </w:rPr>
        <w:t>phenomenon</w:t>
      </w:r>
      <w:r w:rsidRPr="0059607B">
        <w:rPr>
          <w:szCs w:val="20"/>
        </w:rPr>
        <w:t xml:space="preserve"> we modelled (TB, HIV, age group, </w:t>
      </w:r>
      <w:proofErr w:type="spellStart"/>
      <w:r w:rsidRPr="0059607B">
        <w:rPr>
          <w:szCs w:val="20"/>
        </w:rPr>
        <w:t>etc</w:t>
      </w:r>
      <w:proofErr w:type="spellEnd"/>
      <w:r w:rsidRPr="0059607B">
        <w:rPr>
          <w:szCs w:val="20"/>
        </w:rPr>
        <w:t xml:space="preserve">). Individuals occupy a single state in </w:t>
      </w:r>
      <w:r w:rsidRPr="0059607B">
        <w:rPr>
          <w:i/>
          <w:szCs w:val="20"/>
        </w:rPr>
        <w:t>each</w:t>
      </w:r>
      <w:r>
        <w:rPr>
          <w:szCs w:val="20"/>
        </w:rPr>
        <w:t xml:space="preserve"> chain. For e</w:t>
      </w:r>
      <w:r w:rsidRPr="0059607B">
        <w:rPr>
          <w:szCs w:val="20"/>
        </w:rPr>
        <w:t xml:space="preserve">very cycle, transitions are calculated in a per-person, per-chain approach. Chains are calculated in a random order as to not skew the effect of one chain. To allow for interactions between chains, transition probabilities </w:t>
      </w:r>
      <w:r>
        <w:rPr>
          <w:szCs w:val="20"/>
        </w:rPr>
        <w:t>could be represented as a</w:t>
      </w:r>
      <w:r w:rsidRPr="0059607B">
        <w:rPr>
          <w:szCs w:val="20"/>
        </w:rPr>
        <w:t xml:space="preserve"> </w:t>
      </w:r>
      <w:r>
        <w:rPr>
          <w:szCs w:val="20"/>
        </w:rPr>
        <w:t>function</w:t>
      </w:r>
      <w:r w:rsidRPr="0059607B">
        <w:rPr>
          <w:szCs w:val="20"/>
        </w:rPr>
        <w:t xml:space="preserve"> of an individual’s state</w:t>
      </w:r>
      <w:r>
        <w:rPr>
          <w:szCs w:val="20"/>
        </w:rPr>
        <w:t>s</w:t>
      </w:r>
      <w:r w:rsidRPr="0059607B">
        <w:rPr>
          <w:szCs w:val="20"/>
        </w:rPr>
        <w:t xml:space="preserve"> in </w:t>
      </w:r>
      <w:r>
        <w:rPr>
          <w:szCs w:val="20"/>
        </w:rPr>
        <w:t>other</w:t>
      </w:r>
      <w:r w:rsidRPr="0059607B">
        <w:rPr>
          <w:szCs w:val="20"/>
        </w:rPr>
        <w:t xml:space="preserve"> chain</w:t>
      </w:r>
      <w:r>
        <w:rPr>
          <w:szCs w:val="20"/>
        </w:rPr>
        <w:t>s</w:t>
      </w:r>
      <w:r w:rsidRPr="0059607B">
        <w:rPr>
          <w:szCs w:val="20"/>
        </w:rPr>
        <w:t xml:space="preserve">. This approach has been used previously in the CORE diabetes model </w:t>
      </w:r>
      <w:r w:rsidRPr="0059607B">
        <w:rPr>
          <w:szCs w:val="20"/>
        </w:rPr>
        <w:fldChar w:fldCharType="begin"/>
      </w:r>
      <w:r w:rsidR="00201160">
        <w:rPr>
          <w:szCs w:val="20"/>
        </w:rPr>
        <w:instrText xml:space="preserve"> ADDIN ZOTERO_ITEM CSL_CITATION {"citationID":"a3j3vn038","properties":{"formattedCitation":"(E2)","plainCitation":"(E2)"},"citationItems":[{"id":1937,"uris":["http://zotero.org/users/1988472/items/VZ2UIFWQ"],"uri":["http://zotero.org/users/1988472/items/VZ2UIFWQ"],"itemData":{"id":1937,"type":"article-journal","title":"The CORE Diabetes Model: Projecting Long-term Clinical Outcomes, Costs and Costeffectiveness of Interventions in Diabetes Mellitus (Types 1 and 2) to Support Clinical and Reimbursement Decision-making","container-title":"Current Medical Research and Opinion","page":"S5-S26","volume":"20","issue":"s1","source":"informahealthcare.com (Atypon)","abstract":"SUMMARY Objectives: We have developed an Internet-based, interactive computer model to determine the longterm health outcomes and economic consequences of implementing different treatment policies or interventions in type 1 and type 2 diabetes mellitus. The model projects outcomes for populations, taking into account baseline cohort characteristics and past history of complications, current and future diabetes management and concomitant medications, screening strategies and changes in physiological parameters over time. The development of complications, life expectancy, quality-adjusted life expectancy and total costs within populations can be calculated. Methods: The model is based on a series of sub-models that simulate important complications of diabetes (cardiovascular disease, eye disease, hypoglycaemia, nephropathy, neuropathy, foot ulcer, amputation, stroke, ketoacidosis, lactic acidosis and mortality). Each sub-model is a Markov model using Monte Carlo simulation incorporating time, state, time-in state, and diabetes type-dependent probabilities derived from published sources. Analyses can be performed on cohorts with type 1 or type 2 diabetes. Cohorts, defined in terms of age, gender, baseline risk factors and pre-existing complications, can be modified or new cohorts defined by the user. Economic and clinical data in the model can be edited, thus ensuring adaptability by allowing the inclusion of new data as they become available; creation of country- or provider-specific versions of the model; and allowing the investigation of new hypotheses. Conclusions: The CORE Diabetes Model allows the calculation of long-term outcomes, based on the best data currently available. Diabetes management strategies can be compared in different patient populations in a variety of realistic clinical settings, allowing the identification of efficient diabetes management strategies.","DOI":"10.1185/030079904X1980","ISSN":"0300-7995","shortTitle":"The CORE Diabetes Model","journalAbbreviation":"Curr Med Res Opin","author":[{"family":"Palmer","given":"Andrew J."},{"family":"Roze","given":"Stéphane"},{"family":"Valentine","given":"William J."},{"family":"Minshall","given":"Michael E."},{"family":"Foos","given":"Volker"},{"family":"Lurati","given":"Francesco M."},{"family":"Lammert","given":"Morten"},{"family":"Spinas","given":"Giatgen A."}],"issued":{"date-parts":[["2004",1,1]]}}}],"schema":"https://github.com/citation-style-language/schema/raw/master/csl-citation.json"} </w:instrText>
      </w:r>
      <w:r w:rsidRPr="0059607B">
        <w:rPr>
          <w:szCs w:val="20"/>
        </w:rPr>
        <w:fldChar w:fldCharType="separate"/>
      </w:r>
      <w:r w:rsidR="00201160">
        <w:rPr>
          <w:noProof/>
          <w:szCs w:val="20"/>
        </w:rPr>
        <w:t>(E2)</w:t>
      </w:r>
      <w:r w:rsidRPr="0059607B">
        <w:rPr>
          <w:szCs w:val="20"/>
        </w:rPr>
        <w:fldChar w:fldCharType="end"/>
      </w:r>
      <w:r w:rsidRPr="0059607B">
        <w:rPr>
          <w:szCs w:val="20"/>
        </w:rPr>
        <w:t>.</w:t>
      </w:r>
    </w:p>
    <w:p w14:paraId="3DF26678" w14:textId="77777777" w:rsidR="00436146" w:rsidRPr="0059607B" w:rsidRDefault="00436146" w:rsidP="00436146">
      <w:pPr>
        <w:spacing w:line="240" w:lineRule="auto"/>
        <w:rPr>
          <w:rFonts w:cs="Times New Roman"/>
          <w:szCs w:val="20"/>
        </w:rPr>
      </w:pPr>
    </w:p>
    <w:p w14:paraId="1751D9D8" w14:textId="77777777" w:rsidR="00436146" w:rsidRPr="0059607B" w:rsidRDefault="00436146" w:rsidP="00436146">
      <w:pPr>
        <w:pStyle w:val="Heading2"/>
        <w:rPr>
          <w:rFonts w:ascii="Times New Roman" w:hAnsi="Times New Roman" w:cs="Times New Roman"/>
          <w:sz w:val="20"/>
          <w:szCs w:val="20"/>
        </w:rPr>
      </w:pPr>
      <w:r w:rsidRPr="0059607B">
        <w:rPr>
          <w:rFonts w:ascii="Times New Roman" w:hAnsi="Times New Roman" w:cs="Times New Roman"/>
          <w:sz w:val="20"/>
          <w:szCs w:val="20"/>
        </w:rPr>
        <w:t>Technical specifications</w:t>
      </w:r>
    </w:p>
    <w:p w14:paraId="7EF10CD4" w14:textId="3249D69E" w:rsidR="00C45580" w:rsidRPr="00C45580" w:rsidRDefault="00436146" w:rsidP="00C45580">
      <w:pPr>
        <w:spacing w:line="240" w:lineRule="auto"/>
      </w:pPr>
      <w:r w:rsidRPr="00C45580">
        <w:rPr>
          <w:szCs w:val="20"/>
        </w:rPr>
        <w:t>The model was encoded using Python (</w:t>
      </w:r>
      <w:proofErr w:type="spellStart"/>
      <w:r w:rsidRPr="00C45580">
        <w:rPr>
          <w:szCs w:val="20"/>
        </w:rPr>
        <w:t>Python</w:t>
      </w:r>
      <w:proofErr w:type="spellEnd"/>
      <w:r w:rsidRPr="00C45580">
        <w:rPr>
          <w:szCs w:val="20"/>
        </w:rPr>
        <w:t xml:space="preserve"> Software Foundation, Beaverton, OR) and Go (Google </w:t>
      </w:r>
      <w:proofErr w:type="spellStart"/>
      <w:r w:rsidRPr="00C45580">
        <w:rPr>
          <w:szCs w:val="20"/>
        </w:rPr>
        <w:t>Inc</w:t>
      </w:r>
      <w:proofErr w:type="spellEnd"/>
      <w:r w:rsidRPr="00C45580">
        <w:rPr>
          <w:szCs w:val="20"/>
        </w:rPr>
        <w:t xml:space="preserve">, Mountain View, CA). Go is a fast, compiled, statically-typed language designed for concurrency, and has been used previously in computational biology </w:t>
      </w:r>
      <w:r w:rsidRPr="00C45580">
        <w:rPr>
          <w:szCs w:val="20"/>
        </w:rPr>
        <w:fldChar w:fldCharType="begin"/>
      </w:r>
      <w:r w:rsidR="00201160" w:rsidRPr="00C45580">
        <w:rPr>
          <w:szCs w:val="20"/>
        </w:rPr>
        <w:instrText xml:space="preserve"> ADDIN ZOTERO_ITEM CSL_CITATION {"citationID":"DLEWQ98f","properties":{"formattedCitation":"(E3)","plainCitation":"(E3)"},"citationItems":[{"id":1350,"uris":["http://zotero.org/users/1988472/items/IGUPS77M"],"uri":["http://zotero.org/users/1988472/items/IGUPS77M"],"itemData":{"id":1350,"type":"article-journal","title":"BioC implementations in Go, Perl, Python and Ruby","container-title":"Database: The Journal of Biological Databases and Curation","volume":"2014","source":"PubMed Central","abstract":"As part of a communitywide effort for evaluating text mining and information extraction systems applied to the biomedical domain, BioC is focused on the goal of interoperability, currently a major barrier to wide-scale adoption of text mining tools. BioC is a simple XML format, specified by DTD, for exchanging data for biomedical natural language processing. With initial implementations in C++ and Java, BioC provides libraries of code for reading and writing BioC text documents and annotations. We extend BioC to Perl, Python, Go and Ruby. We used SWIG to extend the C++ implementation for Perl and one Python implementation. A second Python implementation and the Ruby implementation use native data structures and libraries. BioC is also implemented in the Google language Go. BioC modules are functional in all of these languages, which can facilitate text mining tasks. BioC implementations are freely available through the BioC site: http://bioc.sourceforge.net., Database URL:\nhttp://bioc.sourceforge.net/","URL":"http://www.ncbi.nlm.nih.gov/pmc/articles/PMC4067548/","DOI":"10.1093/database/bau059","ISSN":"1758-0463","note":"PMID: 24961236\nPMCID: PMC4067548","journalAbbreviation":"Database (Oxford)","author":[{"family":"Liu","given":"Wanli"},{"family":"Islamaj Dogan","given":"Rezarta"},{"family":"Kwon","given":"Dongseop"},{"family":"Marques","given":"Hernani"},{"family":"Rinaldi","given":"Fabio"},{"family":"Wilbur","given":"W. John"},{"family":"Comeau","given":"Donald C."}],"issued":{"date-parts":[["2014",6,23]]},"accessed":{"date-parts":[["2014",8,13]]},"PMID":"24961236","PMCID":"PMC4067548"}}],"schema":"https://github.com/citation-style-language/schema/raw/master/csl-citation.json"} </w:instrText>
      </w:r>
      <w:r w:rsidRPr="00C45580">
        <w:rPr>
          <w:szCs w:val="20"/>
        </w:rPr>
        <w:fldChar w:fldCharType="separate"/>
      </w:r>
      <w:r w:rsidR="00201160" w:rsidRPr="00C45580">
        <w:rPr>
          <w:rFonts w:eastAsia="Times New Roman" w:cs="Times New Roman"/>
          <w:szCs w:val="20"/>
        </w:rPr>
        <w:t>(E3)</w:t>
      </w:r>
      <w:r w:rsidRPr="00C45580">
        <w:rPr>
          <w:szCs w:val="20"/>
        </w:rPr>
        <w:fldChar w:fldCharType="end"/>
      </w:r>
      <w:r w:rsidRPr="00C45580">
        <w:rPr>
          <w:szCs w:val="20"/>
        </w:rPr>
        <w:t xml:space="preserve">. To our knowledge, this is the first published use of Go in public health research. </w:t>
      </w:r>
      <w:r w:rsidR="00C45580" w:rsidRPr="00C45580">
        <w:t xml:space="preserve">The link </w:t>
      </w:r>
      <w:r w:rsidR="00C45580">
        <w:t xml:space="preserve">to our model programming code </w:t>
      </w:r>
      <w:r w:rsidR="00C45580" w:rsidRPr="00C45580">
        <w:t>is openly accessible (</w:t>
      </w:r>
      <w:hyperlink r:id="rId5" w:tgtFrame="_blank" w:history="1">
        <w:r w:rsidR="00C45580" w:rsidRPr="00C45580">
          <w:rPr>
            <w:rStyle w:val="Hyperlink"/>
          </w:rPr>
          <w:t>https://github.com/alexgoodell/california_tb</w:t>
        </w:r>
      </w:hyperlink>
      <w:r w:rsidR="00C45580" w:rsidRPr="00C45580">
        <w:t xml:space="preserve">). Our raw results data set is also currently publicly accessible, </w:t>
      </w:r>
      <w:r w:rsidR="00C45580">
        <w:t xml:space="preserve">at </w:t>
      </w:r>
      <w:hyperlink r:id="rId6" w:tgtFrame="_blank" w:history="1">
        <w:r w:rsidR="00C45580" w:rsidRPr="00C45580">
          <w:rPr>
            <w:rStyle w:val="Hyperlink"/>
          </w:rPr>
          <w:t>http://34.201.26.231/limcat/hdd/share</w:t>
        </w:r>
      </w:hyperlink>
      <w:r w:rsidR="00C45580">
        <w:rPr>
          <w:rStyle w:val="Hyperlink"/>
        </w:rPr>
        <w:t>.</w:t>
      </w:r>
    </w:p>
    <w:p w14:paraId="3A1EFB8D" w14:textId="13681119" w:rsidR="00436146" w:rsidRPr="0059607B" w:rsidRDefault="00436146" w:rsidP="00436146">
      <w:pPr>
        <w:spacing w:line="240" w:lineRule="auto"/>
        <w:rPr>
          <w:szCs w:val="20"/>
        </w:rPr>
      </w:pPr>
    </w:p>
    <w:p w14:paraId="51A52005" w14:textId="77777777" w:rsidR="00436146" w:rsidRPr="0059607B" w:rsidRDefault="00436146" w:rsidP="00436146">
      <w:pPr>
        <w:spacing w:line="240" w:lineRule="auto"/>
        <w:rPr>
          <w:b/>
          <w:szCs w:val="20"/>
        </w:rPr>
      </w:pPr>
    </w:p>
    <w:p w14:paraId="46CA4AD0" w14:textId="77777777" w:rsidR="00436146" w:rsidRDefault="00436146" w:rsidP="00436146">
      <w:pPr>
        <w:spacing w:line="240" w:lineRule="auto"/>
        <w:rPr>
          <w:b/>
          <w:szCs w:val="20"/>
        </w:rPr>
      </w:pPr>
      <w:r w:rsidRPr="0059607B">
        <w:rPr>
          <w:b/>
          <w:szCs w:val="20"/>
        </w:rPr>
        <w:t xml:space="preserve">Demographic information </w:t>
      </w:r>
    </w:p>
    <w:p w14:paraId="59A4F616" w14:textId="77777777" w:rsidR="00436146" w:rsidRDefault="00436146" w:rsidP="00436146">
      <w:pPr>
        <w:spacing w:line="240" w:lineRule="auto"/>
        <w:rPr>
          <w:b/>
          <w:szCs w:val="20"/>
        </w:rPr>
      </w:pPr>
    </w:p>
    <w:p w14:paraId="288192BE" w14:textId="57664076" w:rsidR="00436146" w:rsidRPr="00853C09" w:rsidRDefault="00436146" w:rsidP="00436146">
      <w:pPr>
        <w:spacing w:line="240" w:lineRule="auto"/>
        <w:rPr>
          <w:rFonts w:cs="Times New Roman"/>
          <w:szCs w:val="20"/>
        </w:rPr>
      </w:pPr>
      <w:r>
        <w:rPr>
          <w:szCs w:val="20"/>
        </w:rPr>
        <w:t xml:space="preserve">We modeled only persons 15 years of age or older, who comprise more than 90% of those who develop active TB cases in California </w:t>
      </w:r>
      <w:r>
        <w:rPr>
          <w:szCs w:val="20"/>
        </w:rPr>
        <w:fldChar w:fldCharType="begin"/>
      </w:r>
      <w:r w:rsidR="00201160">
        <w:rPr>
          <w:szCs w:val="20"/>
        </w:rPr>
        <w:instrText xml:space="preserve"> ADDIN ZOTERO_ITEM CSL_CITATION {"citationID":"obeic367a","properties":{"formattedCitation":"(E4)","plainCitation":"(E4)"},"citationItems":[{"id":895,"uris":["http://zotero.org/users/1988472/items/8PUET9N3"],"uri":["http://zotero.org/users/1988472/items/8PUET9N3"],"itemData":{"id":895,"type":"book","title":"Reports of Verified Cases of Tuberculosis Database (S6-RVCT database)","publisher":"State of California","author":[{"family":"California Department of Public Health","given":""}],"issued":{"date-parts":[["2016"]]}}}],"schema":"https://github.com/citation-style-language/schema/raw/master/csl-citation.json"} </w:instrText>
      </w:r>
      <w:r>
        <w:rPr>
          <w:szCs w:val="20"/>
        </w:rPr>
        <w:fldChar w:fldCharType="separate"/>
      </w:r>
      <w:r w:rsidR="00201160">
        <w:rPr>
          <w:noProof/>
          <w:szCs w:val="20"/>
        </w:rPr>
        <w:t>(E4)</w:t>
      </w:r>
      <w:r>
        <w:rPr>
          <w:szCs w:val="20"/>
        </w:rPr>
        <w:fldChar w:fldCharType="end"/>
      </w:r>
      <w:r>
        <w:rPr>
          <w:szCs w:val="20"/>
        </w:rPr>
        <w:t xml:space="preserve">. A one-month time step was utilized, and simulations were run from 2001 to 2065. Demographic information was obtained for the State of California for 2001-2014 from the American Community Survey (ACS) via the </w:t>
      </w:r>
      <w:r w:rsidRPr="005854D9">
        <w:rPr>
          <w:szCs w:val="20"/>
        </w:rPr>
        <w:t xml:space="preserve">Integrated Public Use Microdata Series (IPUMS) </w:t>
      </w:r>
      <w:r>
        <w:rPr>
          <w:szCs w:val="20"/>
        </w:rPr>
        <w:t xml:space="preserve">database </w:t>
      </w:r>
      <w:r>
        <w:rPr>
          <w:szCs w:val="20"/>
        </w:rPr>
        <w:fldChar w:fldCharType="begin"/>
      </w:r>
      <w:r w:rsidR="00201160">
        <w:rPr>
          <w:szCs w:val="20"/>
        </w:rPr>
        <w:instrText xml:space="preserve"> ADDIN ZOTERO_ITEM CSL_CITATION {"citationID":"1e21n8tkp4","properties":{"formattedCitation":"(E5)","plainCitation":"(E5)"},"citationItems":[{"id":1153,"uris":["http://zotero.org/users/1988472/items/EFBECUIZ"],"uri":["http://zotero.org/users/1988472/items/EFBECUIZ"],"itemData":{"id":1153,"type":"book","title":"Integrated Public Use Microdata Series: Version 7.0 [dataset]","publisher":"University of Minnesota","publisher-place":"Minneapolis","event-place":"Minneapolis","URL":"https://doi.org/10.18128/D010.V7.0","author":[{"family":"Ruggles","given":"Steven"},{"family":"Genadek","given":"Katie"},{"family":"Goeken","given":"Ronald"},{"family":"Grover","given":"Josiah"},{"family":"Sobek","given":"Matthew"}],"issued":{"date-parts":[["2017"]]}}}],"schema":"https://github.com/citation-style-language/schema/raw/master/csl-citation.json"} </w:instrText>
      </w:r>
      <w:r>
        <w:rPr>
          <w:szCs w:val="20"/>
        </w:rPr>
        <w:fldChar w:fldCharType="separate"/>
      </w:r>
      <w:r w:rsidR="00201160">
        <w:rPr>
          <w:noProof/>
          <w:szCs w:val="20"/>
        </w:rPr>
        <w:t>(E5)</w:t>
      </w:r>
      <w:r>
        <w:rPr>
          <w:szCs w:val="20"/>
        </w:rPr>
        <w:fldChar w:fldCharType="end"/>
      </w:r>
      <w:r>
        <w:rPr>
          <w:szCs w:val="20"/>
        </w:rPr>
        <w:t>. Relevant variables included: sex, race/eth</w:t>
      </w:r>
      <w:r w:rsidRPr="00853C09">
        <w:rPr>
          <w:rFonts w:cs="Times New Roman"/>
          <w:szCs w:val="20"/>
        </w:rPr>
        <w:t xml:space="preserve">nicity, age, years in the US, migration status, and birthplace. Ethnicities included Asian, </w:t>
      </w:r>
      <w:r>
        <w:rPr>
          <w:rFonts w:cs="Times New Roman"/>
          <w:szCs w:val="20"/>
        </w:rPr>
        <w:t>b</w:t>
      </w:r>
      <w:r w:rsidRPr="00853C09">
        <w:rPr>
          <w:rFonts w:cs="Times New Roman"/>
          <w:szCs w:val="20"/>
        </w:rPr>
        <w:t xml:space="preserve">lack/African-American, Hispanic, non-Hispanic </w:t>
      </w:r>
      <w:r>
        <w:rPr>
          <w:rFonts w:cs="Times New Roman"/>
          <w:szCs w:val="20"/>
        </w:rPr>
        <w:t>w</w:t>
      </w:r>
      <w:r w:rsidRPr="00853C09">
        <w:rPr>
          <w:rFonts w:cs="Times New Roman"/>
          <w:szCs w:val="20"/>
        </w:rPr>
        <w:t>hite, and other. Age was grouped by 5-year intervals starting at 15 and capped at 80 or older. Birthplace information was consolidated to include only the United States, Mexico,</w:t>
      </w:r>
      <w:r>
        <w:rPr>
          <w:rFonts w:cs="Times New Roman"/>
          <w:szCs w:val="20"/>
        </w:rPr>
        <w:t xml:space="preserve"> </w:t>
      </w:r>
      <w:r w:rsidRPr="00853C09">
        <w:rPr>
          <w:rFonts w:cs="Times New Roman"/>
          <w:szCs w:val="20"/>
        </w:rPr>
        <w:t xml:space="preserve">Central America, and the WHO 22 high burden countries in 2014 </w:t>
      </w:r>
      <w:r w:rsidRPr="00853C09">
        <w:rPr>
          <w:rFonts w:cs="Times New Roman"/>
          <w:szCs w:val="20"/>
        </w:rPr>
        <w:fldChar w:fldCharType="begin"/>
      </w:r>
      <w:r w:rsidR="00201160">
        <w:rPr>
          <w:rFonts w:cs="Times New Roman"/>
          <w:szCs w:val="20"/>
        </w:rPr>
        <w:instrText xml:space="preserve"> ADDIN ZOTERO_ITEM CSL_CITATION {"citationID":"CVO2kcJS","properties":{"formattedCitation":"(E6)","plainCitation":"(E6)"},"citationItems":[{"id":734,"uris":["http://zotero.org/users/1988472/items/5IWM7BMA"],"uri":["http://zotero.org/users/1988472/items/5IWM7BMA"],"itemData":{"id":734,"type":"book","title":"Global Tuberculosis Report 2014","publisher":"World Health Organization","author":[{"literal":"WHO."}],"issued":{"date-parts":[["2014"]]}}}],"schema":"https://github.com/citation-style-language/schema/raw/master/csl-citation.json"} </w:instrText>
      </w:r>
      <w:r w:rsidRPr="00853C09">
        <w:rPr>
          <w:rFonts w:cs="Times New Roman"/>
          <w:szCs w:val="20"/>
        </w:rPr>
        <w:fldChar w:fldCharType="separate"/>
      </w:r>
      <w:r w:rsidR="00201160">
        <w:rPr>
          <w:rFonts w:eastAsia="Times New Roman" w:cs="Times New Roman"/>
          <w:szCs w:val="20"/>
        </w:rPr>
        <w:t>(E6)</w:t>
      </w:r>
      <w:r w:rsidRPr="00853C09">
        <w:rPr>
          <w:rFonts w:cs="Times New Roman"/>
          <w:szCs w:val="20"/>
        </w:rPr>
        <w:fldChar w:fldCharType="end"/>
      </w:r>
      <w:r w:rsidRPr="00853C09">
        <w:rPr>
          <w:rFonts w:cs="Times New Roman"/>
          <w:szCs w:val="20"/>
        </w:rPr>
        <w:t>. The remaining birthplaces were grouped by their WHO region. The demographics of healthcare workers with direct patient contact were identified using the ACS, and these individuals were a distinct group in the model that was assumed to require yearly testing by their employer.</w:t>
      </w:r>
      <w:r w:rsidRPr="00853C09">
        <w:rPr>
          <w:rFonts w:cs="Times New Roman"/>
          <w:szCs w:val="20"/>
          <w:u w:val="single"/>
        </w:rPr>
        <w:t xml:space="preserve"> </w:t>
      </w:r>
    </w:p>
    <w:p w14:paraId="0DE75A51" w14:textId="77777777" w:rsidR="00436146" w:rsidRPr="00853C09" w:rsidRDefault="00436146" w:rsidP="00436146">
      <w:pPr>
        <w:spacing w:line="240" w:lineRule="auto"/>
        <w:rPr>
          <w:rFonts w:cs="Times New Roman"/>
          <w:szCs w:val="20"/>
        </w:rPr>
      </w:pPr>
    </w:p>
    <w:p w14:paraId="7F80A05A" w14:textId="5DED58CB" w:rsidR="00436146" w:rsidRPr="00853C09" w:rsidRDefault="00436146" w:rsidP="00436146">
      <w:pPr>
        <w:spacing w:line="240" w:lineRule="auto"/>
        <w:rPr>
          <w:rFonts w:cs="Times New Roman"/>
          <w:szCs w:val="20"/>
        </w:rPr>
      </w:pPr>
      <w:r w:rsidRPr="00853C09">
        <w:rPr>
          <w:rFonts w:cs="Times New Roman"/>
          <w:szCs w:val="20"/>
        </w:rPr>
        <w:t xml:space="preserve">At the beginning of the simulation, a random sample of 300,000 individuals from California was selected from the 2001 ACS dataset. For each subsequent time step, the cohort was updated with a sample of individuals representing those maturing into the age range and those immigrating to California, as specified by a place of residence outside of California one year ago as reported in the ACS. Individuals exited the model by dying of TB or non-TB causes or emigrating out of California. Death rates were derived from the 2011 US Social Security Actuarial Life Tables </w:t>
      </w:r>
      <w:r w:rsidRPr="00853C09">
        <w:rPr>
          <w:rFonts w:cs="Times New Roman"/>
          <w:szCs w:val="20"/>
        </w:rPr>
        <w:fldChar w:fldCharType="begin"/>
      </w:r>
      <w:r w:rsidR="00201160">
        <w:rPr>
          <w:rFonts w:cs="Times New Roman"/>
          <w:szCs w:val="20"/>
        </w:rPr>
        <w:instrText xml:space="preserve"> ADDIN ZOTERO_ITEM CSL_CITATION {"citationID":"12cgmi8qoj","properties":{"formattedCitation":"(E7)","plainCitation":"(E7)"},"citationItems":[{"id":733,"uris":["http://zotero.org/users/1988472/items/5GSGWNIK"],"uri":["http://zotero.org/users/1988472/items/5GSGWNIK"],"itemData":{"id":733,"type":"book","title":"Actuarial Life Table. Washington, DC: Social Security Administration","publisher":"Social Security Administration","publisher-place":"Baltimore, MD","event-place":"Baltimore, MD","author":[{"family":"Social Security Administration","given":""}],"issued":{"date-parts":[["2015"]]}}}],"schema":"https://github.com/citation-style-language/schema/raw/master/csl-citation.json"} </w:instrText>
      </w:r>
      <w:r w:rsidRPr="00853C09">
        <w:rPr>
          <w:rFonts w:cs="Times New Roman"/>
          <w:szCs w:val="20"/>
        </w:rPr>
        <w:fldChar w:fldCharType="separate"/>
      </w:r>
      <w:r w:rsidR="00201160">
        <w:rPr>
          <w:rFonts w:cs="Times New Roman"/>
          <w:noProof/>
          <w:szCs w:val="20"/>
        </w:rPr>
        <w:t>(E7)</w:t>
      </w:r>
      <w:r w:rsidRPr="00853C09">
        <w:rPr>
          <w:rFonts w:cs="Times New Roman"/>
          <w:szCs w:val="20"/>
        </w:rPr>
        <w:fldChar w:fldCharType="end"/>
      </w:r>
      <w:r w:rsidRPr="00853C09">
        <w:rPr>
          <w:rFonts w:cs="Times New Roman"/>
          <w:szCs w:val="20"/>
        </w:rPr>
        <w:t xml:space="preserve">. Emigration rates were set through calibration as described below.  </w:t>
      </w:r>
    </w:p>
    <w:p w14:paraId="04948F1D" w14:textId="77777777" w:rsidR="00436146" w:rsidRPr="00853C09" w:rsidRDefault="00436146" w:rsidP="00436146">
      <w:pPr>
        <w:spacing w:line="240" w:lineRule="auto"/>
        <w:rPr>
          <w:rFonts w:cs="Times New Roman"/>
          <w:szCs w:val="20"/>
        </w:rPr>
      </w:pPr>
    </w:p>
    <w:p w14:paraId="52430D19" w14:textId="77777777" w:rsidR="00436146" w:rsidRPr="00853C09" w:rsidRDefault="00436146" w:rsidP="00436146">
      <w:pPr>
        <w:spacing w:line="240" w:lineRule="auto"/>
        <w:rPr>
          <w:rFonts w:cs="Times New Roman"/>
          <w:szCs w:val="20"/>
        </w:rPr>
      </w:pPr>
      <w:r w:rsidRPr="00853C09">
        <w:rPr>
          <w:rFonts w:cs="Times New Roman"/>
          <w:szCs w:val="20"/>
        </w:rPr>
        <w:t xml:space="preserve">For each cycle after 2014, we sampled from the 2014 dataset. We assumed no change in the birthrate or immigration rate from 2014 forward. </w:t>
      </w:r>
    </w:p>
    <w:p w14:paraId="715A4F72" w14:textId="77777777" w:rsidR="00436146" w:rsidRPr="00853C09" w:rsidRDefault="00436146" w:rsidP="00436146">
      <w:pPr>
        <w:spacing w:line="240" w:lineRule="auto"/>
        <w:rPr>
          <w:rFonts w:cs="Times New Roman"/>
          <w:szCs w:val="20"/>
        </w:rPr>
      </w:pPr>
    </w:p>
    <w:p w14:paraId="30A6C0AD" w14:textId="77777777" w:rsidR="00436146" w:rsidRPr="00853C09" w:rsidRDefault="00436146" w:rsidP="00436146">
      <w:pPr>
        <w:spacing w:line="240" w:lineRule="auto"/>
        <w:rPr>
          <w:rFonts w:cs="Times New Roman"/>
          <w:b/>
          <w:szCs w:val="20"/>
        </w:rPr>
      </w:pPr>
      <w:r w:rsidRPr="00853C09">
        <w:rPr>
          <w:rFonts w:cs="Times New Roman"/>
          <w:b/>
          <w:szCs w:val="20"/>
        </w:rPr>
        <w:t>LTBI prevalence</w:t>
      </w:r>
    </w:p>
    <w:p w14:paraId="083A74DC" w14:textId="77777777" w:rsidR="00436146" w:rsidRPr="00853C09" w:rsidRDefault="00436146" w:rsidP="00436146">
      <w:pPr>
        <w:spacing w:line="240" w:lineRule="auto"/>
        <w:rPr>
          <w:rFonts w:cs="Times New Roman"/>
          <w:szCs w:val="20"/>
        </w:rPr>
      </w:pPr>
    </w:p>
    <w:p w14:paraId="45A1BE64" w14:textId="3C63421F" w:rsidR="00436146" w:rsidRDefault="00436146" w:rsidP="00436146">
      <w:pPr>
        <w:spacing w:line="240" w:lineRule="auto"/>
        <w:rPr>
          <w:rFonts w:cs="Times New Roman"/>
          <w:szCs w:val="20"/>
        </w:rPr>
      </w:pPr>
      <w:r w:rsidRPr="00853C09">
        <w:rPr>
          <w:rFonts w:cs="Times New Roman"/>
          <w:szCs w:val="20"/>
        </w:rPr>
        <w:t xml:space="preserve">The NHANES 2011-12 public dataset was used to calculate </w:t>
      </w:r>
      <w:r>
        <w:rPr>
          <w:rFonts w:cs="Times New Roman"/>
          <w:szCs w:val="20"/>
        </w:rPr>
        <w:t xml:space="preserve">national </w:t>
      </w:r>
      <w:r w:rsidRPr="00853C09">
        <w:rPr>
          <w:rFonts w:cs="Times New Roman"/>
          <w:szCs w:val="20"/>
        </w:rPr>
        <w:t>TST positive prevalence (induration reading ≥</w:t>
      </w:r>
      <w:r w:rsidRPr="00A61CC4">
        <w:rPr>
          <w:rFonts w:cs="Times New Roman"/>
          <w:szCs w:val="20"/>
        </w:rPr>
        <w:t xml:space="preserve"> 10mm) for overall United States, split into US-born and non-US-born with each stratified by race/ethnicity (non-Hispanic white/Hispanic/black/Asian/other) and age (15-24, 25-44, 45-64, 65+)</w:t>
      </w:r>
      <w:r>
        <w:rPr>
          <w:rFonts w:cs="Times New Roman"/>
          <w:szCs w:val="20"/>
        </w:rPr>
        <w:t xml:space="preserve"> </w:t>
      </w:r>
      <w:r>
        <w:rPr>
          <w:rFonts w:cs="Times New Roman"/>
          <w:szCs w:val="20"/>
        </w:rPr>
        <w:fldChar w:fldCharType="begin"/>
      </w:r>
      <w:r w:rsidR="00201160">
        <w:rPr>
          <w:rFonts w:cs="Times New Roman"/>
          <w:szCs w:val="20"/>
        </w:rPr>
        <w:instrText xml:space="preserve"> ADDIN ZOTERO_ITEM CSL_CITATION {"citationID":"a1qe1qiqlj6","properties":{"formattedCitation":"(E8)","plainCitation":"(E8)"},"citationItems":[{"id":1186,"uris":["http://zotero.org/users/1988472/items/F8XPXRTR"],"uri":["http://zotero.org/users/1988472/items/F8XPXRTR"],"itemData":{"id":1186,"type":"report","title":"National Health and Nutrition Examination Survey Data","publisher":"Hyattsville, MD: US Department of Health and Human Services","URL":"https://www.cdc.gov/nchs/nhanes/index.htm","author":[{"family":"Centers for Disease Control and Prevention","given":""},{"family":"National Center for Health Statistics (NCHS)","given":""}],"issued":{"date-parts":[["2012"]]}}}],"schema":"https://github.com/citation-style-language/schema/raw/master/csl-citation.json"} </w:instrText>
      </w:r>
      <w:r>
        <w:rPr>
          <w:rFonts w:cs="Times New Roman"/>
          <w:szCs w:val="20"/>
        </w:rPr>
        <w:fldChar w:fldCharType="separate"/>
      </w:r>
      <w:r w:rsidR="00201160">
        <w:rPr>
          <w:rFonts w:cs="Times New Roman"/>
          <w:noProof/>
          <w:szCs w:val="20"/>
        </w:rPr>
        <w:t>(E8)</w:t>
      </w:r>
      <w:r>
        <w:rPr>
          <w:rFonts w:cs="Times New Roman"/>
          <w:szCs w:val="20"/>
        </w:rPr>
        <w:fldChar w:fldCharType="end"/>
      </w:r>
      <w:r>
        <w:rPr>
          <w:rFonts w:cs="Times New Roman"/>
          <w:szCs w:val="20"/>
        </w:rPr>
        <w:t xml:space="preserve">. Although our calibration period began in 2001, the NHANES 2011-12 dataset was chosen because it included more detailed race/ethnicity </w:t>
      </w:r>
      <w:r>
        <w:rPr>
          <w:rFonts w:cs="Times New Roman"/>
          <w:szCs w:val="20"/>
        </w:rPr>
        <w:lastRenderedPageBreak/>
        <w:t xml:space="preserve">measurements, and the TST prevalence estimates were not statistically significant between 1999-2001 and 2011-2012 surveys </w:t>
      </w:r>
      <w:r>
        <w:rPr>
          <w:rFonts w:cs="Times New Roman"/>
          <w:szCs w:val="20"/>
        </w:rPr>
        <w:fldChar w:fldCharType="begin"/>
      </w:r>
      <w:r w:rsidR="00201160">
        <w:rPr>
          <w:rFonts w:cs="Times New Roman"/>
          <w:szCs w:val="20"/>
        </w:rPr>
        <w:instrText xml:space="preserve"> ADDIN ZOTERO_ITEM CSL_CITATION {"citationID":"mYkGOawL","properties":{"formattedCitation":"(E9)","plainCitation":"(E9)"},"citationItems":[{"id":1489,"uris":["http://zotero.org/users/1988472/items/MFTB49ZC"],"uri":["http://zotero.org/users/1988472/items/MFTB49ZC"],"itemData":{"id":1489,"type":"article-journal","title":"Tuberculosis Infection in the United States: Prevalence Estimates from the National Health and Nutrition Examination Survey, 2011-2012","container-title":"PloS one","page":"e0140881","volume":"10","issue":"11","author":[{"family":"Miramontes","given":"Roque"},{"family":"Hill","given":"Andrew N"},{"family":"Woodruff","given":"Rachel S Yelk"},{"family":"Lambert","given":"Lauren A"},{"family":"Navin","given":"Thomas R"},{"family":"Castro","given":"Kenneth G"},{"family":"LoBue","given":"Philip A"}],"issued":{"date-parts":[["2015"]]}}}],"schema":"https://github.com/citation-style-language/schema/raw/master/csl-citation.json"} </w:instrText>
      </w:r>
      <w:r>
        <w:rPr>
          <w:rFonts w:cs="Times New Roman"/>
          <w:szCs w:val="20"/>
        </w:rPr>
        <w:fldChar w:fldCharType="separate"/>
      </w:r>
      <w:r w:rsidR="00201160">
        <w:rPr>
          <w:rFonts w:cs="Times New Roman"/>
          <w:noProof/>
          <w:szCs w:val="20"/>
        </w:rPr>
        <w:t>(E9)</w:t>
      </w:r>
      <w:r>
        <w:rPr>
          <w:rFonts w:cs="Times New Roman"/>
          <w:szCs w:val="20"/>
        </w:rPr>
        <w:fldChar w:fldCharType="end"/>
      </w:r>
      <w:r w:rsidRPr="00A61CC4">
        <w:rPr>
          <w:rFonts w:cs="Times New Roman"/>
          <w:szCs w:val="20"/>
        </w:rPr>
        <w:t xml:space="preserve">. </w:t>
      </w:r>
      <w:r>
        <w:rPr>
          <w:rFonts w:cs="Times New Roman"/>
          <w:szCs w:val="20"/>
        </w:rPr>
        <w:t xml:space="preserve">In our analysis, </w:t>
      </w:r>
      <w:r w:rsidRPr="00A61CC4">
        <w:rPr>
          <w:rFonts w:cs="Times New Roman"/>
          <w:szCs w:val="20"/>
        </w:rPr>
        <w:t xml:space="preserve">TST positivity was used as a proxy for LTBI infection. </w:t>
      </w:r>
      <w:r>
        <w:rPr>
          <w:rFonts w:cs="Times New Roman"/>
          <w:szCs w:val="20"/>
        </w:rPr>
        <w:t xml:space="preserve">Stratified point estimates </w:t>
      </w:r>
      <w:r w:rsidRPr="00A61CC4">
        <w:rPr>
          <w:rFonts w:cs="Times New Roman"/>
          <w:szCs w:val="20"/>
        </w:rPr>
        <w:t xml:space="preserve">were provided by the California Department of Public Health in the form of 2 tables (US-born, non-US-born) with 30 cells (6 age groups × 5 race groups) comprising TST-positive prevalence. </w:t>
      </w:r>
      <w:r>
        <w:rPr>
          <w:rFonts w:cs="Times New Roman"/>
          <w:szCs w:val="20"/>
        </w:rPr>
        <w:t xml:space="preserve">Unmodified </w:t>
      </w:r>
      <w:r w:rsidRPr="00A61CC4">
        <w:rPr>
          <w:rFonts w:cs="Times New Roman"/>
          <w:szCs w:val="20"/>
        </w:rPr>
        <w:t xml:space="preserve">NHANES-supplied </w:t>
      </w:r>
      <w:r>
        <w:rPr>
          <w:rFonts w:cs="Times New Roman"/>
          <w:szCs w:val="20"/>
        </w:rPr>
        <w:t xml:space="preserve">survey </w:t>
      </w:r>
      <w:r w:rsidRPr="00A61CC4">
        <w:rPr>
          <w:rFonts w:cs="Times New Roman"/>
          <w:szCs w:val="20"/>
        </w:rPr>
        <w:t>weights were used in these calculations</w:t>
      </w:r>
      <w:r>
        <w:rPr>
          <w:rFonts w:cs="Times New Roman"/>
          <w:szCs w:val="20"/>
        </w:rPr>
        <w:t>, thus supplying us with national-level estimated TST-</w:t>
      </w:r>
      <w:proofErr w:type="gramStart"/>
      <w:r>
        <w:rPr>
          <w:rFonts w:cs="Times New Roman"/>
          <w:szCs w:val="20"/>
        </w:rPr>
        <w:t>positive  prevalence</w:t>
      </w:r>
      <w:proofErr w:type="gramEnd"/>
      <w:r>
        <w:rPr>
          <w:rFonts w:cs="Times New Roman"/>
          <w:szCs w:val="20"/>
        </w:rPr>
        <w:t>.</w:t>
      </w:r>
      <w:r w:rsidRPr="00A61CC4" w:rsidDel="00E868C3">
        <w:rPr>
          <w:rFonts w:cs="Times New Roman"/>
          <w:szCs w:val="20"/>
        </w:rPr>
        <w:t xml:space="preserve"> </w:t>
      </w:r>
    </w:p>
    <w:p w14:paraId="6911CB15" w14:textId="77777777" w:rsidR="00436146" w:rsidRPr="00A61CC4" w:rsidRDefault="00436146" w:rsidP="00436146">
      <w:pPr>
        <w:spacing w:line="240" w:lineRule="auto"/>
        <w:rPr>
          <w:rFonts w:cs="Times New Roman"/>
          <w:szCs w:val="20"/>
        </w:rPr>
      </w:pPr>
    </w:p>
    <w:p w14:paraId="6AA8CCC7" w14:textId="77777777" w:rsidR="00436146" w:rsidRDefault="00436146" w:rsidP="00436146">
      <w:pPr>
        <w:spacing w:line="240" w:lineRule="auto"/>
        <w:rPr>
          <w:rFonts w:cs="Times New Roman"/>
          <w:szCs w:val="20"/>
        </w:rPr>
      </w:pPr>
      <w:r w:rsidRPr="006C67FE">
        <w:rPr>
          <w:rFonts w:cs="Times New Roman"/>
          <w:szCs w:val="20"/>
        </w:rPr>
        <w:t xml:space="preserve">Some of the cell entries in these tables </w:t>
      </w:r>
      <w:r>
        <w:rPr>
          <w:rFonts w:cs="Times New Roman"/>
          <w:szCs w:val="20"/>
        </w:rPr>
        <w:t>were</w:t>
      </w:r>
      <w:r w:rsidRPr="006C67FE">
        <w:rPr>
          <w:rFonts w:cs="Times New Roman"/>
          <w:szCs w:val="20"/>
        </w:rPr>
        <w:t xml:space="preserve"> missing due to lack of data in NHANES. TST-positive prevalence for an empty cell in age group </w:t>
      </w:r>
      <w:proofErr w:type="spellStart"/>
      <w:r w:rsidRPr="00B03EA0">
        <w:rPr>
          <w:rFonts w:cs="Times New Roman"/>
          <w:i/>
          <w:szCs w:val="20"/>
        </w:rPr>
        <w:t>i</w:t>
      </w:r>
      <w:proofErr w:type="spellEnd"/>
      <w:r w:rsidRPr="00B03EA0">
        <w:rPr>
          <w:rFonts w:cs="Times New Roman"/>
          <w:szCs w:val="20"/>
        </w:rPr>
        <w:t xml:space="preserve"> and race group </w:t>
      </w:r>
      <w:r w:rsidRPr="00B03EA0">
        <w:rPr>
          <w:rFonts w:cs="Times New Roman"/>
          <w:i/>
          <w:szCs w:val="20"/>
        </w:rPr>
        <w:t>j</w:t>
      </w:r>
      <w:r w:rsidRPr="00B03EA0">
        <w:rPr>
          <w:rFonts w:cs="Times New Roman"/>
          <w:szCs w:val="20"/>
        </w:rPr>
        <w:t xml:space="preserve"> was imputed by multiplying the overall prevalence for that table (US-born or non-US-born) by the product of the ratio of prevalence in age group </w:t>
      </w:r>
      <w:proofErr w:type="spellStart"/>
      <w:r w:rsidRPr="00B03EA0">
        <w:rPr>
          <w:rFonts w:cs="Times New Roman"/>
          <w:i/>
          <w:szCs w:val="20"/>
        </w:rPr>
        <w:t>i</w:t>
      </w:r>
      <w:proofErr w:type="spellEnd"/>
      <w:r w:rsidRPr="00B03EA0">
        <w:rPr>
          <w:rFonts w:cs="Times New Roman"/>
          <w:szCs w:val="20"/>
        </w:rPr>
        <w:t xml:space="preserve"> (from the non-missing cells) to total prevalence for that subpopulation (US-born or non-US-born) and by the ratio of prevalence in race group </w:t>
      </w:r>
      <w:r w:rsidRPr="00B03EA0">
        <w:rPr>
          <w:rFonts w:cs="Times New Roman"/>
          <w:i/>
          <w:szCs w:val="20"/>
        </w:rPr>
        <w:t>j</w:t>
      </w:r>
      <w:r w:rsidRPr="00B03EA0">
        <w:rPr>
          <w:rFonts w:cs="Times New Roman"/>
          <w:szCs w:val="20"/>
        </w:rPr>
        <w:t xml:space="preserve"> to total prevalence. Marginal prevalence for age and race groups were calculated from NHANES as were overall US-born or non-US-born prevalence. For example, there were no TST-positive readings for US-born Asians aged 45-64. The prevalence for this group was imputed as </w:t>
      </w:r>
      <w:r w:rsidRPr="00B03EA0">
        <w:rPr>
          <w:rFonts w:cs="Times New Roman"/>
          <w:i/>
          <w:szCs w:val="20"/>
        </w:rPr>
        <w:t>p</w:t>
      </w:r>
      <w:r w:rsidRPr="00B03EA0">
        <w:rPr>
          <w:rFonts w:cs="Times New Roman"/>
          <w:szCs w:val="20"/>
        </w:rPr>
        <w:t xml:space="preserve"> × (</w:t>
      </w:r>
      <w:r w:rsidRPr="00B03EA0">
        <w:rPr>
          <w:rFonts w:cs="Times New Roman"/>
          <w:i/>
          <w:szCs w:val="20"/>
        </w:rPr>
        <w:t>p</w:t>
      </w:r>
      <w:r w:rsidRPr="00B03EA0">
        <w:rPr>
          <w:rFonts w:cs="Times New Roman"/>
          <w:i/>
          <w:szCs w:val="20"/>
          <w:vertAlign w:val="subscript"/>
        </w:rPr>
        <w:t>i</w:t>
      </w:r>
      <w:r w:rsidRPr="00B03EA0">
        <w:rPr>
          <w:rFonts w:cs="Times New Roman"/>
          <w:szCs w:val="20"/>
          <w:vertAlign w:val="subscript"/>
        </w:rPr>
        <w:t xml:space="preserve">+ </w:t>
      </w:r>
      <w:r w:rsidRPr="00B03EA0">
        <w:rPr>
          <w:rFonts w:cs="Times New Roman"/>
          <w:szCs w:val="20"/>
        </w:rPr>
        <w:t>/</w:t>
      </w:r>
      <w:r w:rsidRPr="00B03EA0">
        <w:rPr>
          <w:rFonts w:cs="Times New Roman"/>
          <w:i/>
          <w:szCs w:val="20"/>
        </w:rPr>
        <w:t>p</w:t>
      </w:r>
      <w:r w:rsidRPr="00B03EA0">
        <w:rPr>
          <w:rFonts w:cs="Times New Roman"/>
          <w:szCs w:val="20"/>
        </w:rPr>
        <w:t>) × (</w:t>
      </w:r>
      <w:proofErr w:type="spellStart"/>
      <w:r w:rsidRPr="00B03EA0">
        <w:rPr>
          <w:rFonts w:cs="Times New Roman"/>
          <w:i/>
          <w:szCs w:val="20"/>
        </w:rPr>
        <w:t>p</w:t>
      </w:r>
      <w:r w:rsidRPr="00B03EA0">
        <w:rPr>
          <w:rFonts w:cs="Times New Roman"/>
          <w:szCs w:val="20"/>
          <w:vertAlign w:val="subscript"/>
        </w:rPr>
        <w:t>+</w:t>
      </w:r>
      <w:r w:rsidRPr="00B03EA0">
        <w:rPr>
          <w:rFonts w:cs="Times New Roman"/>
          <w:i/>
          <w:szCs w:val="20"/>
          <w:vertAlign w:val="subscript"/>
        </w:rPr>
        <w:t>j</w:t>
      </w:r>
      <w:proofErr w:type="spellEnd"/>
      <w:r w:rsidRPr="00B03EA0">
        <w:rPr>
          <w:rFonts w:cs="Times New Roman"/>
          <w:szCs w:val="20"/>
          <w:vertAlign w:val="subscript"/>
        </w:rPr>
        <w:t xml:space="preserve"> </w:t>
      </w:r>
      <w:r w:rsidRPr="00B03EA0">
        <w:rPr>
          <w:rFonts w:cs="Times New Roman"/>
          <w:szCs w:val="20"/>
        </w:rPr>
        <w:t>/</w:t>
      </w:r>
      <w:r w:rsidRPr="00B03EA0">
        <w:rPr>
          <w:rFonts w:cs="Times New Roman"/>
          <w:i/>
          <w:szCs w:val="20"/>
        </w:rPr>
        <w:t>p</w:t>
      </w:r>
      <w:r w:rsidRPr="00B03EA0">
        <w:rPr>
          <w:rFonts w:cs="Times New Roman"/>
          <w:szCs w:val="20"/>
        </w:rPr>
        <w:t xml:space="preserve">), where </w:t>
      </w:r>
      <w:r w:rsidRPr="00B03EA0">
        <w:rPr>
          <w:rFonts w:cs="Times New Roman"/>
          <w:i/>
          <w:szCs w:val="20"/>
        </w:rPr>
        <w:t>p</w:t>
      </w:r>
      <w:r w:rsidRPr="00B03EA0">
        <w:rPr>
          <w:rFonts w:cs="Times New Roman"/>
          <w:szCs w:val="20"/>
        </w:rPr>
        <w:t xml:space="preserve"> is US-born prevalence, </w:t>
      </w:r>
      <w:r w:rsidRPr="00B03EA0">
        <w:rPr>
          <w:rFonts w:cs="Times New Roman"/>
          <w:i/>
          <w:szCs w:val="20"/>
        </w:rPr>
        <w:t>p</w:t>
      </w:r>
      <w:r w:rsidRPr="00B03EA0">
        <w:rPr>
          <w:rFonts w:cs="Times New Roman"/>
          <w:i/>
          <w:szCs w:val="20"/>
          <w:vertAlign w:val="subscript"/>
        </w:rPr>
        <w:t>i</w:t>
      </w:r>
      <w:r w:rsidRPr="00B03EA0">
        <w:rPr>
          <w:rFonts w:cs="Times New Roman"/>
          <w:szCs w:val="20"/>
          <w:vertAlign w:val="subscript"/>
        </w:rPr>
        <w:t xml:space="preserve">+ </w:t>
      </w:r>
      <w:r w:rsidRPr="00B03EA0">
        <w:rPr>
          <w:rFonts w:cs="Times New Roman"/>
          <w:szCs w:val="20"/>
        </w:rPr>
        <w:t xml:space="preserve">is prevalence for USB age 45-64, and </w:t>
      </w:r>
      <w:proofErr w:type="spellStart"/>
      <w:r w:rsidRPr="00B03EA0">
        <w:rPr>
          <w:rFonts w:cs="Times New Roman"/>
          <w:i/>
          <w:szCs w:val="20"/>
        </w:rPr>
        <w:t>p</w:t>
      </w:r>
      <w:r w:rsidRPr="00B03EA0">
        <w:rPr>
          <w:rFonts w:cs="Times New Roman"/>
          <w:szCs w:val="20"/>
          <w:vertAlign w:val="subscript"/>
        </w:rPr>
        <w:t>+</w:t>
      </w:r>
      <w:r w:rsidRPr="00B03EA0">
        <w:rPr>
          <w:rFonts w:cs="Times New Roman"/>
          <w:i/>
          <w:szCs w:val="20"/>
          <w:vertAlign w:val="subscript"/>
        </w:rPr>
        <w:t>j</w:t>
      </w:r>
      <w:proofErr w:type="spellEnd"/>
      <w:r w:rsidRPr="00B03EA0">
        <w:rPr>
          <w:rFonts w:cs="Times New Roman"/>
          <w:i/>
          <w:szCs w:val="20"/>
          <w:vertAlign w:val="subscript"/>
        </w:rPr>
        <w:t xml:space="preserve"> </w:t>
      </w:r>
      <w:r w:rsidRPr="00B03EA0">
        <w:rPr>
          <w:rFonts w:cs="Times New Roman"/>
          <w:szCs w:val="20"/>
        </w:rPr>
        <w:t xml:space="preserve">is prevalence for US-born Asian. </w:t>
      </w:r>
      <w:r w:rsidRPr="006C67FE">
        <w:rPr>
          <w:rFonts w:cs="Times New Roman"/>
          <w:szCs w:val="20"/>
        </w:rPr>
        <w:t xml:space="preserve">To expand to estimates for 5-year age groups, 15-19, 20-24, …, 75-79, 80+ it was assumed that prevalence within larger age groups was constant across smaller groups. For example, the prevalence calculated for 25-44 was assumed to hold uniformly for 25-29, ..., 40-44. These give prevalence estimates </w:t>
      </w:r>
      <w:proofErr w:type="spellStart"/>
      <w:r w:rsidRPr="00B03EA0">
        <w:rPr>
          <w:rFonts w:cs="Times New Roman"/>
          <w:i/>
          <w:szCs w:val="20"/>
        </w:rPr>
        <w:t>p</w:t>
      </w:r>
      <w:r w:rsidRPr="00B03EA0">
        <w:rPr>
          <w:rFonts w:cs="Times New Roman"/>
          <w:i/>
          <w:szCs w:val="20"/>
          <w:vertAlign w:val="subscript"/>
        </w:rPr>
        <w:t>ij</w:t>
      </w:r>
      <w:proofErr w:type="spellEnd"/>
      <w:r w:rsidRPr="00B03EA0">
        <w:rPr>
          <w:rFonts w:cs="Times New Roman"/>
          <w:szCs w:val="20"/>
        </w:rPr>
        <w:t xml:space="preserve"> for age group </w:t>
      </w:r>
      <w:proofErr w:type="spellStart"/>
      <w:r w:rsidRPr="00B03EA0">
        <w:rPr>
          <w:rFonts w:cs="Times New Roman"/>
          <w:i/>
          <w:szCs w:val="20"/>
        </w:rPr>
        <w:t>i</w:t>
      </w:r>
      <w:proofErr w:type="spellEnd"/>
      <w:r w:rsidRPr="00B03EA0">
        <w:rPr>
          <w:rFonts w:cs="Times New Roman"/>
          <w:szCs w:val="20"/>
        </w:rPr>
        <w:t xml:space="preserve"> and race group </w:t>
      </w:r>
      <w:r w:rsidRPr="00B03EA0">
        <w:rPr>
          <w:rFonts w:cs="Times New Roman"/>
          <w:i/>
          <w:szCs w:val="20"/>
        </w:rPr>
        <w:t>j</w:t>
      </w:r>
      <w:r w:rsidRPr="00B03EA0">
        <w:rPr>
          <w:rFonts w:cs="Times New Roman"/>
          <w:szCs w:val="20"/>
        </w:rPr>
        <w:t xml:space="preserve">. </w:t>
      </w:r>
    </w:p>
    <w:p w14:paraId="68C4DA90" w14:textId="77777777" w:rsidR="00436146" w:rsidRDefault="00436146" w:rsidP="00436146">
      <w:pPr>
        <w:spacing w:line="240" w:lineRule="auto"/>
        <w:rPr>
          <w:rFonts w:cs="Times New Roman"/>
          <w:szCs w:val="20"/>
        </w:rPr>
      </w:pPr>
    </w:p>
    <w:p w14:paraId="6301B235" w14:textId="1B82CB3A" w:rsidR="00436146" w:rsidRDefault="00436146" w:rsidP="00436146">
      <w:pPr>
        <w:spacing w:line="240" w:lineRule="auto"/>
        <w:rPr>
          <w:rFonts w:cs="Times New Roman"/>
          <w:szCs w:val="20"/>
        </w:rPr>
      </w:pPr>
      <w:r w:rsidRPr="006C67FE">
        <w:rPr>
          <w:rFonts w:cs="Times New Roman"/>
          <w:szCs w:val="20"/>
        </w:rPr>
        <w:t>California demographic</w:t>
      </w:r>
      <w:r>
        <w:rPr>
          <w:rFonts w:cs="Times New Roman"/>
          <w:szCs w:val="20"/>
        </w:rPr>
        <w:t xml:space="preserve"> information concerning</w:t>
      </w:r>
      <w:r w:rsidRPr="006C67FE">
        <w:rPr>
          <w:rFonts w:cs="Times New Roman"/>
          <w:szCs w:val="20"/>
        </w:rPr>
        <w:t xml:space="preserve"> age</w:t>
      </w:r>
      <w:r>
        <w:rPr>
          <w:rFonts w:cs="Times New Roman"/>
          <w:szCs w:val="20"/>
        </w:rPr>
        <w:t xml:space="preserve">, </w:t>
      </w:r>
      <w:r w:rsidRPr="006C67FE">
        <w:rPr>
          <w:rFonts w:cs="Times New Roman"/>
          <w:szCs w:val="20"/>
        </w:rPr>
        <w:t>race</w:t>
      </w:r>
      <w:r>
        <w:rPr>
          <w:rFonts w:cs="Times New Roman"/>
          <w:szCs w:val="20"/>
        </w:rPr>
        <w:t>,</w:t>
      </w:r>
      <w:r w:rsidRPr="006C67FE">
        <w:rPr>
          <w:rFonts w:cs="Times New Roman"/>
          <w:szCs w:val="20"/>
        </w:rPr>
        <w:t xml:space="preserve"> </w:t>
      </w:r>
      <w:r>
        <w:rPr>
          <w:rFonts w:cs="Times New Roman"/>
          <w:szCs w:val="20"/>
        </w:rPr>
        <w:t>and country of birth were obtained</w:t>
      </w:r>
      <w:r w:rsidRPr="006C67FE">
        <w:rPr>
          <w:rFonts w:cs="Times New Roman"/>
          <w:szCs w:val="20"/>
        </w:rPr>
        <w:t xml:space="preserve"> from </w:t>
      </w:r>
      <w:r w:rsidRPr="00B03EA0">
        <w:rPr>
          <w:rFonts w:cs="Times New Roman"/>
          <w:szCs w:val="20"/>
        </w:rPr>
        <w:t xml:space="preserve">the ACS </w:t>
      </w:r>
      <w:r>
        <w:rPr>
          <w:rFonts w:cs="Times New Roman"/>
          <w:szCs w:val="20"/>
        </w:rPr>
        <w:t>in</w:t>
      </w:r>
      <w:r w:rsidRPr="00B03EA0">
        <w:rPr>
          <w:rFonts w:cs="Times New Roman"/>
          <w:szCs w:val="20"/>
        </w:rPr>
        <w:t xml:space="preserve"> 2001</w:t>
      </w:r>
      <w:r>
        <w:rPr>
          <w:rFonts w:cs="Times New Roman"/>
          <w:szCs w:val="20"/>
        </w:rPr>
        <w:t xml:space="preserve">, as our model began its calibration in 2001 </w:t>
      </w:r>
      <w:r>
        <w:rPr>
          <w:rFonts w:cs="Times New Roman"/>
          <w:szCs w:val="20"/>
        </w:rPr>
        <w:fldChar w:fldCharType="begin"/>
      </w:r>
      <w:r w:rsidR="00201160">
        <w:rPr>
          <w:rFonts w:cs="Times New Roman"/>
          <w:szCs w:val="20"/>
        </w:rPr>
        <w:instrText xml:space="preserve"> ADDIN ZOTERO_ITEM CSL_CITATION {"citationID":"a2mf16mfn5m","properties":{"formattedCitation":"(E5)","plainCitation":"(E5)"},"citationItems":[{"id":1153,"uris":["http://zotero.org/users/1988472/items/EFBECUIZ"],"uri":["http://zotero.org/users/1988472/items/EFBECUIZ"],"itemData":{"id":1153,"type":"book","title":"Integrated Public Use Microdata Series: Version 7.0 [dataset]","publisher":"University of Minnesota","publisher-place":"Minneapolis","event-place":"Minneapolis","URL":"https://doi.org/10.18128/D010.V7.0","author":[{"family":"Ruggles","given":"Steven"},{"family":"Genadek","given":"Katie"},{"family":"Goeken","given":"Ronald"},{"family":"Grover","given":"Josiah"},{"family":"Sobek","given":"Matthew"}],"issued":{"date-parts":[["2017"]]}}}],"schema":"https://github.com/citation-style-language/schema/raw/master/csl-citation.json"} </w:instrText>
      </w:r>
      <w:r>
        <w:rPr>
          <w:rFonts w:cs="Times New Roman"/>
          <w:szCs w:val="20"/>
        </w:rPr>
        <w:fldChar w:fldCharType="separate"/>
      </w:r>
      <w:r w:rsidR="00201160">
        <w:rPr>
          <w:rFonts w:cs="Times New Roman"/>
          <w:noProof/>
          <w:szCs w:val="20"/>
        </w:rPr>
        <w:t>(E5)</w:t>
      </w:r>
      <w:r>
        <w:rPr>
          <w:rFonts w:cs="Times New Roman"/>
          <w:szCs w:val="20"/>
        </w:rPr>
        <w:fldChar w:fldCharType="end"/>
      </w:r>
      <w:r w:rsidRPr="00853C09">
        <w:rPr>
          <w:rFonts w:cs="Times New Roman"/>
          <w:szCs w:val="20"/>
        </w:rPr>
        <w:t xml:space="preserve">. In order to estimate prevalence in California within </w:t>
      </w:r>
      <w:r>
        <w:rPr>
          <w:rFonts w:cs="Times New Roman"/>
          <w:szCs w:val="20"/>
        </w:rPr>
        <w:t>these country-of-birth</w:t>
      </w:r>
      <w:r w:rsidRPr="00853C09">
        <w:rPr>
          <w:rFonts w:cs="Times New Roman"/>
          <w:szCs w:val="20"/>
        </w:rPr>
        <w:t xml:space="preserve"> groups, previously</w:t>
      </w:r>
      <w:r>
        <w:rPr>
          <w:rFonts w:cs="Times New Roman"/>
          <w:szCs w:val="20"/>
        </w:rPr>
        <w:t>-</w:t>
      </w:r>
      <w:r w:rsidRPr="00853C09">
        <w:rPr>
          <w:rFonts w:cs="Times New Roman"/>
          <w:szCs w:val="20"/>
        </w:rPr>
        <w:t xml:space="preserve">published estimates of LTBI infection in country of origin </w:t>
      </w:r>
      <w:r>
        <w:rPr>
          <w:rFonts w:cs="Times New Roman"/>
          <w:szCs w:val="20"/>
        </w:rPr>
        <w:fldChar w:fldCharType="begin"/>
      </w:r>
      <w:r w:rsidR="00201160">
        <w:rPr>
          <w:rFonts w:cs="Times New Roman"/>
          <w:szCs w:val="20"/>
        </w:rPr>
        <w:instrText xml:space="preserve"> ADDIN ZOTERO_ITEM CSL_CITATION {"citationID":"aEAm36ej","properties":{"formattedCitation":"(E10)","plainCitation":"(E10)"},"citationItems":[{"id":2058,"uris":["http://zotero.org/users/1988472/items/ZJ3GF75J"],"uri":["http://zotero.org/users/1988472/items/ZJ3GF75J"],"itemData":{"id":2058,"type":"article-journal","title":"Global burden of tuberculosis: estimated incidence, prevalence, and mortality by country","container-title":"Jama","page":"677–686","volume":"282","issue":"7","author":[{"family":"Dye","given":"Christopher"},{"family":"Scheele","given":"Suzanne"},{"family":"Dolin","given":"Paul"},{"family":"Pathania","given":"Vikram"},{"family":"Raviglione","given":"Mario C"},{"literal":"others"}],"issued":{"date-parts":[["1999"]]}}}],"schema":"https://github.com/citation-style-language/schema/raw/master/csl-citation.json"} </w:instrText>
      </w:r>
      <w:r>
        <w:rPr>
          <w:rFonts w:cs="Times New Roman"/>
          <w:szCs w:val="20"/>
        </w:rPr>
        <w:fldChar w:fldCharType="separate"/>
      </w:r>
      <w:r w:rsidR="00201160">
        <w:rPr>
          <w:rFonts w:cs="Times New Roman"/>
          <w:noProof/>
          <w:szCs w:val="20"/>
        </w:rPr>
        <w:t>(E10)</w:t>
      </w:r>
      <w:r>
        <w:rPr>
          <w:rFonts w:cs="Times New Roman"/>
          <w:szCs w:val="20"/>
        </w:rPr>
        <w:fldChar w:fldCharType="end"/>
      </w:r>
      <w:r>
        <w:rPr>
          <w:rFonts w:cs="Times New Roman"/>
          <w:szCs w:val="20"/>
        </w:rPr>
        <w:t xml:space="preserve"> </w:t>
      </w:r>
      <w:r w:rsidRPr="00853C09">
        <w:rPr>
          <w:rFonts w:cs="Times New Roman"/>
          <w:szCs w:val="20"/>
        </w:rPr>
        <w:t xml:space="preserve">were adjusted as follows. </w:t>
      </w:r>
    </w:p>
    <w:p w14:paraId="531E8AAC" w14:textId="77777777" w:rsidR="00436146" w:rsidRDefault="00436146" w:rsidP="00436146">
      <w:pPr>
        <w:spacing w:line="240" w:lineRule="auto"/>
        <w:rPr>
          <w:rFonts w:cs="Times New Roman"/>
          <w:szCs w:val="20"/>
        </w:rPr>
      </w:pPr>
    </w:p>
    <w:p w14:paraId="55BAC625" w14:textId="5EDDFC25" w:rsidR="00436146" w:rsidRDefault="00436146" w:rsidP="00436146">
      <w:pPr>
        <w:spacing w:line="240" w:lineRule="auto"/>
        <w:rPr>
          <w:rFonts w:cs="Times New Roman"/>
          <w:szCs w:val="20"/>
        </w:rPr>
      </w:pPr>
      <w:r>
        <w:rPr>
          <w:rFonts w:cs="Times New Roman"/>
          <w:szCs w:val="20"/>
        </w:rPr>
        <w:t>First, t</w:t>
      </w:r>
      <w:r w:rsidRPr="00B03EA0">
        <w:rPr>
          <w:rFonts w:cs="Times New Roman"/>
          <w:szCs w:val="20"/>
        </w:rPr>
        <w:t xml:space="preserve">he non-USB population </w:t>
      </w:r>
      <w:r>
        <w:rPr>
          <w:rFonts w:cs="Times New Roman"/>
          <w:szCs w:val="20"/>
        </w:rPr>
        <w:t xml:space="preserve">derived from ACS </w:t>
      </w:r>
      <w:r w:rsidRPr="00B03EA0">
        <w:rPr>
          <w:rFonts w:cs="Times New Roman"/>
          <w:szCs w:val="20"/>
        </w:rPr>
        <w:t xml:space="preserve">was </w:t>
      </w:r>
      <w:r>
        <w:rPr>
          <w:rFonts w:cs="Times New Roman"/>
          <w:szCs w:val="20"/>
        </w:rPr>
        <w:t xml:space="preserve">grouped by their country of birth, specifically those from </w:t>
      </w:r>
      <w:r w:rsidRPr="00853C09">
        <w:rPr>
          <w:rFonts w:cs="Times New Roman"/>
          <w:szCs w:val="20"/>
        </w:rPr>
        <w:t>Mexico,</w:t>
      </w:r>
      <w:r>
        <w:rPr>
          <w:rFonts w:cs="Times New Roman"/>
          <w:szCs w:val="20"/>
        </w:rPr>
        <w:t xml:space="preserve"> </w:t>
      </w:r>
      <w:r w:rsidRPr="00853C09">
        <w:rPr>
          <w:rFonts w:cs="Times New Roman"/>
          <w:szCs w:val="20"/>
        </w:rPr>
        <w:t>Central America, and the WHO 22 high burden countries in 2014</w:t>
      </w:r>
      <w:r>
        <w:rPr>
          <w:rFonts w:cs="Times New Roman"/>
          <w:szCs w:val="20"/>
        </w:rPr>
        <w:t>:</w:t>
      </w:r>
      <w:r w:rsidRPr="00853C09">
        <w:rPr>
          <w:rFonts w:cs="Times New Roman"/>
          <w:szCs w:val="20"/>
        </w:rPr>
        <w:t xml:space="preserve"> </w:t>
      </w:r>
      <w:r w:rsidRPr="00A344A7">
        <w:rPr>
          <w:rFonts w:cs="Times New Roman"/>
          <w:szCs w:val="20"/>
        </w:rPr>
        <w:t>Afghanistan, Bangla</w:t>
      </w:r>
      <w:r>
        <w:rPr>
          <w:rFonts w:cs="Times New Roman"/>
          <w:szCs w:val="20"/>
        </w:rPr>
        <w:t>desh, Brazil, Cambodia</w:t>
      </w:r>
      <w:r w:rsidRPr="00A344A7">
        <w:rPr>
          <w:rFonts w:cs="Times New Roman"/>
          <w:szCs w:val="20"/>
        </w:rPr>
        <w:t xml:space="preserve">, </w:t>
      </w:r>
      <w:r>
        <w:rPr>
          <w:rFonts w:cs="Times New Roman"/>
          <w:szCs w:val="20"/>
        </w:rPr>
        <w:t>China</w:t>
      </w:r>
      <w:r w:rsidRPr="00A344A7">
        <w:rPr>
          <w:rFonts w:cs="Times New Roman"/>
          <w:szCs w:val="20"/>
        </w:rPr>
        <w:t xml:space="preserve">, Democratic Republic of Congo, </w:t>
      </w:r>
      <w:r>
        <w:rPr>
          <w:rFonts w:cs="Times New Roman"/>
          <w:szCs w:val="20"/>
        </w:rPr>
        <w:t>Ethiopia</w:t>
      </w:r>
      <w:r w:rsidRPr="00A344A7">
        <w:rPr>
          <w:rFonts w:cs="Times New Roman"/>
          <w:szCs w:val="20"/>
        </w:rPr>
        <w:t>, India, Indonesia, Kenya, Myanmar, Nicaragua, Nigeria, Pakistan</w:t>
      </w:r>
      <w:r>
        <w:rPr>
          <w:rFonts w:cs="Times New Roman"/>
          <w:szCs w:val="20"/>
        </w:rPr>
        <w:t xml:space="preserve">, </w:t>
      </w:r>
      <w:r w:rsidRPr="00A344A7">
        <w:rPr>
          <w:rFonts w:cs="Times New Roman"/>
          <w:szCs w:val="20"/>
        </w:rPr>
        <w:t xml:space="preserve">Philippines, Russian Federation, South Africa, Thailand, Uganda, United Republic of Tanzania, Viet Nam, </w:t>
      </w:r>
      <w:r>
        <w:rPr>
          <w:rFonts w:cs="Times New Roman"/>
          <w:szCs w:val="20"/>
        </w:rPr>
        <w:t xml:space="preserve">and </w:t>
      </w:r>
      <w:r w:rsidRPr="00A344A7">
        <w:rPr>
          <w:rFonts w:cs="Times New Roman"/>
          <w:szCs w:val="20"/>
        </w:rPr>
        <w:t>Zimbabwe</w:t>
      </w:r>
      <w:r>
        <w:rPr>
          <w:rFonts w:cs="Times New Roman"/>
          <w:szCs w:val="20"/>
        </w:rPr>
        <w:t xml:space="preserve"> </w:t>
      </w:r>
      <w:r w:rsidRPr="00853C09">
        <w:rPr>
          <w:rFonts w:cs="Times New Roman"/>
          <w:szCs w:val="20"/>
        </w:rPr>
        <w:fldChar w:fldCharType="begin"/>
      </w:r>
      <w:r w:rsidR="00201160">
        <w:rPr>
          <w:rFonts w:cs="Times New Roman"/>
          <w:szCs w:val="20"/>
        </w:rPr>
        <w:instrText xml:space="preserve"> ADDIN ZOTERO_ITEM CSL_CITATION {"citationID":"mJCyRpA2","properties":{"formattedCitation":"(E6)","plainCitation":"(E6)"},"citationItems":[{"id":734,"uris":["http://zotero.org/users/1988472/items/5IWM7BMA"],"uri":["http://zotero.org/users/1988472/items/5IWM7BMA"],"itemData":{"id":734,"type":"book","title":"Global Tuberculosis Report 2014","publisher":"World Health Organization","author":[{"literal":"WHO."}],"issued":{"date-parts":[["2014"]]}}}],"schema":"https://github.com/citation-style-language/schema/raw/master/csl-citation.json"} </w:instrText>
      </w:r>
      <w:r w:rsidRPr="00853C09">
        <w:rPr>
          <w:rFonts w:cs="Times New Roman"/>
          <w:szCs w:val="20"/>
        </w:rPr>
        <w:fldChar w:fldCharType="separate"/>
      </w:r>
      <w:r w:rsidR="00201160">
        <w:rPr>
          <w:rFonts w:eastAsia="Times New Roman" w:cs="Times New Roman"/>
          <w:szCs w:val="20"/>
        </w:rPr>
        <w:t>(E6)</w:t>
      </w:r>
      <w:r w:rsidRPr="00853C09">
        <w:rPr>
          <w:rFonts w:cs="Times New Roman"/>
          <w:szCs w:val="20"/>
        </w:rPr>
        <w:fldChar w:fldCharType="end"/>
      </w:r>
      <w:r w:rsidRPr="00853C09">
        <w:rPr>
          <w:rFonts w:cs="Times New Roman"/>
          <w:szCs w:val="20"/>
        </w:rPr>
        <w:t>. The remaining birthplaces w</w:t>
      </w:r>
      <w:r>
        <w:rPr>
          <w:rFonts w:cs="Times New Roman"/>
          <w:szCs w:val="20"/>
        </w:rPr>
        <w:t xml:space="preserve">ere grouped by their WHO region: </w:t>
      </w:r>
      <w:r w:rsidRPr="00B03EA0">
        <w:rPr>
          <w:rFonts w:cs="Times New Roman"/>
          <w:szCs w:val="20"/>
        </w:rPr>
        <w:t>African Region</w:t>
      </w:r>
      <w:r>
        <w:rPr>
          <w:rFonts w:cs="Times New Roman"/>
          <w:szCs w:val="20"/>
        </w:rPr>
        <w:t>,</w:t>
      </w:r>
      <w:r w:rsidRPr="00B03EA0">
        <w:rPr>
          <w:rFonts w:cs="Times New Roman"/>
          <w:szCs w:val="20"/>
        </w:rPr>
        <w:t xml:space="preserve"> Region of the Americas, South-East Asia Region, European Region, Eastern Mediterranean Region, </w:t>
      </w:r>
      <w:r>
        <w:rPr>
          <w:rFonts w:cs="Times New Roman"/>
          <w:szCs w:val="20"/>
        </w:rPr>
        <w:t xml:space="preserve">and the </w:t>
      </w:r>
      <w:r w:rsidRPr="00B03EA0">
        <w:rPr>
          <w:rFonts w:cs="Times New Roman"/>
          <w:szCs w:val="20"/>
        </w:rPr>
        <w:t xml:space="preserve">Western Pacific Region. </w:t>
      </w:r>
    </w:p>
    <w:p w14:paraId="7950553A" w14:textId="77777777" w:rsidR="00436146" w:rsidRPr="00853C09" w:rsidRDefault="00436146" w:rsidP="00436146">
      <w:pPr>
        <w:spacing w:line="240" w:lineRule="auto"/>
        <w:rPr>
          <w:rFonts w:cs="Times New Roman"/>
          <w:szCs w:val="20"/>
        </w:rPr>
      </w:pPr>
    </w:p>
    <w:p w14:paraId="19E27F78" w14:textId="77777777" w:rsidR="00436146" w:rsidRDefault="00436146" w:rsidP="00436146">
      <w:pPr>
        <w:spacing w:line="240" w:lineRule="auto"/>
        <w:rPr>
          <w:rFonts w:cs="Times New Roman"/>
          <w:szCs w:val="20"/>
        </w:rPr>
      </w:pPr>
      <w:r>
        <w:rPr>
          <w:rFonts w:cs="Times New Roman"/>
          <w:szCs w:val="20"/>
        </w:rPr>
        <w:t>Second</w:t>
      </w:r>
      <w:r w:rsidRPr="00A61CC4">
        <w:rPr>
          <w:rFonts w:cs="Times New Roman"/>
          <w:szCs w:val="20"/>
        </w:rPr>
        <w:t xml:space="preserve">, </w:t>
      </w:r>
      <w:r>
        <w:rPr>
          <w:rFonts w:cs="Times New Roman"/>
          <w:szCs w:val="20"/>
        </w:rPr>
        <w:t xml:space="preserve">national </w:t>
      </w:r>
      <w:r w:rsidRPr="00A61CC4">
        <w:rPr>
          <w:rFonts w:cs="Times New Roman"/>
          <w:szCs w:val="20"/>
        </w:rPr>
        <w:t xml:space="preserve">NHANES-derived non-US-born prevalence by race categories were weighted according to the ACS race distribution in California for each </w:t>
      </w:r>
      <w:r>
        <w:rPr>
          <w:rFonts w:cs="Times New Roman"/>
          <w:szCs w:val="20"/>
        </w:rPr>
        <w:t>country of birth</w:t>
      </w:r>
      <w:r w:rsidRPr="00A61CC4">
        <w:rPr>
          <w:rFonts w:cs="Times New Roman"/>
          <w:szCs w:val="20"/>
        </w:rPr>
        <w:t xml:space="preserve"> and summed to produce prevalence estimates of </w:t>
      </w:r>
      <w:r>
        <w:rPr>
          <w:rFonts w:cs="Times New Roman"/>
          <w:szCs w:val="20"/>
        </w:rPr>
        <w:t>country of birth</w:t>
      </w:r>
      <w:r w:rsidRPr="00A61CC4">
        <w:rPr>
          <w:rFonts w:cs="Times New Roman"/>
          <w:szCs w:val="20"/>
        </w:rPr>
        <w:t xml:space="preserve"> populations residing in California. Thus, if </w:t>
      </w:r>
      <w:proofErr w:type="spellStart"/>
      <w:r w:rsidRPr="006C67FE">
        <w:rPr>
          <w:rFonts w:cs="Times New Roman"/>
          <w:i/>
          <w:szCs w:val="20"/>
        </w:rPr>
        <w:t>w</w:t>
      </w:r>
      <w:r w:rsidRPr="006C67FE">
        <w:rPr>
          <w:rFonts w:cs="Times New Roman"/>
          <w:i/>
          <w:szCs w:val="20"/>
          <w:vertAlign w:val="subscript"/>
        </w:rPr>
        <w:t>jk</w:t>
      </w:r>
      <w:r w:rsidRPr="006C67FE">
        <w:rPr>
          <w:rFonts w:cs="Times New Roman"/>
          <w:szCs w:val="20"/>
          <w:vertAlign w:val="superscript"/>
        </w:rPr>
        <w:t>C</w:t>
      </w:r>
      <w:proofErr w:type="spellEnd"/>
      <w:r w:rsidRPr="00B03EA0">
        <w:rPr>
          <w:rFonts w:cs="Times New Roman"/>
          <w:szCs w:val="20"/>
        </w:rPr>
        <w:t xml:space="preserve"> are the ACS-derived race population proportions for </w:t>
      </w:r>
      <w:r>
        <w:rPr>
          <w:rFonts w:cs="Times New Roman"/>
          <w:szCs w:val="20"/>
        </w:rPr>
        <w:t>country of birth</w:t>
      </w:r>
      <w:r w:rsidRPr="00A61CC4">
        <w:rPr>
          <w:rFonts w:cs="Times New Roman"/>
          <w:szCs w:val="20"/>
        </w:rPr>
        <w:t xml:space="preserve"> </w:t>
      </w:r>
      <w:r w:rsidRPr="00B03EA0">
        <w:rPr>
          <w:rFonts w:cs="Times New Roman"/>
          <w:i/>
          <w:szCs w:val="20"/>
        </w:rPr>
        <w:t>k</w:t>
      </w:r>
      <w:r w:rsidRPr="00B03EA0">
        <w:rPr>
          <w:rFonts w:cs="Times New Roman"/>
          <w:szCs w:val="20"/>
        </w:rPr>
        <w:t xml:space="preserve"> (which sum over race groups </w:t>
      </w:r>
      <w:r w:rsidRPr="00B03EA0">
        <w:rPr>
          <w:rFonts w:cs="Times New Roman"/>
          <w:i/>
          <w:szCs w:val="20"/>
        </w:rPr>
        <w:t>j</w:t>
      </w:r>
      <w:r w:rsidRPr="00B03EA0">
        <w:rPr>
          <w:rFonts w:cs="Times New Roman"/>
          <w:szCs w:val="20"/>
        </w:rPr>
        <w:t xml:space="preserve"> to 1), and </w:t>
      </w:r>
      <w:proofErr w:type="spellStart"/>
      <w:r w:rsidRPr="00B03EA0">
        <w:rPr>
          <w:rFonts w:cs="Times New Roman"/>
          <w:i/>
          <w:szCs w:val="20"/>
        </w:rPr>
        <w:t>p</w:t>
      </w:r>
      <w:r w:rsidRPr="00B03EA0">
        <w:rPr>
          <w:rFonts w:cs="Times New Roman"/>
          <w:szCs w:val="20"/>
          <w:vertAlign w:val="subscript"/>
        </w:rPr>
        <w:t>+</w:t>
      </w:r>
      <w:r w:rsidRPr="00B03EA0">
        <w:rPr>
          <w:rFonts w:cs="Times New Roman"/>
          <w:i/>
          <w:szCs w:val="20"/>
          <w:vertAlign w:val="subscript"/>
        </w:rPr>
        <w:t>j</w:t>
      </w:r>
      <w:proofErr w:type="spellEnd"/>
      <w:r w:rsidRPr="00B03EA0">
        <w:rPr>
          <w:rFonts w:cs="Times New Roman"/>
          <w:i/>
          <w:szCs w:val="20"/>
          <w:vertAlign w:val="subscript"/>
        </w:rPr>
        <w:t xml:space="preserve"> </w:t>
      </w:r>
      <w:r w:rsidRPr="00B03EA0">
        <w:rPr>
          <w:rFonts w:cs="Times New Roman"/>
          <w:szCs w:val="20"/>
        </w:rPr>
        <w:t xml:space="preserve">are NHANES-derived non-USB prevalence estimates for race categories </w:t>
      </w:r>
      <w:r w:rsidRPr="00B03EA0">
        <w:rPr>
          <w:rFonts w:cs="Times New Roman"/>
          <w:i/>
          <w:szCs w:val="20"/>
        </w:rPr>
        <w:t>j</w:t>
      </w:r>
      <w:r w:rsidRPr="00B03EA0">
        <w:rPr>
          <w:rFonts w:cs="Times New Roman"/>
          <w:szCs w:val="20"/>
        </w:rPr>
        <w:t xml:space="preserve">, the estimated prevalence in California for </w:t>
      </w:r>
      <w:r>
        <w:rPr>
          <w:rFonts w:cs="Times New Roman"/>
          <w:szCs w:val="20"/>
        </w:rPr>
        <w:t>country of birth</w:t>
      </w:r>
      <w:r w:rsidRPr="00A61CC4">
        <w:rPr>
          <w:rFonts w:cs="Times New Roman"/>
          <w:szCs w:val="20"/>
        </w:rPr>
        <w:t xml:space="preserve"> </w:t>
      </w:r>
      <w:r w:rsidRPr="00B03EA0">
        <w:rPr>
          <w:rFonts w:cs="Times New Roman"/>
          <w:i/>
          <w:szCs w:val="20"/>
        </w:rPr>
        <w:t>k</w:t>
      </w:r>
      <w:r w:rsidRPr="00B03EA0">
        <w:rPr>
          <w:rFonts w:cs="Times New Roman"/>
          <w:szCs w:val="20"/>
        </w:rPr>
        <w:t xml:space="preserve"> is </w:t>
      </w:r>
      <w:proofErr w:type="spellStart"/>
      <w:r w:rsidRPr="00B03EA0">
        <w:rPr>
          <w:rFonts w:cs="Times New Roman"/>
          <w:i/>
          <w:szCs w:val="20"/>
        </w:rPr>
        <w:t>p</w:t>
      </w:r>
      <w:r w:rsidRPr="00B03EA0">
        <w:rPr>
          <w:rFonts w:cs="Times New Roman"/>
          <w:i/>
          <w:szCs w:val="20"/>
          <w:vertAlign w:val="subscript"/>
        </w:rPr>
        <w:t>k</w:t>
      </w:r>
      <w:r w:rsidRPr="00B03EA0">
        <w:rPr>
          <w:rFonts w:cs="Times New Roman"/>
          <w:szCs w:val="20"/>
          <w:vertAlign w:val="superscript"/>
        </w:rPr>
        <w:t>N</w:t>
      </w:r>
      <w:proofErr w:type="spellEnd"/>
      <w:r w:rsidRPr="00B03EA0">
        <w:rPr>
          <w:rFonts w:cs="Times New Roman"/>
          <w:szCs w:val="20"/>
        </w:rPr>
        <w:t xml:space="preserve"> = ∑</w:t>
      </w:r>
      <w:r w:rsidRPr="00B03EA0">
        <w:rPr>
          <w:rFonts w:cs="Times New Roman"/>
          <w:i/>
          <w:szCs w:val="20"/>
          <w:vertAlign w:val="subscript"/>
        </w:rPr>
        <w:t>j</w:t>
      </w:r>
      <w:r w:rsidRPr="00B03EA0">
        <w:rPr>
          <w:rFonts w:cs="Times New Roman"/>
          <w:szCs w:val="20"/>
        </w:rPr>
        <w:t xml:space="preserve"> </w:t>
      </w:r>
      <w:proofErr w:type="spellStart"/>
      <w:proofErr w:type="gramStart"/>
      <w:r w:rsidRPr="00B03EA0">
        <w:rPr>
          <w:rFonts w:cs="Times New Roman"/>
          <w:i/>
          <w:szCs w:val="20"/>
        </w:rPr>
        <w:t>w</w:t>
      </w:r>
      <w:r w:rsidRPr="00B03EA0">
        <w:rPr>
          <w:rFonts w:cs="Times New Roman"/>
          <w:i/>
          <w:szCs w:val="20"/>
          <w:vertAlign w:val="subscript"/>
        </w:rPr>
        <w:t>jk</w:t>
      </w:r>
      <w:r w:rsidRPr="00B03EA0">
        <w:rPr>
          <w:rFonts w:cs="Times New Roman"/>
          <w:szCs w:val="20"/>
          <w:vertAlign w:val="superscript"/>
        </w:rPr>
        <w:t>C</w:t>
      </w:r>
      <w:proofErr w:type="spellEnd"/>
      <w:r w:rsidRPr="00B03EA0">
        <w:rPr>
          <w:rFonts w:cs="Times New Roman"/>
          <w:i/>
          <w:szCs w:val="20"/>
          <w:vertAlign w:val="subscript"/>
        </w:rPr>
        <w:t xml:space="preserve">  </w:t>
      </w:r>
      <w:proofErr w:type="spellStart"/>
      <w:r w:rsidRPr="00B03EA0">
        <w:rPr>
          <w:rFonts w:cs="Times New Roman"/>
          <w:i/>
          <w:szCs w:val="20"/>
        </w:rPr>
        <w:t>p</w:t>
      </w:r>
      <w:proofErr w:type="gramEnd"/>
      <w:r w:rsidRPr="00B03EA0">
        <w:rPr>
          <w:rFonts w:cs="Times New Roman"/>
          <w:szCs w:val="20"/>
          <w:vertAlign w:val="subscript"/>
        </w:rPr>
        <w:t>+</w:t>
      </w:r>
      <w:r w:rsidRPr="00B03EA0">
        <w:rPr>
          <w:rFonts w:cs="Times New Roman"/>
          <w:i/>
          <w:szCs w:val="20"/>
          <w:vertAlign w:val="subscript"/>
        </w:rPr>
        <w:t>j</w:t>
      </w:r>
      <w:proofErr w:type="spellEnd"/>
      <w:r w:rsidRPr="00B03EA0">
        <w:rPr>
          <w:rFonts w:cs="Times New Roman"/>
          <w:i/>
          <w:szCs w:val="20"/>
          <w:vertAlign w:val="subscript"/>
        </w:rPr>
        <w:t xml:space="preserve">   </w:t>
      </w:r>
      <w:r w:rsidRPr="00B03EA0">
        <w:rPr>
          <w:rFonts w:cs="Times New Roman"/>
          <w:szCs w:val="20"/>
        </w:rPr>
        <w:t>These estimates are consistent with NHANES prevalence by race for non-U</w:t>
      </w:r>
      <w:r>
        <w:rPr>
          <w:rFonts w:cs="Times New Roman"/>
          <w:szCs w:val="20"/>
        </w:rPr>
        <w:t>S</w:t>
      </w:r>
      <w:r w:rsidRPr="00B03EA0">
        <w:rPr>
          <w:rFonts w:cs="Times New Roman"/>
          <w:szCs w:val="20"/>
        </w:rPr>
        <w:t xml:space="preserve">-born. </w:t>
      </w:r>
    </w:p>
    <w:p w14:paraId="2140D991" w14:textId="77777777" w:rsidR="00436146" w:rsidRPr="00A61CC4" w:rsidRDefault="00436146" w:rsidP="00436146">
      <w:pPr>
        <w:spacing w:line="240" w:lineRule="auto"/>
        <w:rPr>
          <w:rFonts w:cs="Times New Roman"/>
          <w:szCs w:val="20"/>
        </w:rPr>
      </w:pPr>
    </w:p>
    <w:p w14:paraId="4FE74147" w14:textId="77777777" w:rsidR="00436146" w:rsidRDefault="00436146" w:rsidP="00436146">
      <w:pPr>
        <w:spacing w:line="240" w:lineRule="auto"/>
        <w:rPr>
          <w:rFonts w:cs="Times New Roman"/>
          <w:szCs w:val="20"/>
        </w:rPr>
      </w:pPr>
      <w:r>
        <w:rPr>
          <w:rFonts w:cs="Times New Roman"/>
          <w:szCs w:val="20"/>
        </w:rPr>
        <w:t>Third</w:t>
      </w:r>
      <w:r w:rsidRPr="006C67FE">
        <w:rPr>
          <w:rFonts w:cs="Times New Roman"/>
          <w:szCs w:val="20"/>
        </w:rPr>
        <w:t>, as prevalence among race for California may differ from overall national NHANES estimates, alternate estimates for race groups were calculated based on th</w:t>
      </w:r>
      <w:r w:rsidRPr="00B03EA0">
        <w:rPr>
          <w:rFonts w:cs="Times New Roman"/>
          <w:szCs w:val="20"/>
        </w:rPr>
        <w:t xml:space="preserve">e prevalence of LTBI in </w:t>
      </w:r>
      <w:r>
        <w:rPr>
          <w:rFonts w:cs="Times New Roman"/>
          <w:szCs w:val="20"/>
        </w:rPr>
        <w:t>country of birth</w:t>
      </w:r>
      <w:r w:rsidRPr="00A61CC4">
        <w:rPr>
          <w:rFonts w:cs="Times New Roman"/>
          <w:szCs w:val="20"/>
        </w:rPr>
        <w:t xml:space="preserve"> </w:t>
      </w:r>
      <w:r w:rsidRPr="00B03EA0">
        <w:rPr>
          <w:rFonts w:cs="Times New Roman"/>
          <w:szCs w:val="20"/>
        </w:rPr>
        <w:t xml:space="preserve">as reported in Dye. These were combined with the ACS demographic breakdowns of each race group by </w:t>
      </w:r>
      <w:r>
        <w:rPr>
          <w:rFonts w:cs="Times New Roman"/>
          <w:szCs w:val="20"/>
        </w:rPr>
        <w:t>country of birth</w:t>
      </w:r>
      <w:r w:rsidRPr="00A61CC4">
        <w:rPr>
          <w:rFonts w:cs="Times New Roman"/>
          <w:szCs w:val="20"/>
        </w:rPr>
        <w:t xml:space="preserve"> </w:t>
      </w:r>
      <w:r w:rsidRPr="00B03EA0">
        <w:rPr>
          <w:rFonts w:cs="Times New Roman"/>
          <w:szCs w:val="20"/>
        </w:rPr>
        <w:t xml:space="preserve">to produce race prevalence estimates that are consistent with LTBI prevalence in the country of birth. If </w:t>
      </w:r>
      <w:proofErr w:type="spellStart"/>
      <w:r w:rsidRPr="00B03EA0">
        <w:rPr>
          <w:rFonts w:cs="Times New Roman"/>
          <w:i/>
          <w:szCs w:val="20"/>
        </w:rPr>
        <w:t>w</w:t>
      </w:r>
      <w:r w:rsidRPr="00B03EA0">
        <w:rPr>
          <w:rFonts w:cs="Times New Roman"/>
          <w:i/>
          <w:szCs w:val="20"/>
          <w:vertAlign w:val="subscript"/>
        </w:rPr>
        <w:t>jk</w:t>
      </w:r>
      <w:r w:rsidRPr="00B03EA0">
        <w:rPr>
          <w:rFonts w:cs="Times New Roman"/>
          <w:szCs w:val="20"/>
          <w:vertAlign w:val="superscript"/>
        </w:rPr>
        <w:t>R</w:t>
      </w:r>
      <w:proofErr w:type="spellEnd"/>
      <w:r w:rsidRPr="00B03EA0">
        <w:rPr>
          <w:rFonts w:cs="Times New Roman"/>
          <w:szCs w:val="20"/>
        </w:rPr>
        <w:t xml:space="preserve"> are the ACS-derived </w:t>
      </w:r>
      <w:r>
        <w:rPr>
          <w:rFonts w:cs="Times New Roman"/>
          <w:szCs w:val="20"/>
        </w:rPr>
        <w:t>country of birth</w:t>
      </w:r>
      <w:r w:rsidRPr="00A61CC4">
        <w:rPr>
          <w:rFonts w:cs="Times New Roman"/>
          <w:szCs w:val="20"/>
        </w:rPr>
        <w:t xml:space="preserve"> </w:t>
      </w:r>
      <w:r w:rsidRPr="00B03EA0">
        <w:rPr>
          <w:rFonts w:cs="Times New Roman"/>
          <w:szCs w:val="20"/>
        </w:rPr>
        <w:t xml:space="preserve">population proportions for race </w:t>
      </w:r>
      <w:r w:rsidRPr="00B03EA0">
        <w:rPr>
          <w:rFonts w:cs="Times New Roman"/>
          <w:i/>
          <w:szCs w:val="20"/>
        </w:rPr>
        <w:t xml:space="preserve">j </w:t>
      </w:r>
      <w:r w:rsidRPr="00B03EA0">
        <w:rPr>
          <w:rFonts w:cs="Times New Roman"/>
          <w:szCs w:val="20"/>
        </w:rPr>
        <w:t xml:space="preserve">(which sum over </w:t>
      </w:r>
      <w:r w:rsidRPr="00B03EA0">
        <w:rPr>
          <w:rFonts w:cs="Times New Roman"/>
          <w:i/>
          <w:szCs w:val="20"/>
        </w:rPr>
        <w:t>k</w:t>
      </w:r>
      <w:r w:rsidRPr="00B03EA0">
        <w:rPr>
          <w:rFonts w:cs="Times New Roman"/>
          <w:szCs w:val="20"/>
        </w:rPr>
        <w:t xml:space="preserve"> to 1), and </w:t>
      </w:r>
      <w:proofErr w:type="spellStart"/>
      <w:r w:rsidRPr="00B03EA0">
        <w:rPr>
          <w:rFonts w:cs="Times New Roman"/>
          <w:i/>
          <w:szCs w:val="20"/>
        </w:rPr>
        <w:t>p</w:t>
      </w:r>
      <w:r w:rsidRPr="00B03EA0">
        <w:rPr>
          <w:rFonts w:cs="Times New Roman"/>
          <w:i/>
          <w:szCs w:val="20"/>
          <w:vertAlign w:val="subscript"/>
        </w:rPr>
        <w:t>k</w:t>
      </w:r>
      <w:r w:rsidRPr="00B03EA0">
        <w:rPr>
          <w:rFonts w:cs="Times New Roman"/>
          <w:szCs w:val="20"/>
          <w:vertAlign w:val="superscript"/>
        </w:rPr>
        <w:t>D</w:t>
      </w:r>
      <w:proofErr w:type="spellEnd"/>
      <w:r w:rsidRPr="00B03EA0">
        <w:rPr>
          <w:rFonts w:cs="Times New Roman"/>
          <w:i/>
          <w:szCs w:val="20"/>
          <w:vertAlign w:val="subscript"/>
        </w:rPr>
        <w:t xml:space="preserve"> </w:t>
      </w:r>
      <w:r w:rsidRPr="00B03EA0">
        <w:rPr>
          <w:rFonts w:cs="Times New Roman"/>
          <w:szCs w:val="20"/>
        </w:rPr>
        <w:t xml:space="preserve">are the Dye prevalence estimates in </w:t>
      </w:r>
      <w:r>
        <w:rPr>
          <w:rFonts w:cs="Times New Roman"/>
          <w:szCs w:val="20"/>
        </w:rPr>
        <w:t>country of birth</w:t>
      </w:r>
      <w:r w:rsidRPr="00A61CC4">
        <w:rPr>
          <w:rFonts w:cs="Times New Roman"/>
          <w:szCs w:val="20"/>
        </w:rPr>
        <w:t xml:space="preserve"> </w:t>
      </w:r>
      <w:r w:rsidRPr="00B03EA0">
        <w:rPr>
          <w:rFonts w:cs="Times New Roman"/>
          <w:i/>
          <w:szCs w:val="20"/>
        </w:rPr>
        <w:t>k</w:t>
      </w:r>
      <w:r w:rsidRPr="00B03EA0">
        <w:rPr>
          <w:rFonts w:cs="Times New Roman"/>
          <w:szCs w:val="20"/>
        </w:rPr>
        <w:t xml:space="preserve">, the estimated prevalence in California for race </w:t>
      </w:r>
      <w:r w:rsidRPr="00B03EA0">
        <w:rPr>
          <w:rFonts w:cs="Times New Roman"/>
          <w:i/>
          <w:szCs w:val="20"/>
        </w:rPr>
        <w:t>j</w:t>
      </w:r>
      <w:r w:rsidRPr="00B03EA0">
        <w:rPr>
          <w:rFonts w:cs="Times New Roman"/>
          <w:szCs w:val="20"/>
        </w:rPr>
        <w:t xml:space="preserve"> is ∑</w:t>
      </w:r>
      <w:r w:rsidRPr="00B03EA0">
        <w:rPr>
          <w:rFonts w:cs="Times New Roman"/>
          <w:i/>
          <w:szCs w:val="20"/>
          <w:vertAlign w:val="subscript"/>
        </w:rPr>
        <w:t>k</w:t>
      </w:r>
      <w:r w:rsidRPr="00B03EA0">
        <w:rPr>
          <w:rFonts w:cs="Times New Roman"/>
          <w:szCs w:val="20"/>
        </w:rPr>
        <w:t xml:space="preserve"> </w:t>
      </w:r>
      <w:proofErr w:type="spellStart"/>
      <w:proofErr w:type="gramStart"/>
      <w:r w:rsidRPr="00B03EA0">
        <w:rPr>
          <w:rFonts w:cs="Times New Roman"/>
          <w:i/>
          <w:szCs w:val="20"/>
        </w:rPr>
        <w:t>w</w:t>
      </w:r>
      <w:r w:rsidRPr="00B03EA0">
        <w:rPr>
          <w:rFonts w:cs="Times New Roman"/>
          <w:i/>
          <w:szCs w:val="20"/>
          <w:vertAlign w:val="subscript"/>
        </w:rPr>
        <w:t>jk</w:t>
      </w:r>
      <w:r w:rsidRPr="00B03EA0">
        <w:rPr>
          <w:rFonts w:cs="Times New Roman"/>
          <w:szCs w:val="20"/>
          <w:vertAlign w:val="superscript"/>
        </w:rPr>
        <w:t>R</w:t>
      </w:r>
      <w:proofErr w:type="spellEnd"/>
      <w:r w:rsidRPr="00B03EA0">
        <w:rPr>
          <w:rFonts w:cs="Times New Roman"/>
          <w:i/>
          <w:szCs w:val="20"/>
          <w:vertAlign w:val="subscript"/>
        </w:rPr>
        <w:t xml:space="preserve">  </w:t>
      </w:r>
      <w:proofErr w:type="spellStart"/>
      <w:r w:rsidRPr="00B03EA0">
        <w:rPr>
          <w:rFonts w:cs="Times New Roman"/>
          <w:i/>
          <w:szCs w:val="20"/>
        </w:rPr>
        <w:t>p</w:t>
      </w:r>
      <w:r w:rsidRPr="00B03EA0">
        <w:rPr>
          <w:rFonts w:cs="Times New Roman"/>
          <w:i/>
          <w:szCs w:val="20"/>
          <w:vertAlign w:val="subscript"/>
        </w:rPr>
        <w:t>k</w:t>
      </w:r>
      <w:r w:rsidRPr="00B03EA0">
        <w:rPr>
          <w:rFonts w:cs="Times New Roman"/>
          <w:szCs w:val="20"/>
          <w:vertAlign w:val="superscript"/>
        </w:rPr>
        <w:t>D</w:t>
      </w:r>
      <w:proofErr w:type="spellEnd"/>
      <w:proofErr w:type="gramEnd"/>
      <w:r w:rsidRPr="00B03EA0">
        <w:rPr>
          <w:rFonts w:cs="Times New Roman"/>
          <w:szCs w:val="20"/>
        </w:rPr>
        <w:t xml:space="preserve">. </w:t>
      </w:r>
    </w:p>
    <w:p w14:paraId="75C02412" w14:textId="77777777" w:rsidR="00436146" w:rsidRPr="00A61CC4" w:rsidRDefault="00436146" w:rsidP="00436146">
      <w:pPr>
        <w:spacing w:line="240" w:lineRule="auto"/>
        <w:rPr>
          <w:rFonts w:cs="Times New Roman"/>
          <w:szCs w:val="20"/>
        </w:rPr>
      </w:pPr>
    </w:p>
    <w:p w14:paraId="6734BA3A" w14:textId="77777777" w:rsidR="00436146" w:rsidRDefault="00436146" w:rsidP="00436146">
      <w:pPr>
        <w:spacing w:line="240" w:lineRule="auto"/>
        <w:rPr>
          <w:rFonts w:cs="Times New Roman"/>
          <w:szCs w:val="20"/>
        </w:rPr>
      </w:pPr>
      <w:r>
        <w:rPr>
          <w:rFonts w:cs="Times New Roman"/>
          <w:szCs w:val="20"/>
        </w:rPr>
        <w:t>Fourth</w:t>
      </w:r>
      <w:r w:rsidRPr="006C67FE">
        <w:rPr>
          <w:rFonts w:cs="Times New Roman"/>
          <w:szCs w:val="20"/>
        </w:rPr>
        <w:t>, the disagreement between this estimate, which is almost certainly incorrect since LTBI prevalence in non-US countries is known to differ from that among persons in the US originating from those countries, is quantified by its ratio wi</w:t>
      </w:r>
      <w:r w:rsidRPr="00B03EA0">
        <w:rPr>
          <w:rFonts w:cs="Times New Roman"/>
          <w:szCs w:val="20"/>
        </w:rPr>
        <w:t xml:space="preserve">th the corresponding demographically weighted estimate of prevalence in race group </w:t>
      </w:r>
      <w:r w:rsidRPr="00B03EA0">
        <w:rPr>
          <w:rFonts w:cs="Times New Roman"/>
          <w:i/>
          <w:szCs w:val="20"/>
        </w:rPr>
        <w:t>j</w:t>
      </w:r>
      <w:r w:rsidRPr="00B03EA0">
        <w:rPr>
          <w:rFonts w:cs="Times New Roman"/>
          <w:szCs w:val="20"/>
        </w:rPr>
        <w:t xml:space="preserve">. By summing these ratios over race groups </w:t>
      </w:r>
      <w:r w:rsidRPr="00B03EA0">
        <w:rPr>
          <w:rFonts w:cs="Times New Roman"/>
          <w:i/>
          <w:szCs w:val="20"/>
        </w:rPr>
        <w:t>j</w:t>
      </w:r>
      <w:r w:rsidRPr="00B03EA0">
        <w:rPr>
          <w:rFonts w:cs="Times New Roman"/>
          <w:szCs w:val="20"/>
        </w:rPr>
        <w:t xml:space="preserve">, a weighted ratio is obtained which represents the difference in LTBI burden between the sample of immigrants from a nation and the nation itself. The prevalence in California for the population whose </w:t>
      </w:r>
      <w:r>
        <w:rPr>
          <w:rFonts w:cs="Times New Roman"/>
          <w:szCs w:val="20"/>
        </w:rPr>
        <w:t>country of birth</w:t>
      </w:r>
      <w:r w:rsidRPr="00A61CC4">
        <w:rPr>
          <w:rFonts w:cs="Times New Roman"/>
          <w:szCs w:val="20"/>
        </w:rPr>
        <w:t xml:space="preserve"> </w:t>
      </w:r>
      <w:r w:rsidRPr="00B03EA0">
        <w:rPr>
          <w:rFonts w:cs="Times New Roman"/>
          <w:szCs w:val="20"/>
        </w:rPr>
        <w:t xml:space="preserve">is country </w:t>
      </w:r>
      <w:r w:rsidRPr="00B03EA0">
        <w:rPr>
          <w:rFonts w:cs="Times New Roman"/>
          <w:i/>
          <w:szCs w:val="20"/>
        </w:rPr>
        <w:t>k</w:t>
      </w:r>
      <w:r w:rsidRPr="00B03EA0">
        <w:rPr>
          <w:rFonts w:cs="Times New Roman"/>
          <w:szCs w:val="20"/>
        </w:rPr>
        <w:t xml:space="preserve"> is thus estimated, using previous notation, as</w:t>
      </w:r>
      <w:r>
        <w:rPr>
          <w:rFonts w:cs="Times New Roman"/>
          <w:szCs w:val="20"/>
        </w:rPr>
        <w:t>:</w:t>
      </w:r>
    </w:p>
    <w:p w14:paraId="6CD92E4A" w14:textId="77777777" w:rsidR="00436146" w:rsidRPr="00A61CC4" w:rsidRDefault="00436146" w:rsidP="00436146">
      <w:pPr>
        <w:spacing w:line="240" w:lineRule="auto"/>
        <w:rPr>
          <w:rFonts w:cs="Times New Roman"/>
          <w:szCs w:val="20"/>
        </w:rPr>
      </w:pPr>
    </w:p>
    <w:p w14:paraId="62D1CA50" w14:textId="77777777" w:rsidR="00436146" w:rsidRPr="00853C09" w:rsidRDefault="000D1CE0" w:rsidP="00436146">
      <w:pPr>
        <w:spacing w:line="240" w:lineRule="auto"/>
        <w:rPr>
          <w:rFonts w:cs="Times New Roman"/>
          <w:szCs w:val="20"/>
        </w:rPr>
      </w:pPr>
      <m:oMathPara>
        <m:oMath>
          <m:sSubSup>
            <m:sSubSupPr>
              <m:ctrlPr>
                <w:rPr>
                  <w:rFonts w:ascii="Cambria Math" w:hAnsi="Cambria Math" w:cs="Times New Roman"/>
                  <w:i/>
                  <w:szCs w:val="20"/>
                </w:rPr>
              </m:ctrlPr>
            </m:sSubSupPr>
            <m:e>
              <m:r>
                <w:rPr>
                  <w:rFonts w:ascii="Cambria Math" w:hAnsi="Cambria Math" w:cs="Times New Roman"/>
                  <w:szCs w:val="20"/>
                </w:rPr>
                <m:t>p</m:t>
              </m:r>
            </m:e>
            <m:sub>
              <m:r>
                <w:rPr>
                  <w:rFonts w:ascii="Cambria Math" w:hAnsi="Cambria Math" w:cs="Times New Roman"/>
                  <w:szCs w:val="20"/>
                </w:rPr>
                <m:t>k</m:t>
              </m:r>
            </m:sub>
            <m:sup>
              <m:r>
                <m:rPr>
                  <m:nor/>
                </m:rPr>
                <w:rPr>
                  <w:rFonts w:cs="Times New Roman"/>
                  <w:szCs w:val="20"/>
                </w:rPr>
                <m:t>D</m:t>
              </m:r>
            </m:sup>
          </m:sSubSup>
          <m:r>
            <w:rPr>
              <w:rFonts w:ascii="Cambria Math" w:hAnsi="Cambria Math" w:cs="Times New Roman"/>
              <w:szCs w:val="20"/>
            </w:rPr>
            <m:t>×</m:t>
          </m:r>
          <m:nary>
            <m:naryPr>
              <m:chr m:val="∑"/>
              <m:limLoc m:val="subSup"/>
              <m:supHide m:val="1"/>
              <m:ctrlPr>
                <w:rPr>
                  <w:rFonts w:ascii="Cambria Math" w:hAnsi="Cambria Math" w:cs="Times New Roman"/>
                  <w:i/>
                  <w:szCs w:val="20"/>
                </w:rPr>
              </m:ctrlPr>
            </m:naryPr>
            <m:sub>
              <m:r>
                <w:rPr>
                  <w:rFonts w:ascii="Cambria Math" w:hAnsi="Cambria Math" w:cs="Times New Roman"/>
                  <w:szCs w:val="20"/>
                </w:rPr>
                <m:t>j</m:t>
              </m:r>
            </m:sub>
            <m:sup/>
            <m:e>
              <m:f>
                <m:fPr>
                  <m:ctrlPr>
                    <w:rPr>
                      <w:rFonts w:ascii="Cambria Math" w:hAnsi="Cambria Math" w:cs="Times New Roman"/>
                      <w:i/>
                      <w:szCs w:val="20"/>
                    </w:rPr>
                  </m:ctrlPr>
                </m:fPr>
                <m:num>
                  <m:sSubSup>
                    <m:sSubSupPr>
                      <m:ctrlPr>
                        <w:rPr>
                          <w:rFonts w:ascii="Cambria Math" w:hAnsi="Cambria Math" w:cs="Times New Roman"/>
                          <w:i/>
                          <w:szCs w:val="20"/>
                        </w:rPr>
                      </m:ctrlPr>
                    </m:sSubSupPr>
                    <m:e>
                      <m:r>
                        <w:rPr>
                          <w:rFonts w:ascii="Cambria Math" w:hAnsi="Cambria Math" w:cs="Times New Roman"/>
                          <w:szCs w:val="20"/>
                        </w:rPr>
                        <m:t>w</m:t>
                      </m:r>
                    </m:e>
                    <m:sub>
                      <m:r>
                        <w:rPr>
                          <w:rFonts w:ascii="Cambria Math" w:hAnsi="Cambria Math" w:cs="Times New Roman"/>
                          <w:szCs w:val="20"/>
                        </w:rPr>
                        <m:t>jk</m:t>
                      </m:r>
                    </m:sub>
                    <m:sup>
                      <m:r>
                        <m:rPr>
                          <m:nor/>
                        </m:rPr>
                        <w:rPr>
                          <w:rFonts w:cs="Times New Roman"/>
                          <w:szCs w:val="20"/>
                        </w:rPr>
                        <m:t>C</m:t>
                      </m:r>
                    </m:sup>
                  </m:sSubSup>
                  <m:r>
                    <w:rPr>
                      <w:rFonts w:ascii="Cambria Math" w:hAnsi="Cambria Math" w:cs="Times New Roman"/>
                      <w:szCs w:val="20"/>
                    </w:rPr>
                    <m:t xml:space="preserve"> </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+j</m:t>
                      </m:r>
                    </m:sub>
                  </m:sSub>
                </m:num>
                <m:den>
                  <m:nary>
                    <m:naryPr>
                      <m:chr m:val="∑"/>
                      <m:limLoc m:val="subSup"/>
                      <m:supHide m:val="1"/>
                      <m:ctrlPr>
                        <w:rPr>
                          <w:rFonts w:ascii="Cambria Math" w:hAnsi="Cambria Math" w:cs="Times New Roman"/>
                          <w:i/>
                          <w:szCs w:val="20"/>
                        </w:rPr>
                      </m:ctrlPr>
                    </m:naryPr>
                    <m:sub>
                      <m:r>
                        <w:rPr>
                          <w:rFonts w:ascii="Cambria Math" w:hAnsi="Cambria Math" w:cs="Times New Roman"/>
                          <w:szCs w:val="20"/>
                        </w:rPr>
                        <m:t>m</m:t>
                      </m:r>
                    </m:sub>
                    <m:sup/>
                    <m:e>
                      <m:sSubSup>
                        <m:sSubSupPr>
                          <m:ctrlPr>
                            <w:rPr>
                              <w:rFonts w:ascii="Cambria Math" w:hAnsi="Cambria Math" w:cs="Times New Roman"/>
                              <w:i/>
                              <w:szCs w:val="20"/>
                            </w:rPr>
                          </m:ctrlPr>
                        </m:sSubSupPr>
                        <m:e>
                          <m:r>
                            <w:rPr>
                              <w:rFonts w:ascii="Cambria Math" w:hAnsi="Cambria Math" w:cs="Times New Roman"/>
                              <w:szCs w:val="20"/>
                            </w:rPr>
                            <m:t>w</m:t>
                          </m:r>
                        </m:e>
                        <m:sub>
                          <m:r>
                            <w:rPr>
                              <w:rFonts w:ascii="Cambria Math" w:hAnsi="Cambria Math" w:cs="Times New Roman"/>
                              <w:szCs w:val="20"/>
                            </w:rPr>
                            <m:t>jm</m:t>
                          </m:r>
                        </m:sub>
                        <m:sup>
                          <m:r>
                            <m:rPr>
                              <m:nor/>
                            </m:rPr>
                            <w:rPr>
                              <w:rFonts w:cs="Times New Roman"/>
                              <w:szCs w:val="20"/>
                            </w:rPr>
                            <m:t>R</m:t>
                          </m:r>
                        </m:sup>
                      </m:sSubSup>
                      <m:sSubSup>
                        <m:sSubSupPr>
                          <m:ctrlPr>
                            <w:rPr>
                              <w:rFonts w:ascii="Cambria Math" w:hAnsi="Cambria Math" w:cs="Times New Roman"/>
                              <w:i/>
                              <w:szCs w:val="20"/>
                            </w:rPr>
                          </m:ctrlPr>
                        </m:sSubSupPr>
                        <m:e>
                          <m:r>
                            <w:rPr>
                              <w:rFonts w:ascii="Cambria Math" w:hAnsi="Cambria Math" w:cs="Times New Roman"/>
                              <w:szCs w:val="20"/>
                            </w:rPr>
                            <m:t>p</m:t>
                          </m:r>
                        </m:e>
                        <m:sub>
                          <m:r>
                            <w:rPr>
                              <w:rFonts w:ascii="Cambria Math" w:hAnsi="Cambria Math" w:cs="Times New Roman"/>
                              <w:szCs w:val="20"/>
                            </w:rPr>
                            <m:t>m</m:t>
                          </m:r>
                        </m:sub>
                        <m:sup>
                          <m:r>
                            <m:rPr>
                              <m:nor/>
                            </m:rPr>
                            <w:rPr>
                              <w:rFonts w:cs="Times New Roman"/>
                              <w:szCs w:val="20"/>
                            </w:rPr>
                            <m:t>D</m:t>
                          </m:r>
                        </m:sup>
                      </m:sSubSup>
                    </m:e>
                  </m:nary>
                </m:den>
              </m:f>
            </m:e>
          </m:nary>
        </m:oMath>
      </m:oMathPara>
    </w:p>
    <w:p w14:paraId="254B3B9A" w14:textId="77777777" w:rsidR="00436146" w:rsidRDefault="00436146" w:rsidP="00436146">
      <w:pPr>
        <w:spacing w:line="240" w:lineRule="auto"/>
        <w:rPr>
          <w:rFonts w:cs="Times New Roman"/>
          <w:szCs w:val="20"/>
        </w:rPr>
      </w:pPr>
    </w:p>
    <w:p w14:paraId="523A42EF" w14:textId="77777777" w:rsidR="00436146" w:rsidRDefault="00436146" w:rsidP="00436146">
      <w:pPr>
        <w:spacing w:line="240" w:lineRule="auto"/>
        <w:rPr>
          <w:rFonts w:cs="Times New Roman"/>
          <w:szCs w:val="20"/>
        </w:rPr>
      </w:pPr>
      <w:r w:rsidRPr="00853C09">
        <w:rPr>
          <w:rFonts w:cs="Times New Roman"/>
          <w:szCs w:val="20"/>
        </w:rPr>
        <w:lastRenderedPageBreak/>
        <w:t xml:space="preserve">This is interpretable as the estimate of LTBI prevalence in the </w:t>
      </w:r>
      <w:r>
        <w:rPr>
          <w:rFonts w:cs="Times New Roman"/>
          <w:szCs w:val="20"/>
        </w:rPr>
        <w:t>country of birth</w:t>
      </w:r>
      <w:r w:rsidRPr="00A61CC4">
        <w:rPr>
          <w:rFonts w:cs="Times New Roman"/>
          <w:szCs w:val="20"/>
        </w:rPr>
        <w:t xml:space="preserve"> </w:t>
      </w:r>
      <w:r w:rsidRPr="00853C09">
        <w:rPr>
          <w:rFonts w:cs="Times New Roman"/>
          <w:i/>
          <w:szCs w:val="20"/>
        </w:rPr>
        <w:t>k</w:t>
      </w:r>
      <w:r w:rsidRPr="00853C09">
        <w:rPr>
          <w:rFonts w:cs="Times New Roman"/>
          <w:szCs w:val="20"/>
        </w:rPr>
        <w:t xml:space="preserve"> adjusted by California demographics and </w:t>
      </w:r>
      <w:r>
        <w:rPr>
          <w:rFonts w:cs="Times New Roman"/>
          <w:szCs w:val="20"/>
        </w:rPr>
        <w:t xml:space="preserve">national-level </w:t>
      </w:r>
      <w:r w:rsidRPr="00853C09">
        <w:rPr>
          <w:rFonts w:cs="Times New Roman"/>
          <w:szCs w:val="20"/>
        </w:rPr>
        <w:t>NHANES race</w:t>
      </w:r>
      <w:r>
        <w:rPr>
          <w:rFonts w:cs="Times New Roman"/>
          <w:szCs w:val="20"/>
        </w:rPr>
        <w:t>-</w:t>
      </w:r>
      <w:r w:rsidRPr="00853C09">
        <w:rPr>
          <w:rFonts w:cs="Times New Roman"/>
          <w:szCs w:val="20"/>
        </w:rPr>
        <w:t>group estimates</w:t>
      </w:r>
      <w:r w:rsidRPr="00A61CC4">
        <w:rPr>
          <w:rFonts w:cs="Times New Roman"/>
          <w:szCs w:val="20"/>
        </w:rPr>
        <w:t xml:space="preserve">. </w:t>
      </w:r>
    </w:p>
    <w:p w14:paraId="2026A950" w14:textId="77777777" w:rsidR="00436146" w:rsidRPr="00A61CC4" w:rsidRDefault="00436146" w:rsidP="00436146">
      <w:pPr>
        <w:spacing w:line="240" w:lineRule="auto"/>
        <w:rPr>
          <w:rFonts w:cs="Times New Roman"/>
          <w:szCs w:val="20"/>
        </w:rPr>
      </w:pPr>
    </w:p>
    <w:p w14:paraId="063A176A" w14:textId="77777777" w:rsidR="00436146" w:rsidRDefault="00436146" w:rsidP="00436146">
      <w:pPr>
        <w:spacing w:line="240" w:lineRule="auto"/>
        <w:rPr>
          <w:rFonts w:cs="Times New Roman"/>
          <w:szCs w:val="20"/>
        </w:rPr>
      </w:pPr>
      <w:r>
        <w:rPr>
          <w:rFonts w:cs="Times New Roman"/>
          <w:szCs w:val="20"/>
        </w:rPr>
        <w:t>Fifth</w:t>
      </w:r>
      <w:r w:rsidRPr="00A61CC4">
        <w:rPr>
          <w:rFonts w:cs="Times New Roman"/>
          <w:szCs w:val="20"/>
        </w:rPr>
        <w:t xml:space="preserve">, the ratio of this quantity to the earlier estimate for </w:t>
      </w:r>
      <w:r>
        <w:rPr>
          <w:rFonts w:cs="Times New Roman"/>
          <w:szCs w:val="20"/>
        </w:rPr>
        <w:t>country of birth</w:t>
      </w:r>
      <w:r w:rsidRPr="00A61CC4">
        <w:rPr>
          <w:rFonts w:cs="Times New Roman"/>
          <w:szCs w:val="20"/>
        </w:rPr>
        <w:t xml:space="preserve"> </w:t>
      </w:r>
      <w:r w:rsidRPr="00A61CC4">
        <w:rPr>
          <w:rFonts w:cs="Times New Roman"/>
          <w:i/>
          <w:szCs w:val="20"/>
        </w:rPr>
        <w:t>k</w:t>
      </w:r>
      <w:r w:rsidRPr="00045966">
        <w:rPr>
          <w:rFonts w:cs="Times New Roman"/>
          <w:szCs w:val="20"/>
        </w:rPr>
        <w:t xml:space="preserve">, that is </w:t>
      </w:r>
      <w:proofErr w:type="spellStart"/>
      <w:r w:rsidRPr="006C67FE">
        <w:rPr>
          <w:rFonts w:cs="Times New Roman"/>
          <w:i/>
          <w:szCs w:val="20"/>
        </w:rPr>
        <w:t>p</w:t>
      </w:r>
      <w:r w:rsidRPr="006C67FE">
        <w:rPr>
          <w:rFonts w:cs="Times New Roman"/>
          <w:i/>
          <w:szCs w:val="20"/>
          <w:vertAlign w:val="subscript"/>
        </w:rPr>
        <w:t>k</w:t>
      </w:r>
      <w:r w:rsidRPr="006C67FE">
        <w:rPr>
          <w:rFonts w:cs="Times New Roman"/>
          <w:szCs w:val="20"/>
          <w:vertAlign w:val="superscript"/>
        </w:rPr>
        <w:t>N</w:t>
      </w:r>
      <w:proofErr w:type="spellEnd"/>
      <w:r w:rsidRPr="006C67FE">
        <w:rPr>
          <w:rFonts w:cs="Times New Roman"/>
          <w:szCs w:val="20"/>
        </w:rPr>
        <w:t xml:space="preserve"> = ∑</w:t>
      </w:r>
      <w:r w:rsidRPr="006C67FE">
        <w:rPr>
          <w:rFonts w:cs="Times New Roman"/>
          <w:i/>
          <w:szCs w:val="20"/>
          <w:vertAlign w:val="subscript"/>
        </w:rPr>
        <w:t>j</w:t>
      </w:r>
      <w:r w:rsidRPr="006C67FE">
        <w:rPr>
          <w:rFonts w:cs="Times New Roman"/>
          <w:szCs w:val="20"/>
        </w:rPr>
        <w:t xml:space="preserve"> </w:t>
      </w:r>
      <w:proofErr w:type="spellStart"/>
      <w:proofErr w:type="gramStart"/>
      <w:r w:rsidRPr="006C67FE">
        <w:rPr>
          <w:rFonts w:cs="Times New Roman"/>
          <w:i/>
          <w:szCs w:val="20"/>
        </w:rPr>
        <w:t>w</w:t>
      </w:r>
      <w:r w:rsidRPr="006C67FE">
        <w:rPr>
          <w:rFonts w:cs="Times New Roman"/>
          <w:i/>
          <w:szCs w:val="20"/>
          <w:vertAlign w:val="subscript"/>
        </w:rPr>
        <w:t>jk</w:t>
      </w:r>
      <w:r w:rsidRPr="006C67FE">
        <w:rPr>
          <w:rFonts w:cs="Times New Roman"/>
          <w:szCs w:val="20"/>
          <w:vertAlign w:val="superscript"/>
        </w:rPr>
        <w:t>C</w:t>
      </w:r>
      <w:proofErr w:type="spellEnd"/>
      <w:r w:rsidRPr="006C67FE">
        <w:rPr>
          <w:rFonts w:cs="Times New Roman"/>
          <w:i/>
          <w:szCs w:val="20"/>
          <w:vertAlign w:val="subscript"/>
        </w:rPr>
        <w:t xml:space="preserve">  </w:t>
      </w:r>
      <w:proofErr w:type="spellStart"/>
      <w:r w:rsidRPr="006C67FE">
        <w:rPr>
          <w:rFonts w:cs="Times New Roman"/>
          <w:i/>
          <w:szCs w:val="20"/>
        </w:rPr>
        <w:t>p</w:t>
      </w:r>
      <w:proofErr w:type="gramEnd"/>
      <w:r w:rsidRPr="006C67FE">
        <w:rPr>
          <w:rFonts w:cs="Times New Roman"/>
          <w:szCs w:val="20"/>
          <w:vertAlign w:val="subscript"/>
        </w:rPr>
        <w:t>+</w:t>
      </w:r>
      <w:r w:rsidRPr="006C67FE">
        <w:rPr>
          <w:rFonts w:cs="Times New Roman"/>
          <w:i/>
          <w:szCs w:val="20"/>
          <w:vertAlign w:val="subscript"/>
        </w:rPr>
        <w:t>j</w:t>
      </w:r>
      <w:proofErr w:type="spellEnd"/>
      <w:r w:rsidRPr="006C67FE">
        <w:rPr>
          <w:rFonts w:cs="Times New Roman"/>
          <w:i/>
          <w:szCs w:val="20"/>
          <w:vertAlign w:val="subscript"/>
        </w:rPr>
        <w:t xml:space="preserve"> </w:t>
      </w:r>
      <w:r w:rsidRPr="006C67FE">
        <w:rPr>
          <w:rFonts w:cs="Times New Roman"/>
          <w:szCs w:val="20"/>
        </w:rPr>
        <w:t xml:space="preserve">, gives a prevalence ratio </w:t>
      </w:r>
      <w:proofErr w:type="spellStart"/>
      <w:r w:rsidRPr="006C67FE">
        <w:rPr>
          <w:rFonts w:cs="Times New Roman"/>
          <w:szCs w:val="20"/>
        </w:rPr>
        <w:t>PR</w:t>
      </w:r>
      <w:r w:rsidRPr="006C67FE">
        <w:rPr>
          <w:rFonts w:cs="Times New Roman"/>
          <w:i/>
          <w:szCs w:val="20"/>
          <w:vertAlign w:val="subscript"/>
        </w:rPr>
        <w:t>k</w:t>
      </w:r>
      <w:proofErr w:type="spellEnd"/>
      <w:r w:rsidRPr="006C67FE">
        <w:rPr>
          <w:rFonts w:cs="Times New Roman"/>
          <w:szCs w:val="20"/>
        </w:rPr>
        <w:t xml:space="preserve"> for final adjustment for </w:t>
      </w:r>
      <w:r>
        <w:rPr>
          <w:rFonts w:cs="Times New Roman"/>
          <w:szCs w:val="20"/>
        </w:rPr>
        <w:t>country of birth</w:t>
      </w:r>
      <w:r w:rsidRPr="00A61CC4">
        <w:rPr>
          <w:rFonts w:cs="Times New Roman"/>
          <w:szCs w:val="20"/>
        </w:rPr>
        <w:t xml:space="preserve"> </w:t>
      </w:r>
      <w:r w:rsidRPr="006C67FE">
        <w:rPr>
          <w:rFonts w:cs="Times New Roman"/>
          <w:i/>
          <w:szCs w:val="20"/>
        </w:rPr>
        <w:t>k</w:t>
      </w:r>
      <w:r w:rsidRPr="006C67FE">
        <w:rPr>
          <w:rFonts w:cs="Times New Roman"/>
          <w:szCs w:val="20"/>
        </w:rPr>
        <w:t>. The resulting overall race</w:t>
      </w:r>
      <w:r>
        <w:rPr>
          <w:rFonts w:cs="Times New Roman"/>
          <w:szCs w:val="20"/>
        </w:rPr>
        <w:t>-</w:t>
      </w:r>
      <w:r w:rsidRPr="006C67FE">
        <w:rPr>
          <w:rFonts w:cs="Times New Roman"/>
          <w:szCs w:val="20"/>
        </w:rPr>
        <w:t>group estimates that result from these adjustments are similar to those from NHANES</w:t>
      </w:r>
      <w:r>
        <w:rPr>
          <w:rFonts w:cs="Times New Roman"/>
          <w:szCs w:val="20"/>
        </w:rPr>
        <w:t>,</w:t>
      </w:r>
      <w:r w:rsidRPr="006C67FE">
        <w:rPr>
          <w:rFonts w:cs="Times New Roman"/>
          <w:szCs w:val="20"/>
        </w:rPr>
        <w:t xml:space="preserve"> which lends confidence to their use.</w:t>
      </w:r>
      <w:r w:rsidRPr="00B03EA0">
        <w:rPr>
          <w:rFonts w:cs="Times New Roman"/>
          <w:szCs w:val="20"/>
        </w:rPr>
        <w:t xml:space="preserve"> </w:t>
      </w:r>
    </w:p>
    <w:p w14:paraId="7DA0FD91" w14:textId="77777777" w:rsidR="00436146" w:rsidRPr="00B03EA0" w:rsidRDefault="00436146" w:rsidP="00436146">
      <w:pPr>
        <w:spacing w:line="240" w:lineRule="auto"/>
        <w:rPr>
          <w:rFonts w:cs="Times New Roman"/>
          <w:szCs w:val="20"/>
        </w:rPr>
      </w:pPr>
    </w:p>
    <w:p w14:paraId="242CAF7E" w14:textId="77777777" w:rsidR="00436146" w:rsidRPr="00A61CC4" w:rsidRDefault="00436146" w:rsidP="00436146">
      <w:pPr>
        <w:spacing w:line="240" w:lineRule="auto"/>
        <w:rPr>
          <w:rFonts w:cs="Times New Roman"/>
          <w:szCs w:val="20"/>
        </w:rPr>
      </w:pPr>
      <w:r>
        <w:rPr>
          <w:rFonts w:cs="Times New Roman"/>
          <w:szCs w:val="20"/>
        </w:rPr>
        <w:t>Finally</w:t>
      </w:r>
      <w:r w:rsidRPr="00B03EA0">
        <w:rPr>
          <w:rFonts w:cs="Times New Roman"/>
          <w:szCs w:val="20"/>
        </w:rPr>
        <w:t xml:space="preserve">, LTBI prevalence in California for age group </w:t>
      </w:r>
      <w:proofErr w:type="spellStart"/>
      <w:r w:rsidRPr="00B03EA0">
        <w:rPr>
          <w:rFonts w:cs="Times New Roman"/>
          <w:i/>
          <w:szCs w:val="20"/>
        </w:rPr>
        <w:t>i</w:t>
      </w:r>
      <w:proofErr w:type="spellEnd"/>
      <w:r w:rsidRPr="00B03EA0">
        <w:rPr>
          <w:rFonts w:cs="Times New Roman"/>
          <w:szCs w:val="20"/>
        </w:rPr>
        <w:t xml:space="preserve">, race group </w:t>
      </w:r>
      <w:r w:rsidRPr="00B03EA0">
        <w:rPr>
          <w:rFonts w:cs="Times New Roman"/>
          <w:i/>
          <w:szCs w:val="20"/>
        </w:rPr>
        <w:t>j</w:t>
      </w:r>
      <w:r w:rsidRPr="00B03EA0">
        <w:rPr>
          <w:rFonts w:cs="Times New Roman"/>
          <w:szCs w:val="20"/>
        </w:rPr>
        <w:t xml:space="preserve">, country of birth </w:t>
      </w:r>
      <w:r w:rsidRPr="00B03EA0">
        <w:rPr>
          <w:rFonts w:cs="Times New Roman"/>
          <w:i/>
          <w:szCs w:val="20"/>
        </w:rPr>
        <w:t>k</w:t>
      </w:r>
      <w:r w:rsidRPr="00B03EA0">
        <w:rPr>
          <w:rFonts w:cs="Times New Roman"/>
          <w:szCs w:val="20"/>
        </w:rPr>
        <w:t xml:space="preserve">, and sex </w:t>
      </w:r>
      <w:r w:rsidRPr="00B03EA0">
        <w:rPr>
          <w:rFonts w:cs="Times New Roman"/>
          <w:i/>
          <w:szCs w:val="20"/>
        </w:rPr>
        <w:t>s</w:t>
      </w:r>
      <w:r w:rsidRPr="00B03EA0">
        <w:rPr>
          <w:rFonts w:cs="Times New Roman"/>
          <w:szCs w:val="20"/>
        </w:rPr>
        <w:t xml:space="preserve"> (female, male), is estimated as </w:t>
      </w:r>
      <w:proofErr w:type="spellStart"/>
      <w:r w:rsidRPr="00B03EA0">
        <w:rPr>
          <w:rFonts w:cs="Times New Roman"/>
          <w:i/>
          <w:szCs w:val="20"/>
        </w:rPr>
        <w:t>p</w:t>
      </w:r>
      <w:r w:rsidRPr="00B03EA0">
        <w:rPr>
          <w:rFonts w:cs="Times New Roman"/>
          <w:i/>
          <w:szCs w:val="20"/>
          <w:vertAlign w:val="subscript"/>
        </w:rPr>
        <w:t>ij</w:t>
      </w:r>
      <w:proofErr w:type="spellEnd"/>
      <w:r w:rsidRPr="00B03EA0">
        <w:rPr>
          <w:rFonts w:cs="Times New Roman"/>
          <w:szCs w:val="20"/>
        </w:rPr>
        <w:t xml:space="preserve"> × </w:t>
      </w:r>
      <w:proofErr w:type="spellStart"/>
      <w:r w:rsidRPr="00B03EA0">
        <w:rPr>
          <w:rFonts w:cs="Times New Roman"/>
          <w:szCs w:val="20"/>
        </w:rPr>
        <w:t>PR</w:t>
      </w:r>
      <w:r w:rsidRPr="00B03EA0">
        <w:rPr>
          <w:rFonts w:cs="Times New Roman"/>
          <w:i/>
          <w:szCs w:val="20"/>
          <w:vertAlign w:val="subscript"/>
        </w:rPr>
        <w:t>k</w:t>
      </w:r>
      <w:proofErr w:type="spellEnd"/>
      <w:r w:rsidRPr="00B03EA0">
        <w:rPr>
          <w:rFonts w:cs="Times New Roman"/>
          <w:szCs w:val="20"/>
        </w:rPr>
        <w:t xml:space="preserve"> × SR</w:t>
      </w:r>
      <w:r w:rsidRPr="00B03EA0">
        <w:rPr>
          <w:rFonts w:cs="Times New Roman"/>
          <w:i/>
          <w:szCs w:val="20"/>
          <w:vertAlign w:val="subscript"/>
        </w:rPr>
        <w:t>s</w:t>
      </w:r>
      <w:r w:rsidRPr="00B03EA0">
        <w:rPr>
          <w:rFonts w:cs="Times New Roman"/>
          <w:szCs w:val="20"/>
        </w:rPr>
        <w:t xml:space="preserve">, where </w:t>
      </w:r>
      <w:proofErr w:type="spellStart"/>
      <w:r w:rsidRPr="00B03EA0">
        <w:rPr>
          <w:rFonts w:cs="Times New Roman"/>
          <w:i/>
          <w:szCs w:val="20"/>
        </w:rPr>
        <w:t>p</w:t>
      </w:r>
      <w:r w:rsidRPr="00B03EA0">
        <w:rPr>
          <w:rFonts w:cs="Times New Roman"/>
          <w:i/>
          <w:szCs w:val="20"/>
          <w:vertAlign w:val="subscript"/>
        </w:rPr>
        <w:t>ij</w:t>
      </w:r>
      <w:proofErr w:type="spellEnd"/>
      <w:r w:rsidRPr="00B03EA0">
        <w:rPr>
          <w:rFonts w:cs="Times New Roman"/>
          <w:szCs w:val="20"/>
        </w:rPr>
        <w:t xml:space="preserve"> and </w:t>
      </w:r>
      <w:proofErr w:type="spellStart"/>
      <w:r w:rsidRPr="00B03EA0">
        <w:rPr>
          <w:rFonts w:cs="Times New Roman"/>
          <w:szCs w:val="20"/>
        </w:rPr>
        <w:t>PR</w:t>
      </w:r>
      <w:r w:rsidRPr="00B03EA0">
        <w:rPr>
          <w:rFonts w:cs="Times New Roman"/>
          <w:i/>
          <w:szCs w:val="20"/>
          <w:vertAlign w:val="subscript"/>
        </w:rPr>
        <w:t>k</w:t>
      </w:r>
      <w:proofErr w:type="spellEnd"/>
      <w:r w:rsidRPr="00B03EA0">
        <w:rPr>
          <w:rFonts w:cs="Times New Roman"/>
          <w:szCs w:val="20"/>
        </w:rPr>
        <w:t xml:space="preserve"> are defined above and SR</w:t>
      </w:r>
      <w:r w:rsidRPr="00B03EA0">
        <w:rPr>
          <w:rFonts w:cs="Times New Roman"/>
          <w:i/>
          <w:szCs w:val="20"/>
          <w:vertAlign w:val="subscript"/>
        </w:rPr>
        <w:t>s</w:t>
      </w:r>
      <w:r w:rsidRPr="00B03EA0">
        <w:rPr>
          <w:rFonts w:cs="Times New Roman"/>
          <w:szCs w:val="20"/>
        </w:rPr>
        <w:t xml:space="preserve"> is the ratio adjustment of NHANES prevalence in non-US-born for females (</w:t>
      </w:r>
      <w:r w:rsidRPr="00B03EA0">
        <w:rPr>
          <w:rFonts w:cs="Times New Roman"/>
          <w:i/>
          <w:szCs w:val="20"/>
        </w:rPr>
        <w:t>s</w:t>
      </w:r>
      <w:r w:rsidRPr="00B03EA0">
        <w:rPr>
          <w:rFonts w:cs="Times New Roman"/>
          <w:szCs w:val="20"/>
        </w:rPr>
        <w:t>=0) and males (</w:t>
      </w:r>
      <w:r w:rsidRPr="00B03EA0">
        <w:rPr>
          <w:rFonts w:cs="Times New Roman"/>
          <w:i/>
          <w:szCs w:val="20"/>
        </w:rPr>
        <w:t>s</w:t>
      </w:r>
      <w:r w:rsidRPr="00B03EA0">
        <w:rPr>
          <w:rFonts w:cs="Times New Roman"/>
          <w:szCs w:val="20"/>
        </w:rPr>
        <w:t>=1) divided by the average of</w:t>
      </w:r>
      <w:r>
        <w:rPr>
          <w:rFonts w:cs="Times New Roman"/>
          <w:szCs w:val="20"/>
        </w:rPr>
        <w:t xml:space="preserve"> those two prevalence estimates</w:t>
      </w:r>
      <w:r w:rsidRPr="00B03EA0">
        <w:rPr>
          <w:rFonts w:cs="Times New Roman"/>
          <w:szCs w:val="20"/>
        </w:rPr>
        <w:t xml:space="preserve"> </w:t>
      </w:r>
      <w:r>
        <w:rPr>
          <w:rFonts w:cs="Times New Roman"/>
          <w:szCs w:val="20"/>
        </w:rPr>
        <w:t>(Table E1, Table E2).</w:t>
      </w:r>
    </w:p>
    <w:p w14:paraId="61554C83" w14:textId="77777777" w:rsidR="00436146" w:rsidRPr="006C67FE" w:rsidRDefault="00436146" w:rsidP="00436146">
      <w:pPr>
        <w:spacing w:line="240" w:lineRule="auto"/>
        <w:rPr>
          <w:rFonts w:cs="Times New Roman"/>
          <w:szCs w:val="20"/>
        </w:rPr>
      </w:pPr>
    </w:p>
    <w:p w14:paraId="20653255" w14:textId="77777777" w:rsidR="00436146" w:rsidRPr="006C67FE" w:rsidRDefault="00436146" w:rsidP="00436146">
      <w:pPr>
        <w:spacing w:line="240" w:lineRule="auto"/>
        <w:rPr>
          <w:rFonts w:cs="Times New Roman"/>
          <w:szCs w:val="20"/>
        </w:rPr>
      </w:pPr>
      <w:r w:rsidRPr="006C67FE">
        <w:rPr>
          <w:rFonts w:cs="Times New Roman"/>
          <w:b/>
          <w:szCs w:val="20"/>
        </w:rPr>
        <w:t>TB Chain</w:t>
      </w:r>
    </w:p>
    <w:p w14:paraId="65489A34" w14:textId="77777777" w:rsidR="00436146" w:rsidRPr="002C28F8" w:rsidRDefault="00436146" w:rsidP="00436146">
      <w:pPr>
        <w:spacing w:line="240" w:lineRule="auto"/>
        <w:rPr>
          <w:b/>
          <w:szCs w:val="20"/>
        </w:rPr>
      </w:pPr>
    </w:p>
    <w:p w14:paraId="2D50A6FE" w14:textId="47D73766" w:rsidR="00436146" w:rsidRPr="00CD75B8" w:rsidRDefault="00436146" w:rsidP="00436146">
      <w:pPr>
        <w:spacing w:line="240" w:lineRule="auto"/>
        <w:rPr>
          <w:rFonts w:cs="Times New Roman"/>
          <w:szCs w:val="20"/>
        </w:rPr>
      </w:pPr>
      <w:r w:rsidRPr="002C28F8">
        <w:rPr>
          <w:szCs w:val="20"/>
        </w:rPr>
        <w:t>The TB chain had 68 states, representing all the disease states and testing/treatment possibilities. Individuals began in either uninfected, slow latent (remote LTBI), fast latent (recent LTB</w:t>
      </w:r>
      <w:r>
        <w:rPr>
          <w:szCs w:val="20"/>
        </w:rPr>
        <w:t>I), or slow latent status-post six</w:t>
      </w:r>
      <w:r w:rsidRPr="002C28F8">
        <w:rPr>
          <w:szCs w:val="20"/>
        </w:rPr>
        <w:t xml:space="preserve"> months of </w:t>
      </w:r>
      <w:r>
        <w:rPr>
          <w:szCs w:val="20"/>
        </w:rPr>
        <w:t>isoniazid</w:t>
      </w:r>
      <w:r w:rsidRPr="002C28F8">
        <w:rPr>
          <w:szCs w:val="20"/>
        </w:rPr>
        <w:t xml:space="preserve"> treatment. </w:t>
      </w:r>
      <w:r w:rsidRPr="002C28F8">
        <w:rPr>
          <w:rFonts w:cs="Times New Roman"/>
          <w:szCs w:val="20"/>
        </w:rPr>
        <w:t xml:space="preserve">LTBI prevalence was estimated from the 2011-2012 NHANES by race/ethnicity, age group, and </w:t>
      </w:r>
      <w:r>
        <w:rPr>
          <w:rFonts w:cs="Times New Roman"/>
          <w:szCs w:val="20"/>
        </w:rPr>
        <w:t>US-born</w:t>
      </w:r>
      <w:r w:rsidRPr="002C28F8">
        <w:rPr>
          <w:rFonts w:cs="Times New Roman"/>
          <w:szCs w:val="20"/>
        </w:rPr>
        <w:t>/</w:t>
      </w:r>
      <w:r>
        <w:rPr>
          <w:rFonts w:cs="Times New Roman"/>
          <w:szCs w:val="20"/>
        </w:rPr>
        <w:t>non-US-born</w:t>
      </w:r>
      <w:r w:rsidRPr="002C28F8">
        <w:rPr>
          <w:rFonts w:cs="Times New Roman"/>
          <w:szCs w:val="20"/>
        </w:rPr>
        <w:t xml:space="preserve"> status. </w:t>
      </w:r>
      <w:r>
        <w:rPr>
          <w:szCs w:val="20"/>
        </w:rPr>
        <w:t xml:space="preserve">We began the model with 16% of US-born LTBI and 12% of NUSB LTBI previously treated, as suggested by data from NHANES </w:t>
      </w:r>
      <w:r>
        <w:rPr>
          <w:szCs w:val="20"/>
        </w:rPr>
        <w:fldChar w:fldCharType="begin"/>
      </w:r>
      <w:r w:rsidR="00201160">
        <w:rPr>
          <w:szCs w:val="20"/>
        </w:rPr>
        <w:instrText xml:space="preserve"> ADDIN ZOTERO_ITEM CSL_CITATION {"citationID":"1qbdbpjfq1","properties":{"formattedCitation":"(E11)","plainCitation":"(E11)"},"citationItems":[{"id":4994,"uris":["http://zotero.org/users/1988472/items/25894XWJ"],"uri":["http://zotero.org/users/1988472/items/25894XWJ"],"itemData":{"id":4994,"type":"article-journal","title":"Prevalence of tuberculosis infection in the United States population: the national health and nutrition examination survey, 1999–2000","container-title":"American journal of respiratory and critical care medicine","page":"348–355","volume":"177","issue":"3","author":[{"family":"Bennett","given":"Diane E"},{"family":"Courval","given":"Jeanne M"},{"family":"Onorato","given":"Ida"},{"family":"Agerton","given":"Tracy"},{"family":"Gibson","given":"Judy D"},{"family":"Lambert","given":"Lauren"},{"family":"McQuillan","given":"Geraldine M"},{"family":"Lewis","given":"Brenda"},{"family":"Navin","given":"Thomas R"},{"family":"Castro","given":"Kenneth G"}],"issued":{"date-parts":[["2008"]]}}}],"schema":"https://github.com/citation-style-language/schema/raw/master/csl-citation.json"} </w:instrText>
      </w:r>
      <w:r>
        <w:rPr>
          <w:szCs w:val="20"/>
        </w:rPr>
        <w:fldChar w:fldCharType="separate"/>
      </w:r>
      <w:r w:rsidR="00201160">
        <w:rPr>
          <w:noProof/>
          <w:szCs w:val="20"/>
        </w:rPr>
        <w:t>(E11)</w:t>
      </w:r>
      <w:r>
        <w:rPr>
          <w:szCs w:val="20"/>
        </w:rPr>
        <w:fldChar w:fldCharType="end"/>
      </w:r>
      <w:r>
        <w:rPr>
          <w:szCs w:val="20"/>
        </w:rPr>
        <w:t xml:space="preserve">. </w:t>
      </w:r>
      <w:r>
        <w:t xml:space="preserve">The percent of LTBI from recent-transmission was 1.8% and 4.2% of all LTBI for US-born and non-US-born, respectively, which was interpolated from recent-transmission cases from 2014 and the trend of pediatric cases from 2001-2014. This process is described fully in the “calibration” section below. </w:t>
      </w:r>
      <w:r>
        <w:rPr>
          <w:szCs w:val="20"/>
        </w:rPr>
        <w:t xml:space="preserve"> LTBI prevalence in NUSB entrants was assumed to decline by a relative 1.9% annually as an approximation of global TB control efforts </w:t>
      </w:r>
      <w:r>
        <w:rPr>
          <w:szCs w:val="20"/>
        </w:rPr>
        <w:fldChar w:fldCharType="begin"/>
      </w:r>
      <w:r w:rsidR="00201160">
        <w:rPr>
          <w:szCs w:val="20"/>
        </w:rPr>
        <w:instrText xml:space="preserve"> ADDIN ZOTERO_ITEM CSL_CITATION {"citationID":"2l961re7ju","properties":{"formattedCitation":"(E12)","plainCitation":"(E12)"},"citationItems":[{"id":725,"uris":["http://zotero.org/users/1988472/items/5D9GWCSB"],"uri":["http://zotero.org/users/1988472/items/5D9GWCSB"],"itemData":{"id":725,"type":"article-journal","title":"Trends in tuberculosis incidence and their determinants in 134 countries","container-title":"Bulletin of the World Health Organization","page":"683–691","volume":"87","issue":"9","author":[{"family":"Dye","given":"C"},{"family":"Lönnroth","given":"K"},{"family":"Jaramillo","given":"E"},{"family":"Williams","given":"BG"},{"family":"Raviglione","given":"M"}],"issued":{"date-parts":[["2009"]]}}}],"schema":"https://github.com/citation-style-language/schema/raw/master/csl-citation.json"} </w:instrText>
      </w:r>
      <w:r>
        <w:rPr>
          <w:szCs w:val="20"/>
        </w:rPr>
        <w:fldChar w:fldCharType="separate"/>
      </w:r>
      <w:r w:rsidR="00201160">
        <w:rPr>
          <w:noProof/>
          <w:szCs w:val="20"/>
        </w:rPr>
        <w:t>(E12)</w:t>
      </w:r>
      <w:r>
        <w:rPr>
          <w:szCs w:val="20"/>
        </w:rPr>
        <w:fldChar w:fldCharType="end"/>
      </w:r>
      <w:r>
        <w:rPr>
          <w:szCs w:val="20"/>
        </w:rPr>
        <w:t>.</w:t>
      </w:r>
      <w:r>
        <w:rPr>
          <w:b/>
          <w:szCs w:val="20"/>
        </w:rPr>
        <w:t xml:space="preserve"> </w:t>
      </w:r>
    </w:p>
    <w:p w14:paraId="0A23198C" w14:textId="77777777" w:rsidR="00436146" w:rsidRDefault="00436146" w:rsidP="00436146">
      <w:pPr>
        <w:spacing w:line="240" w:lineRule="auto"/>
        <w:rPr>
          <w:b/>
          <w:szCs w:val="20"/>
        </w:rPr>
      </w:pPr>
    </w:p>
    <w:p w14:paraId="7F97B6F8" w14:textId="77777777" w:rsidR="00436146" w:rsidRPr="005C4450" w:rsidRDefault="00436146" w:rsidP="00436146">
      <w:pPr>
        <w:spacing w:line="240" w:lineRule="auto"/>
        <w:rPr>
          <w:szCs w:val="20"/>
        </w:rPr>
      </w:pPr>
      <w:r>
        <w:t xml:space="preserve">Individuals in slow latent or fast latent could self-clear the infection at a set rate or progress to active disease. Active disease was modeled initially as an untreated group, with a 90% monthly transition into a set of tunnel states representing six months of active disease treatment. Individuals could die or default from active treatment. </w:t>
      </w:r>
    </w:p>
    <w:p w14:paraId="7A534140" w14:textId="77777777" w:rsidR="00436146" w:rsidRDefault="00436146" w:rsidP="00436146">
      <w:pPr>
        <w:spacing w:line="240" w:lineRule="auto"/>
      </w:pPr>
    </w:p>
    <w:p w14:paraId="66FB2983" w14:textId="77777777" w:rsidR="00436146" w:rsidRPr="005C4450" w:rsidRDefault="00436146" w:rsidP="00436146">
      <w:pPr>
        <w:spacing w:line="240" w:lineRule="auto"/>
        <w:rPr>
          <w:b/>
        </w:rPr>
      </w:pPr>
      <w:r w:rsidRPr="005C4450">
        <w:rPr>
          <w:b/>
        </w:rPr>
        <w:t>LTBI testing</w:t>
      </w:r>
    </w:p>
    <w:p w14:paraId="4C746AC5" w14:textId="77777777" w:rsidR="00436146" w:rsidRDefault="00436146" w:rsidP="00436146">
      <w:pPr>
        <w:spacing w:line="240" w:lineRule="auto"/>
        <w:rPr>
          <w:b/>
          <w:szCs w:val="20"/>
        </w:rPr>
      </w:pPr>
    </w:p>
    <w:p w14:paraId="2930DBCA" w14:textId="77777777" w:rsidR="00436146" w:rsidRDefault="00436146" w:rsidP="00436146">
      <w:pPr>
        <w:spacing w:line="240" w:lineRule="auto"/>
        <w:rPr>
          <w:szCs w:val="20"/>
        </w:rPr>
      </w:pPr>
      <w:r>
        <w:rPr>
          <w:szCs w:val="20"/>
        </w:rPr>
        <w:t xml:space="preserve">Individuals were chosen for testing through an uptake probability. If individuals qualified for a certain testing intervention, they would have a chance to be tested every cycle. Two tests were analyzed: </w:t>
      </w:r>
      <w:r w:rsidRPr="005C4450">
        <w:rPr>
          <w:szCs w:val="20"/>
        </w:rPr>
        <w:t>tuberculin skin testing (TST) and u</w:t>
      </w:r>
      <w:r>
        <w:rPr>
          <w:szCs w:val="20"/>
        </w:rPr>
        <w:t xml:space="preserve">se of </w:t>
      </w:r>
      <w:proofErr w:type="spellStart"/>
      <w:r>
        <w:rPr>
          <w:szCs w:val="20"/>
        </w:rPr>
        <w:t>QuantiFERON</w:t>
      </w:r>
      <w:proofErr w:type="spellEnd"/>
      <w:r>
        <w:rPr>
          <w:szCs w:val="20"/>
        </w:rPr>
        <w:t xml:space="preserve">-TB Gold (QFT). TST and QFT had total costs of $9.50 and </w:t>
      </w:r>
      <w:r w:rsidRPr="00CD75B8">
        <w:rPr>
          <w:szCs w:val="20"/>
        </w:rPr>
        <w:t>$84.35</w:t>
      </w:r>
      <w:r>
        <w:rPr>
          <w:szCs w:val="20"/>
        </w:rPr>
        <w:t xml:space="preserve"> respectively, and we assumed a base sensitivity of 83% and 85%, respectively. Specificities of 95% and 99% were used for TST and QFT, respectively. We assumed that the TST was less specific in the non-US-born population due to the </w:t>
      </w:r>
      <w:r w:rsidRPr="00B44840">
        <w:rPr>
          <w:szCs w:val="20"/>
        </w:rPr>
        <w:t>Bacillus</w:t>
      </w:r>
      <w:r>
        <w:rPr>
          <w:szCs w:val="20"/>
        </w:rPr>
        <w:t xml:space="preserve"> </w:t>
      </w:r>
      <w:proofErr w:type="spellStart"/>
      <w:r>
        <w:rPr>
          <w:szCs w:val="20"/>
        </w:rPr>
        <w:t>Calmette</w:t>
      </w:r>
      <w:proofErr w:type="spellEnd"/>
      <w:r>
        <w:rPr>
          <w:szCs w:val="20"/>
        </w:rPr>
        <w:t>–</w:t>
      </w:r>
      <w:proofErr w:type="spellStart"/>
      <w:r>
        <w:rPr>
          <w:szCs w:val="20"/>
        </w:rPr>
        <w:t>Guérin</w:t>
      </w:r>
      <w:proofErr w:type="spellEnd"/>
      <w:r>
        <w:rPr>
          <w:szCs w:val="20"/>
        </w:rPr>
        <w:t xml:space="preserve"> (BCG) vaccine, and that the immunosuppressive effects of HIV and ESRD had a negative impact on both TST and IGRA test performance (Table E3). Treatment uptake after a positive test varied: 83% was used for QFT, while 76% was used for TST. To evaluate the cost of testing, we included the costs of test reagents, labor, and recruitment. Individuals were able to be re-tested for LTBI at any time within one year, unless they have previously completed treatment. </w:t>
      </w:r>
    </w:p>
    <w:p w14:paraId="526C8E27" w14:textId="77777777" w:rsidR="00436146" w:rsidRDefault="00436146" w:rsidP="00436146">
      <w:pPr>
        <w:spacing w:line="240" w:lineRule="auto"/>
        <w:rPr>
          <w:szCs w:val="20"/>
        </w:rPr>
      </w:pPr>
    </w:p>
    <w:p w14:paraId="299649BB" w14:textId="77777777" w:rsidR="00436146" w:rsidRPr="005C4450" w:rsidRDefault="00436146" w:rsidP="00436146">
      <w:pPr>
        <w:spacing w:line="240" w:lineRule="auto"/>
        <w:rPr>
          <w:b/>
          <w:szCs w:val="20"/>
        </w:rPr>
      </w:pPr>
      <w:r w:rsidRPr="005C4450">
        <w:rPr>
          <w:b/>
          <w:szCs w:val="20"/>
        </w:rPr>
        <w:t>LTBI treatment</w:t>
      </w:r>
    </w:p>
    <w:p w14:paraId="0597636E" w14:textId="77777777" w:rsidR="00436146" w:rsidRDefault="00436146" w:rsidP="00436146">
      <w:pPr>
        <w:spacing w:line="240" w:lineRule="auto"/>
      </w:pPr>
    </w:p>
    <w:p w14:paraId="1BCE13EF" w14:textId="2E37EF52" w:rsidR="00436146" w:rsidRDefault="00436146" w:rsidP="00436146">
      <w:pPr>
        <w:spacing w:line="240" w:lineRule="auto"/>
      </w:pPr>
      <w:r>
        <w:t xml:space="preserve">LTBI treatment was initiated after being tested positive; both true positives and false positives could undertake treatment. We evaluated two treatment options: self-administered isoniazid for six months (6H) and </w:t>
      </w:r>
      <w:r w:rsidRPr="005C4450">
        <w:t xml:space="preserve">three months of weekly directly-observed isoniazid and </w:t>
      </w:r>
      <w:proofErr w:type="spellStart"/>
      <w:r w:rsidRPr="005C4450">
        <w:t>rifapentine</w:t>
      </w:r>
      <w:proofErr w:type="spellEnd"/>
      <w:r w:rsidRPr="005C4450">
        <w:t xml:space="preserve"> (3HP/DOT). </w:t>
      </w:r>
      <w:r>
        <w:t xml:space="preserve">We assumed constant monthly drop out rates of 7.4% (5.5 - 9.7) for the isoniazid-only arm and 6.4% (4.8 - 8.0) in the 3HP/DOT arm </w:t>
      </w:r>
      <w:r>
        <w:fldChar w:fldCharType="begin"/>
      </w:r>
      <w:r w:rsidR="00201160">
        <w:instrText xml:space="preserve"> ADDIN ZOTERO_ITEM CSL_CITATION {"citationID":"a2eev0jmf6m","properties":{"formattedCitation":"{\\rtf (E13\\uc0\\u8211{}15)}","plainCitation":"(E13–15)"},"citationItems":[{"id":1714,"uris":["http://zotero.org/users/1988472/items/RUQDNKRI"],"uri":["http://zotero.org/users/1988472/items/RUQDNKRI"],"itemData":{"id":1714,"type":"article-journal","title":"Latent TB infection treatment acceptance and completion in the United States and Canada","container-title":"CHEST Journal","page":"401–409","volume":"137","issue":"2","author":[{"family":"Horsburgh","given":"C Robert"},{"family":"Goldberg","given":"Stefan"},{"family":"Bethel","given":"James"},{"family":"Chen","given":"Shande"},{"family":"Colson","given":"Paul W"},{"family":"Hirsch-Moverman","given":"Yael"},{"family":"Hughes","given":"Stephen"},{"family":"Shrestha-Kuwahara","given":"Robin"},{"family":"Sterling","given":"Timothy R"},{"family":"Wall","given":"Kirsten"},{"literal":"others"}],"issued":{"date-parts":[["2010"]]}}},{"id":1785,"uris":["http://zotero.org/users/1988472/items/T7G3SGRK"],"uri":["http://zotero.org/users/1988472/items/T7G3SGRK"],"itemData":{"id":1785,"type":"article-journal","title":"Adverse events with 4 months of rifampin therapy or 9 months of isoniazid therapy for latent tuberculosis infection: a randomized trial","container-title":"Annals of Internal Medicine","page":"689–697","volume":"149","issue":"10","author":[{"family":"Menzies","given":"Dick"},{"family":"Long","given":"Richard"},{"family":"Trajman","given":"Anete"},{"family":"Dion","given":"Marie-Josée"},{"family":"Yang","given":"Jae"},{"family":"Al Jahdali","given":"Hamdan"},{"family":"Memish","given":"Ziad"},{"family":"Khan","given":"Kamran"},{"family":"Gardam","given":"Michael"},{"family":"Hoeppner","given":"Vernon"},{"literal":"others"}],"issued":{"date-parts":[["2008"]]}}},{"id":1254,"uris":["http://zotero.org/users/1988472/items/GJ9DH59G"],"uri":["http://zotero.org/users/1988472/items/GJ9DH59G"],"itemData":{"id":1254,"type":"article-journal","title":"Three months of rifapentine and isoniazid for latent tuberculosis infection","container-title":"New England Journal of Medicine","page":"2155–2166","volume":"365","issue":"23","author":[{"family":"Sterling","given":"Timothy R"},{"family":"Villarino","given":"M Elsa"},{"family":"Borisov","given":"Andrey S"},{"family":"Shang","given":"Nong"},{"family":"Gordin","given":"Fred"},{"family":"Bliven-Sizemore","given":"Erin"},{"family":"Hackman","given":"Judith"},{"family":"Hamilton","given":"Carol Dukes"},{"family":"Menzies","given":"Dick"},{"family":"Kerrigan","given":"Amy"},{"literal":"others"}],"issued":{"date-parts":[["2011"]]}}}],"schema":"https://github.com/citation-style-language/schema/raw/master/csl-citation.json"} </w:instrText>
      </w:r>
      <w:r>
        <w:fldChar w:fldCharType="separate"/>
      </w:r>
      <w:r w:rsidR="00201160" w:rsidRPr="00201160">
        <w:rPr>
          <w:rFonts w:eastAsia="Times New Roman" w:cs="Times New Roman"/>
        </w:rPr>
        <w:t>(E13–15)</w:t>
      </w:r>
      <w:r>
        <w:fldChar w:fldCharType="end"/>
      </w:r>
      <w:r>
        <w:t>. This results in a 62% (54 – 71) completion for 6H and an 82% (</w:t>
      </w:r>
      <w:r w:rsidRPr="00174610">
        <w:t>0.62</w:t>
      </w:r>
      <w:r>
        <w:t xml:space="preserve"> –</w:t>
      </w:r>
      <w:r w:rsidRPr="00174610">
        <w:t>1.00</w:t>
      </w:r>
      <w:r>
        <w:t xml:space="preserve">) completion for 3HP. </w:t>
      </w:r>
    </w:p>
    <w:p w14:paraId="4BDF684D" w14:textId="77777777" w:rsidR="00436146" w:rsidRDefault="00436146" w:rsidP="00436146">
      <w:pPr>
        <w:spacing w:line="240" w:lineRule="auto"/>
      </w:pPr>
    </w:p>
    <w:p w14:paraId="54B13FD1" w14:textId="77777777" w:rsidR="00436146" w:rsidRDefault="00436146" w:rsidP="00436146">
      <w:pPr>
        <w:spacing w:line="240" w:lineRule="auto"/>
        <w:rPr>
          <w:szCs w:val="20"/>
        </w:rPr>
      </w:pPr>
      <w:r>
        <w:rPr>
          <w:szCs w:val="20"/>
        </w:rPr>
        <w:t>If individuals underwent a full course of treatment, they achieved lifetime protection, were not susceptible to reinfection, and would not undergo future testing or treatment; those dropping out before treatment completion garnered no benefit. The effects of multidrug-resistant TB were not incorporated.</w:t>
      </w:r>
    </w:p>
    <w:p w14:paraId="2EEA19B5" w14:textId="77777777" w:rsidR="00436146" w:rsidRDefault="00436146" w:rsidP="00436146">
      <w:pPr>
        <w:spacing w:line="240" w:lineRule="auto"/>
        <w:rPr>
          <w:szCs w:val="20"/>
        </w:rPr>
      </w:pPr>
    </w:p>
    <w:p w14:paraId="65E8F3FE" w14:textId="77777777" w:rsidR="00436146" w:rsidRPr="005C4450" w:rsidRDefault="00436146" w:rsidP="00436146">
      <w:pPr>
        <w:spacing w:line="240" w:lineRule="auto"/>
        <w:rPr>
          <w:b/>
        </w:rPr>
      </w:pPr>
      <w:r w:rsidRPr="005C4450">
        <w:rPr>
          <w:b/>
          <w:szCs w:val="20"/>
        </w:rPr>
        <w:t>Transmission</w:t>
      </w:r>
    </w:p>
    <w:p w14:paraId="34E53CCD" w14:textId="77777777" w:rsidR="00436146" w:rsidRPr="00CF60A7" w:rsidRDefault="00436146" w:rsidP="00436146">
      <w:pPr>
        <w:spacing w:line="240" w:lineRule="auto"/>
      </w:pPr>
    </w:p>
    <w:p w14:paraId="595A6308" w14:textId="32611D22" w:rsidR="00436146" w:rsidRPr="00BB5B05" w:rsidRDefault="00436146" w:rsidP="00436146">
      <w:pPr>
        <w:spacing w:line="240" w:lineRule="auto"/>
        <w:rPr>
          <w:szCs w:val="20"/>
        </w:rPr>
      </w:pPr>
      <w:r>
        <w:rPr>
          <w:szCs w:val="20"/>
        </w:rPr>
        <w:lastRenderedPageBreak/>
        <w:t xml:space="preserve">Each case of active TB was assumed to propagate additional cases of LTBI, </w:t>
      </w:r>
      <w:proofErr w:type="spellStart"/>
      <w:r>
        <w:rPr>
          <w:szCs w:val="20"/>
        </w:rPr>
        <w:t>ie</w:t>
      </w:r>
      <w:proofErr w:type="spellEnd"/>
      <w:r>
        <w:rPr>
          <w:szCs w:val="20"/>
        </w:rPr>
        <w:t xml:space="preserve"> a </w:t>
      </w:r>
      <w:r w:rsidRPr="00B53D42">
        <w:rPr>
          <w:i/>
          <w:szCs w:val="20"/>
        </w:rPr>
        <w:t>transmissibility coefficient</w:t>
      </w:r>
      <w:r>
        <w:rPr>
          <w:szCs w:val="20"/>
        </w:rPr>
        <w:t>, with 80% of that risk accounted for within an individual’s race/ethnicity and nativity (US-born/non-US-born) group, and 20%</w:t>
      </w:r>
      <w:r w:rsidR="00201160">
        <w:rPr>
          <w:szCs w:val="20"/>
        </w:rPr>
        <w:t xml:space="preserve"> within the general population. </w:t>
      </w:r>
      <w:r>
        <w:rPr>
          <w:szCs w:val="20"/>
        </w:rPr>
        <w:t xml:space="preserve">This is consistent with evidence that recent transmission occurs more commonly within race/ethnic minority and immigrant populations within California </w:t>
      </w:r>
      <w:r>
        <w:rPr>
          <w:szCs w:val="20"/>
        </w:rPr>
        <w:fldChar w:fldCharType="begin"/>
      </w:r>
      <w:r w:rsidR="00201160">
        <w:rPr>
          <w:szCs w:val="20"/>
        </w:rPr>
        <w:instrText xml:space="preserve"> ADDIN ZOTERO_ITEM CSL_CITATION {"citationID":"C8fBaiO1","properties":{"formattedCitation":"(E16)","plainCitation":"(E16)"},"citationItems":[{"id":1425,"uris":["http://zotero.org/users/1988472/items/K4AB589T"],"uri":["http://zotero.org/users/1988472/items/K4AB589T"],"itemData":{"id":1425,"type":"article-journal","title":"An ecological study of tuberculosis transmission in California","container-title":"American journal of public health","page":"685","volume":"96","issue":"4","author":[{"family":"Myers","given":"Ward P"},{"family":"Westenhouse","given":"Janice L"},{"family":"Flood","given":"Jennifer"},{"family":"Riley","given":"Lee W"}],"issued":{"date-parts":[["2006"]]}}}],"schema":"https://github.com/citation-style-language/schema/raw/master/csl-citation.json"} </w:instrText>
      </w:r>
      <w:r>
        <w:rPr>
          <w:szCs w:val="20"/>
        </w:rPr>
        <w:fldChar w:fldCharType="separate"/>
      </w:r>
      <w:r w:rsidR="00201160">
        <w:rPr>
          <w:rFonts w:eastAsia="Times New Roman" w:cs="Times New Roman"/>
        </w:rPr>
        <w:t>(E16)</w:t>
      </w:r>
      <w:r>
        <w:rPr>
          <w:szCs w:val="20"/>
        </w:rPr>
        <w:fldChar w:fldCharType="end"/>
      </w:r>
      <w:r>
        <w:rPr>
          <w:szCs w:val="20"/>
        </w:rPr>
        <w:t xml:space="preserve">. We included active case finding, assuming that each active case investigation identified 2.5 infections, 75% of which were recent transmissions. These assumptions were estimated from internal CDPH records of case-finding. The overall transmissibility coefficient, as well as coefficients for specific subpopulations, were varied through calibration as described below. The final overall starting coefficient was 4 cases of LTBI for every case of active disease. </w:t>
      </w:r>
    </w:p>
    <w:p w14:paraId="7B960C95" w14:textId="77777777" w:rsidR="00436146" w:rsidRDefault="00436146" w:rsidP="00436146">
      <w:pPr>
        <w:spacing w:line="240" w:lineRule="auto"/>
        <w:rPr>
          <w:szCs w:val="20"/>
        </w:rPr>
      </w:pPr>
    </w:p>
    <w:p w14:paraId="466DB8CC" w14:textId="77777777" w:rsidR="00436146" w:rsidRPr="00881319" w:rsidRDefault="00436146" w:rsidP="00436146">
      <w:pPr>
        <w:spacing w:line="240" w:lineRule="auto"/>
        <w:rPr>
          <w:b/>
          <w:szCs w:val="20"/>
        </w:rPr>
      </w:pPr>
      <w:r w:rsidRPr="00881319">
        <w:rPr>
          <w:b/>
          <w:szCs w:val="20"/>
        </w:rPr>
        <w:t>Medical risk factors</w:t>
      </w:r>
    </w:p>
    <w:p w14:paraId="7A574FEF" w14:textId="77777777" w:rsidR="00436146" w:rsidRDefault="00436146" w:rsidP="00436146">
      <w:pPr>
        <w:spacing w:line="240" w:lineRule="auto"/>
        <w:rPr>
          <w:szCs w:val="20"/>
        </w:rPr>
      </w:pPr>
    </w:p>
    <w:p w14:paraId="02A27E43" w14:textId="4F4D853E" w:rsidR="00436146" w:rsidRDefault="00436146" w:rsidP="00436146">
      <w:pPr>
        <w:spacing w:line="240" w:lineRule="auto"/>
        <w:rPr>
          <w:szCs w:val="20"/>
        </w:rPr>
      </w:pPr>
      <w:r>
        <w:rPr>
          <w:szCs w:val="20"/>
        </w:rPr>
        <w:t xml:space="preserve">We estimated the prevalence of each risk factor in California using California-specific data if possible, and national-level estimates otherwise (Table </w:t>
      </w:r>
      <w:r w:rsidR="00201160">
        <w:rPr>
          <w:szCs w:val="20"/>
        </w:rPr>
        <w:t>E</w:t>
      </w:r>
      <w:r>
        <w:rPr>
          <w:szCs w:val="20"/>
        </w:rPr>
        <w:t>4).</w:t>
      </w:r>
    </w:p>
    <w:p w14:paraId="2ED27C53" w14:textId="77777777" w:rsidR="00436146" w:rsidRDefault="00436146" w:rsidP="00436146">
      <w:pPr>
        <w:spacing w:line="240" w:lineRule="auto"/>
        <w:rPr>
          <w:szCs w:val="20"/>
        </w:rPr>
      </w:pPr>
    </w:p>
    <w:p w14:paraId="5BF84788" w14:textId="4BA209D3" w:rsidR="00436146" w:rsidRDefault="00436146" w:rsidP="00436146">
      <w:pPr>
        <w:spacing w:line="240" w:lineRule="auto"/>
        <w:rPr>
          <w:szCs w:val="20"/>
        </w:rPr>
      </w:pPr>
      <w:r>
        <w:rPr>
          <w:szCs w:val="20"/>
        </w:rPr>
        <w:t xml:space="preserve">No data source was available for TNF-alpha use, so we estimated its use from the prevalence of the use of these drugs in rheumatoid arthritis and IBD (Table </w:t>
      </w:r>
      <w:r w:rsidR="00201160">
        <w:rPr>
          <w:szCs w:val="20"/>
        </w:rPr>
        <w:t>E4</w:t>
      </w:r>
      <w:r>
        <w:rPr>
          <w:szCs w:val="20"/>
        </w:rPr>
        <w:t xml:space="preserve">). Individuals could have more than one risk factor, and additional relative risks were assumed to be multiplicative. Thus, prevalence of each medical risk factor was stratified by sex, age, race/ethnicity and nativity where available. </w:t>
      </w:r>
    </w:p>
    <w:p w14:paraId="5EDD12E8" w14:textId="77777777" w:rsidR="00436146" w:rsidRDefault="00436146" w:rsidP="00436146">
      <w:pPr>
        <w:spacing w:line="240" w:lineRule="auto"/>
        <w:rPr>
          <w:szCs w:val="20"/>
        </w:rPr>
      </w:pPr>
    </w:p>
    <w:p w14:paraId="622B3AB3" w14:textId="4E17DAE5" w:rsidR="00436146" w:rsidRPr="00A433A0" w:rsidRDefault="00436146" w:rsidP="00436146">
      <w:pPr>
        <w:spacing w:line="240" w:lineRule="auto"/>
        <w:rPr>
          <w:szCs w:val="20"/>
        </w:rPr>
      </w:pPr>
      <w:r>
        <w:rPr>
          <w:szCs w:val="20"/>
        </w:rPr>
        <w:t xml:space="preserve">To estimate the relative risk (RR) of progression to active disease, we conducted a literature review and arrived at expert consensus among team members as to which estimates were most suitable for the at-risk Californian </w:t>
      </w:r>
      <w:r w:rsidRPr="001062FC">
        <w:rPr>
          <w:szCs w:val="20"/>
        </w:rPr>
        <w:t xml:space="preserve">population (Table </w:t>
      </w:r>
      <w:r w:rsidR="00201160">
        <w:rPr>
          <w:szCs w:val="20"/>
        </w:rPr>
        <w:t>E4</w:t>
      </w:r>
      <w:r w:rsidRPr="001062FC">
        <w:rPr>
          <w:szCs w:val="20"/>
        </w:rPr>
        <w:t>).  Each medical risk factor’s independent risk of mortality was incorporated as a standardized mortality ratio, which yielded a li</w:t>
      </w:r>
      <w:r w:rsidRPr="00A433A0">
        <w:rPr>
          <w:szCs w:val="20"/>
        </w:rPr>
        <w:t>fe expectancy once the conditions were distributed within the population</w:t>
      </w:r>
      <w:bookmarkStart w:id="0" w:name="h.20uibo27n0lc" w:colFirst="0" w:colLast="0"/>
      <w:bookmarkEnd w:id="0"/>
      <w:r w:rsidRPr="00A433A0">
        <w:rPr>
          <w:szCs w:val="20"/>
        </w:rPr>
        <w:t>.</w:t>
      </w:r>
    </w:p>
    <w:p w14:paraId="2F77DEDD" w14:textId="77777777" w:rsidR="00436146" w:rsidRPr="00A433A0" w:rsidRDefault="00436146" w:rsidP="00436146">
      <w:pPr>
        <w:spacing w:line="240" w:lineRule="auto"/>
        <w:rPr>
          <w:szCs w:val="20"/>
        </w:rPr>
      </w:pPr>
    </w:p>
    <w:p w14:paraId="24AD851A" w14:textId="21F04D3E" w:rsidR="00436146" w:rsidRPr="00A433A0" w:rsidRDefault="00436146" w:rsidP="00436146">
      <w:pPr>
        <w:spacing w:line="240" w:lineRule="auto"/>
        <w:rPr>
          <w:b/>
          <w:szCs w:val="20"/>
        </w:rPr>
      </w:pPr>
      <w:r w:rsidRPr="00A433A0">
        <w:rPr>
          <w:b/>
          <w:szCs w:val="20"/>
        </w:rPr>
        <w:t>Base</w:t>
      </w:r>
      <w:r w:rsidR="001B215D">
        <w:rPr>
          <w:b/>
          <w:szCs w:val="20"/>
        </w:rPr>
        <w:t xml:space="preserve"> case and intervention strategies</w:t>
      </w:r>
    </w:p>
    <w:p w14:paraId="2FD7EE7E" w14:textId="77777777" w:rsidR="00436146" w:rsidRPr="00A433A0" w:rsidRDefault="00436146" w:rsidP="00436146">
      <w:pPr>
        <w:spacing w:line="240" w:lineRule="auto"/>
        <w:rPr>
          <w:szCs w:val="20"/>
        </w:rPr>
      </w:pPr>
    </w:p>
    <w:p w14:paraId="09E52C85" w14:textId="757D2795" w:rsidR="00436146" w:rsidRPr="00A433A0" w:rsidRDefault="00436146" w:rsidP="00436146">
      <w:pPr>
        <w:spacing w:line="240" w:lineRule="auto"/>
        <w:rPr>
          <w:szCs w:val="20"/>
        </w:rPr>
      </w:pPr>
      <w:r w:rsidRPr="00A433A0">
        <w:rPr>
          <w:szCs w:val="20"/>
        </w:rPr>
        <w:t xml:space="preserve">We created a </w:t>
      </w:r>
      <w:proofErr w:type="spellStart"/>
      <w:r w:rsidRPr="00A433A0">
        <w:rPr>
          <w:szCs w:val="20"/>
        </w:rPr>
        <w:t>basecase</w:t>
      </w:r>
      <w:proofErr w:type="spellEnd"/>
      <w:r w:rsidRPr="001062FC">
        <w:rPr>
          <w:szCs w:val="20"/>
        </w:rPr>
        <w:t xml:space="preserve"> scenario that represents current testing and treatment, with </w:t>
      </w:r>
      <w:r w:rsidRPr="00A433A0">
        <w:rPr>
          <w:szCs w:val="20"/>
        </w:rPr>
        <w:t>healthcare workers required to have annual TB tests (</w:t>
      </w:r>
      <w:r w:rsidRPr="001062FC">
        <w:rPr>
          <w:szCs w:val="20"/>
        </w:rPr>
        <w:t>4.</w:t>
      </w:r>
      <w:r w:rsidRPr="00A433A0">
        <w:rPr>
          <w:szCs w:val="20"/>
        </w:rPr>
        <w:t>6</w:t>
      </w:r>
      <w:r w:rsidRPr="001062FC">
        <w:rPr>
          <w:szCs w:val="20"/>
        </w:rPr>
        <w:t xml:space="preserve">% of </w:t>
      </w:r>
      <w:r w:rsidRPr="00A433A0">
        <w:rPr>
          <w:szCs w:val="20"/>
        </w:rPr>
        <w:t xml:space="preserve">the population) were modeled as a distinct group </w:t>
      </w:r>
      <w:r w:rsidRPr="00A433A0">
        <w:rPr>
          <w:szCs w:val="20"/>
        </w:rPr>
        <w:fldChar w:fldCharType="begin"/>
      </w:r>
      <w:r w:rsidR="00201160">
        <w:rPr>
          <w:szCs w:val="20"/>
        </w:rPr>
        <w:instrText xml:space="preserve"> ADDIN ZOTERO_ITEM CSL_CITATION {"citationID":"1f8riu7ac6","properties":{"formattedCitation":"(E5)","plainCitation":"(E5)"},"citationItems":[{"id":1153,"uris":["http://zotero.org/users/1988472/items/EFBECUIZ"],"uri":["http://zotero.org/users/1988472/items/EFBECUIZ"],"itemData":{"id":1153,"type":"book","title":"Integrated Public Use Microdata Series: Version 7.0 [dataset]","publisher":"University of Minnesota","publisher-place":"Minneapolis","event-place":"Minneapolis","URL":"https://doi.org/10.18128/D010.V7.0","author":[{"family":"Ruggles","given":"Steven"},{"family":"Genadek","given":"Katie"},{"family":"Goeken","given":"Ronald"},{"family":"Grover","given":"Josiah"},{"family":"Sobek","given":"Matthew"}],"issued":{"date-parts":[["2017"]]}}}],"schema":"https://github.com/citation-style-language/schema/raw/master/csl-citation.json"} </w:instrText>
      </w:r>
      <w:r w:rsidRPr="00A433A0">
        <w:rPr>
          <w:szCs w:val="20"/>
        </w:rPr>
        <w:fldChar w:fldCharType="separate"/>
      </w:r>
      <w:r w:rsidR="00201160">
        <w:rPr>
          <w:noProof/>
          <w:szCs w:val="20"/>
        </w:rPr>
        <w:t>(E5)</w:t>
      </w:r>
      <w:r w:rsidRPr="00A433A0">
        <w:rPr>
          <w:szCs w:val="20"/>
        </w:rPr>
        <w:fldChar w:fldCharType="end"/>
      </w:r>
      <w:r w:rsidRPr="00A433A0">
        <w:rPr>
          <w:szCs w:val="20"/>
        </w:rPr>
        <w:t>. An additional random 2% of the population received a test every year, as determined through calibration.</w:t>
      </w:r>
      <w:r w:rsidRPr="001062FC">
        <w:rPr>
          <w:szCs w:val="20"/>
        </w:rPr>
        <w:t xml:space="preserve"> The base case scenario utilized a 50/50 mixture of the TST</w:t>
      </w:r>
      <w:r w:rsidRPr="00A433A0">
        <w:rPr>
          <w:szCs w:val="20"/>
        </w:rPr>
        <w:t xml:space="preserve"> and QFT and LTBI therapy of six months of self-administered isoniazid (6H).</w:t>
      </w:r>
    </w:p>
    <w:p w14:paraId="37E9AE81" w14:textId="77777777" w:rsidR="00436146" w:rsidRPr="00A433A0" w:rsidRDefault="00436146" w:rsidP="00436146">
      <w:pPr>
        <w:spacing w:line="240" w:lineRule="auto"/>
        <w:rPr>
          <w:szCs w:val="20"/>
        </w:rPr>
      </w:pPr>
    </w:p>
    <w:p w14:paraId="1AD84995" w14:textId="6C748953" w:rsidR="00436146" w:rsidRPr="005C4450" w:rsidRDefault="00436146" w:rsidP="00436146">
      <w:pPr>
        <w:spacing w:line="240" w:lineRule="auto"/>
        <w:rPr>
          <w:szCs w:val="20"/>
        </w:rPr>
      </w:pPr>
      <w:r w:rsidRPr="00A433A0">
        <w:rPr>
          <w:szCs w:val="20"/>
        </w:rPr>
        <w:t>We assessed four different strategies applied to the California population: (1) increased TTT in all with medical risk factors regardless of nativity,</w:t>
      </w:r>
      <w:r>
        <w:rPr>
          <w:szCs w:val="20"/>
        </w:rPr>
        <w:t xml:space="preserve"> (2) increased TTT in all non-US-born</w:t>
      </w:r>
      <w:r w:rsidRPr="005C4450">
        <w:rPr>
          <w:szCs w:val="20"/>
        </w:rPr>
        <w:t xml:space="preserve">, (3) increased TTT in all </w:t>
      </w:r>
      <w:r>
        <w:rPr>
          <w:szCs w:val="20"/>
        </w:rPr>
        <w:t xml:space="preserve">non-US-born </w:t>
      </w:r>
      <w:r w:rsidRPr="005C4450">
        <w:rPr>
          <w:szCs w:val="20"/>
        </w:rPr>
        <w:t>and all with medical risk factors regardless of nativity, and (4) increased TTT in all Californians (universal). For each strategy, we estimated the effects of increasing TTT by a factor of 2, 4, or 10. This created a total of twelve simulations in addition to the base case. Additional testing utilized QFT</w:t>
      </w:r>
      <w:r>
        <w:rPr>
          <w:szCs w:val="20"/>
        </w:rPr>
        <w:t xml:space="preserve"> and treatment was</w:t>
      </w:r>
      <w:r w:rsidRPr="005C4450">
        <w:rPr>
          <w:szCs w:val="20"/>
        </w:rPr>
        <w:t xml:space="preserve"> </w:t>
      </w:r>
      <w:r>
        <w:rPr>
          <w:szCs w:val="20"/>
        </w:rPr>
        <w:t>3HP/DOT</w:t>
      </w:r>
      <w:r w:rsidRPr="005C4450">
        <w:rPr>
          <w:szCs w:val="20"/>
        </w:rPr>
        <w:t>. For each of these strategies, we evaluated the total cases and net costs from 2017 to 2065.</w:t>
      </w:r>
      <w:r>
        <w:rPr>
          <w:szCs w:val="20"/>
        </w:rPr>
        <w:t xml:space="preserve"> </w:t>
      </w:r>
      <w:r w:rsidRPr="00AC0758">
        <w:rPr>
          <w:szCs w:val="20"/>
        </w:rPr>
        <w:t>Future costs and QALYs were discounted 3% (1-5%) per year</w:t>
      </w:r>
      <w:r>
        <w:rPr>
          <w:szCs w:val="20"/>
        </w:rPr>
        <w:t xml:space="preserve"> </w:t>
      </w:r>
      <w:r>
        <w:rPr>
          <w:szCs w:val="20"/>
        </w:rPr>
        <w:fldChar w:fldCharType="begin"/>
      </w:r>
      <w:r w:rsidR="00201160">
        <w:rPr>
          <w:szCs w:val="20"/>
        </w:rPr>
        <w:instrText xml:space="preserve"> ADDIN ZOTERO_ITEM CSL_CITATION {"citationID":"fkq7odif9","properties":{"formattedCitation":"(E17)","plainCitation":"(E17)"},"citationItems":[{"id":1511,"uris":["http://zotero.org/users/1988472/items/MRS69XX5"],"uri":["http://zotero.org/users/1988472/items/MRS69XX5"],"itemData":{"id":1511,"type":"article-journal","title":"Recommendations for reporting cost-effectiveness analyses","container-title":"Jama","page":"1339–1341","volume":"276","issue":"16","author":[{"family":"Siegel","given":"Joanna E"},{"family":"Weinstein","given":"Milton C"},{"family":"Russell","given":"Louise B"},{"family":"Gold","given":"Marthe R"}],"issued":{"date-parts":[["1996"]]}}}],"schema":"https://github.com/citation-style-language/schema/raw/master/csl-citation.json"} </w:instrText>
      </w:r>
      <w:r>
        <w:rPr>
          <w:szCs w:val="20"/>
        </w:rPr>
        <w:fldChar w:fldCharType="separate"/>
      </w:r>
      <w:r w:rsidR="00201160">
        <w:rPr>
          <w:noProof/>
          <w:szCs w:val="20"/>
        </w:rPr>
        <w:t>(E17)</w:t>
      </w:r>
      <w:r>
        <w:rPr>
          <w:szCs w:val="20"/>
        </w:rPr>
        <w:fldChar w:fldCharType="end"/>
      </w:r>
      <w:r w:rsidRPr="00AC0758">
        <w:rPr>
          <w:szCs w:val="20"/>
        </w:rPr>
        <w:t>.</w:t>
      </w:r>
    </w:p>
    <w:p w14:paraId="768B8DE0" w14:textId="77777777" w:rsidR="00436146" w:rsidRDefault="00436146" w:rsidP="00436146">
      <w:pPr>
        <w:spacing w:line="240" w:lineRule="auto"/>
      </w:pPr>
    </w:p>
    <w:p w14:paraId="62CEC5C8" w14:textId="77777777" w:rsidR="00436146" w:rsidRPr="00ED7910" w:rsidRDefault="00436146" w:rsidP="00436146">
      <w:pPr>
        <w:spacing w:line="240" w:lineRule="auto"/>
        <w:rPr>
          <w:b/>
        </w:rPr>
      </w:pPr>
      <w:r w:rsidRPr="00ED7910">
        <w:rPr>
          <w:b/>
        </w:rPr>
        <w:t>Calibration</w:t>
      </w:r>
    </w:p>
    <w:p w14:paraId="318669CA" w14:textId="77777777" w:rsidR="00436146" w:rsidRPr="001B215D" w:rsidRDefault="00436146" w:rsidP="00436146">
      <w:pPr>
        <w:spacing w:line="240" w:lineRule="auto"/>
        <w:rPr>
          <w:rFonts w:cs="Times New Roman"/>
          <w:szCs w:val="20"/>
        </w:rPr>
      </w:pPr>
    </w:p>
    <w:p w14:paraId="3B465DBF" w14:textId="77777777" w:rsidR="001B215D" w:rsidRPr="001B215D" w:rsidRDefault="001B215D" w:rsidP="001B215D">
      <w:pPr>
        <w:spacing w:line="240" w:lineRule="auto"/>
        <w:rPr>
          <w:rFonts w:cs="Times New Roman"/>
          <w:szCs w:val="20"/>
        </w:rPr>
      </w:pPr>
      <w:r w:rsidRPr="001B215D">
        <w:rPr>
          <w:rFonts w:cs="Times New Roman"/>
          <w:szCs w:val="20"/>
        </w:rPr>
        <w:t xml:space="preserve">To calibrate the model, we employed a step-wise, non-computational approach which captured the historical pattern of active TB from 2001 onward stratified by sex, nativity, race/ethnicity, and medical risk factors. </w:t>
      </w:r>
    </w:p>
    <w:p w14:paraId="15874E71" w14:textId="77777777" w:rsidR="001B215D" w:rsidRPr="001B215D" w:rsidRDefault="001B215D" w:rsidP="001B215D">
      <w:pPr>
        <w:spacing w:line="240" w:lineRule="auto"/>
        <w:rPr>
          <w:rFonts w:cs="Times New Roman"/>
          <w:szCs w:val="20"/>
        </w:rPr>
      </w:pPr>
    </w:p>
    <w:p w14:paraId="02D91321" w14:textId="77777777" w:rsidR="001B215D" w:rsidRPr="001B215D" w:rsidRDefault="001B215D" w:rsidP="001B215D">
      <w:pPr>
        <w:spacing w:line="240" w:lineRule="auto"/>
        <w:rPr>
          <w:rFonts w:cs="Times New Roman"/>
          <w:szCs w:val="20"/>
        </w:rPr>
      </w:pPr>
      <w:r w:rsidRPr="001B215D">
        <w:rPr>
          <w:rFonts w:cs="Times New Roman"/>
          <w:szCs w:val="20"/>
        </w:rPr>
        <w:t xml:space="preserve">First, we calibrated the prevalence of each MRF to </w:t>
      </w:r>
      <w:r w:rsidRPr="001B215D">
        <w:rPr>
          <w:rFonts w:cs="Times New Roman"/>
          <w:szCs w:val="20"/>
          <w:u w:val="single"/>
        </w:rPr>
        <w:t>match known trends in their prevalence from 2001 to 2014</w:t>
      </w:r>
      <w:r w:rsidRPr="001B215D">
        <w:rPr>
          <w:rFonts w:cs="Times New Roman"/>
          <w:szCs w:val="20"/>
        </w:rPr>
        <w:t xml:space="preserve"> by adjusting the initial prevalence and/or incidence to match established trends derived from available data. For example, initial HIV prevalence was set at the reported HIV prevalence in 2001. To match the estimated prevalence of HIV from 2002 to 2014, the incidence rate was adjusted until prevalence aligned with historical trends. The comorbidities come with a higher risk of death, and individuals with these conditions were given a higher yearly chance of death (standardized mortality rate) in line with the literature. These values were not adjusted during calibration. As TNF-alpha inhibitor usage was not available for California, TNF-alpha inhibitor usage was calibrated to fall within the 95% confidence interval of TNF-alpha usage in four waves of NHANES data reported by Yeats et al. </w:t>
      </w:r>
      <w:r w:rsidRPr="001B215D">
        <w:rPr>
          <w:rFonts w:cs="Times New Roman"/>
          <w:szCs w:val="20"/>
        </w:rPr>
        <w:fldChar w:fldCharType="begin"/>
      </w:r>
      <w:r w:rsidRPr="001B215D">
        <w:rPr>
          <w:rFonts w:cs="Times New Roman"/>
          <w:szCs w:val="20"/>
        </w:rPr>
        <w:instrText xml:space="preserve"> ADDIN ZOTERO_ITEM CSL_CITATION {"citationID":"psbUlpqG","properties":{"formattedCitation":"(10)","plainCitation":"(10)"},"citationItems":[{"id":32,"uris":["http://zotero.org/users/1988472/items/9XZFCVPV"],"uri":["http://zotero.org/users/1988472/items/9XZFCVPV"],"itemData":{"id":32,"type":"thesis","title":"Priorities for Targeted Testing for Latent Tuberculosis Infection among Foreign‐Born Adults in the United States","publisher":"RAND Corporation","URL":"http://www.rand.org/pubs/rgs_dissertations/RGSD356.html","author":[{"family":"Yeats","given":"Jessica"},{"literal":"Baker, Brian"},{"literal":"Basurto-Davila, Ricardo"}],"issued":{"date-parts":[["2015"]]},"accessed":{"date-parts":[["2016",1,1]]}}}],"schema":"https://github.com/citation-style-language/schema/raw/master/csl-citation.json"} </w:instrText>
      </w:r>
      <w:r w:rsidRPr="001B215D">
        <w:rPr>
          <w:rFonts w:cs="Times New Roman"/>
          <w:szCs w:val="20"/>
        </w:rPr>
        <w:fldChar w:fldCharType="separate"/>
      </w:r>
      <w:r w:rsidRPr="001B215D">
        <w:rPr>
          <w:rFonts w:cs="Times New Roman"/>
          <w:szCs w:val="20"/>
        </w:rPr>
        <w:t>(10)</w:t>
      </w:r>
      <w:r w:rsidRPr="001B215D">
        <w:rPr>
          <w:rFonts w:cs="Times New Roman"/>
          <w:szCs w:val="20"/>
        </w:rPr>
        <w:fldChar w:fldCharType="end"/>
      </w:r>
      <w:r w:rsidRPr="001B215D">
        <w:rPr>
          <w:rFonts w:cs="Times New Roman"/>
          <w:szCs w:val="20"/>
        </w:rPr>
        <w:t>.</w:t>
      </w:r>
    </w:p>
    <w:p w14:paraId="5CBF96CD" w14:textId="77777777" w:rsidR="001B215D" w:rsidRPr="001B215D" w:rsidRDefault="001B215D" w:rsidP="001B215D">
      <w:pPr>
        <w:spacing w:line="240" w:lineRule="auto"/>
        <w:rPr>
          <w:rFonts w:cs="Times New Roman"/>
          <w:szCs w:val="20"/>
        </w:rPr>
      </w:pPr>
    </w:p>
    <w:p w14:paraId="3D09310F" w14:textId="6BEDC48E" w:rsidR="001B215D" w:rsidRPr="00A23427" w:rsidRDefault="001B215D" w:rsidP="001B215D">
      <w:pPr>
        <w:spacing w:line="240" w:lineRule="auto"/>
        <w:rPr>
          <w:rFonts w:cs="Times New Roman"/>
          <w:szCs w:val="20"/>
        </w:rPr>
      </w:pPr>
      <w:r w:rsidRPr="001B215D">
        <w:rPr>
          <w:rFonts w:cs="Times New Roman"/>
          <w:szCs w:val="20"/>
        </w:rPr>
        <w:t xml:space="preserve">Second, adjustments were made to race- and nativity-specific risks of TB reactivation to </w:t>
      </w:r>
      <w:r w:rsidRPr="001B215D">
        <w:rPr>
          <w:rFonts w:cs="Times New Roman"/>
          <w:szCs w:val="20"/>
          <w:u w:val="single"/>
        </w:rPr>
        <w:t>match reported cases in 2001</w:t>
      </w:r>
      <w:r w:rsidRPr="001B215D">
        <w:rPr>
          <w:rFonts w:cs="Times New Roman"/>
          <w:szCs w:val="20"/>
        </w:rPr>
        <w:t xml:space="preserve"> (Table 1). US-born Asians, Blacks, Hispanics, Whites, and individuals of other ethnicities required a 1.2, 2.2, </w:t>
      </w:r>
      <w:r w:rsidRPr="001B215D">
        <w:rPr>
          <w:rFonts w:cs="Times New Roman"/>
          <w:szCs w:val="20"/>
        </w:rPr>
        <w:lastRenderedPageBreak/>
        <w:t xml:space="preserve">1.5, 2.0 and 0.5 relative increase in risk of progression rates, respectively. Non-USB Asians, Blacks, Hispanics, Whites, and individuals of other ethnicities required a 1.48, 1.5, 0.83, 0.5, and 2.0 relative adjustment. </w:t>
      </w:r>
      <w:r w:rsidRPr="00A23427">
        <w:rPr>
          <w:rFonts w:cs="Times New Roman"/>
          <w:szCs w:val="20"/>
        </w:rPr>
        <w:t xml:space="preserve">This is straightforward, and speaks to the relative risks not captured by our comorbidities. The USB/NUSB-race designation was used as we felt it best captured these unknown risks. </w:t>
      </w:r>
      <w:r w:rsidRPr="001B215D">
        <w:rPr>
          <w:rFonts w:cs="Times New Roman"/>
          <w:szCs w:val="20"/>
        </w:rPr>
        <w:t xml:space="preserve">We included a NUSB </w:t>
      </w:r>
      <w:r w:rsidRPr="00A23427">
        <w:rPr>
          <w:rFonts w:cs="Times New Roman"/>
          <w:szCs w:val="20"/>
        </w:rPr>
        <w:t>diabetes-specific adjustment</w:t>
      </w:r>
      <w:r w:rsidRPr="001B215D">
        <w:rPr>
          <w:rFonts w:cs="Times New Roman"/>
          <w:szCs w:val="20"/>
        </w:rPr>
        <w:t xml:space="preserve"> due to an increased risk in this group, as noted in other research </w:t>
      </w:r>
      <w:r w:rsidRPr="001B215D">
        <w:rPr>
          <w:rFonts w:cs="Times New Roman"/>
          <w:szCs w:val="20"/>
        </w:rPr>
        <w:fldChar w:fldCharType="begin"/>
      </w:r>
      <w:r w:rsidRPr="001B215D">
        <w:rPr>
          <w:rFonts w:cs="Times New Roman"/>
          <w:szCs w:val="20"/>
        </w:rPr>
        <w:instrText xml:space="preserve"> ADDIN ZOTERO_ITEM CSL_CITATION {"citationID":"2mkjlnp9lr","properties":{"formattedCitation":"(63)","plainCitation":"(63)"},"citationItems":[{"id":48,"uris":["http://zotero.org/users/1988472/items/MFHF3R85"],"uri":["http://zotero.org/users/1988472/items/MFHF3R85"],"itemData":{"id":48,"type":"article-journal","title":"Increased risk of tuberculosis among foreign-born persons with diabetes in California, 2010–2012","container-title":"BMC public health","page":"263","volume":"15","issue":"1","author":[{"family":"Demlow","given":"Sarah E"},{"family":"Oh","given":"Peter"},{"family":"Barry","given":"Pennan M"}],"issued":{"date-parts":[["2015"]]}}}],"schema":"https://github.com/citation-style-language/schema/raw/master/csl-citation.json"} </w:instrText>
      </w:r>
      <w:r w:rsidRPr="001B215D">
        <w:rPr>
          <w:rFonts w:cs="Times New Roman"/>
          <w:szCs w:val="20"/>
        </w:rPr>
        <w:fldChar w:fldCharType="separate"/>
      </w:r>
      <w:r w:rsidRPr="001B215D">
        <w:rPr>
          <w:rFonts w:cs="Times New Roman"/>
          <w:szCs w:val="20"/>
        </w:rPr>
        <w:t>(63)</w:t>
      </w:r>
      <w:r w:rsidRPr="001B215D">
        <w:rPr>
          <w:rFonts w:cs="Times New Roman"/>
          <w:szCs w:val="20"/>
        </w:rPr>
        <w:fldChar w:fldCharType="end"/>
      </w:r>
      <w:r w:rsidRPr="001B215D">
        <w:rPr>
          <w:rFonts w:cs="Times New Roman"/>
          <w:szCs w:val="20"/>
        </w:rPr>
        <w:t>.</w:t>
      </w:r>
      <w:r w:rsidRPr="00A23427">
        <w:rPr>
          <w:rFonts w:cs="Times New Roman"/>
          <w:szCs w:val="20"/>
        </w:rPr>
        <w:t xml:space="preserve"> </w:t>
      </w:r>
    </w:p>
    <w:p w14:paraId="24ABDD39" w14:textId="77777777" w:rsidR="001B215D" w:rsidRPr="001B215D" w:rsidRDefault="001B215D" w:rsidP="001B215D">
      <w:pPr>
        <w:spacing w:line="240" w:lineRule="auto"/>
        <w:rPr>
          <w:rFonts w:cs="Times New Roman"/>
          <w:color w:val="385623" w:themeColor="accent6" w:themeShade="80"/>
          <w:szCs w:val="20"/>
        </w:rPr>
      </w:pPr>
    </w:p>
    <w:p w14:paraId="7052A633" w14:textId="77777777" w:rsidR="001B215D" w:rsidRPr="001B215D" w:rsidRDefault="001B215D" w:rsidP="001B215D">
      <w:pPr>
        <w:spacing w:line="240" w:lineRule="auto"/>
        <w:rPr>
          <w:rFonts w:cs="Times New Roman"/>
          <w:color w:val="385623" w:themeColor="accent6" w:themeShade="80"/>
          <w:szCs w:val="20"/>
        </w:rPr>
      </w:pPr>
      <w:r w:rsidRPr="001B215D">
        <w:rPr>
          <w:rFonts w:cs="Times New Roman"/>
          <w:color w:val="385623" w:themeColor="accent6" w:themeShade="80"/>
          <w:szCs w:val="20"/>
        </w:rPr>
        <w:t xml:space="preserve">Third, </w:t>
      </w:r>
      <w:r w:rsidRPr="001B215D">
        <w:rPr>
          <w:rFonts w:cs="Times New Roman"/>
          <w:szCs w:val="20"/>
        </w:rPr>
        <w:t xml:space="preserve">USB whites required an additional 6% yearly reduction in risk of progression to </w:t>
      </w:r>
      <w:r w:rsidRPr="001B215D">
        <w:rPr>
          <w:rFonts w:cs="Times New Roman"/>
          <w:szCs w:val="20"/>
          <w:u w:val="single"/>
        </w:rPr>
        <w:t>match data from 2002 to 2014.</w:t>
      </w:r>
    </w:p>
    <w:p w14:paraId="2DBEF235" w14:textId="77777777" w:rsidR="001B215D" w:rsidRPr="001B215D" w:rsidRDefault="001B215D" w:rsidP="001B215D">
      <w:pPr>
        <w:spacing w:line="240" w:lineRule="auto"/>
        <w:rPr>
          <w:rFonts w:cs="Times New Roman"/>
          <w:szCs w:val="20"/>
        </w:rPr>
      </w:pPr>
    </w:p>
    <w:p w14:paraId="115EA284" w14:textId="5356CE8E" w:rsidR="001B215D" w:rsidRPr="001B215D" w:rsidRDefault="001B215D" w:rsidP="001B215D">
      <w:pPr>
        <w:spacing w:line="240" w:lineRule="auto"/>
        <w:rPr>
          <w:rFonts w:cs="Times New Roman"/>
          <w:szCs w:val="20"/>
        </w:rPr>
      </w:pPr>
      <w:r w:rsidRPr="001B215D">
        <w:rPr>
          <w:rFonts w:cs="Times New Roman"/>
          <w:szCs w:val="20"/>
        </w:rPr>
        <w:t xml:space="preserve">Fourth, we adjusted the relative risks of reactivation associated with each risk factor to </w:t>
      </w:r>
      <w:r w:rsidRPr="001B215D">
        <w:rPr>
          <w:rFonts w:cs="Times New Roman"/>
          <w:szCs w:val="20"/>
          <w:u w:val="single"/>
        </w:rPr>
        <w:t>match the reported number of cases in those with a medical risk factor</w:t>
      </w:r>
      <w:r w:rsidRPr="001B215D">
        <w:rPr>
          <w:rFonts w:cs="Times New Roman"/>
          <w:szCs w:val="20"/>
        </w:rPr>
        <w:t xml:space="preserve"> (Table </w:t>
      </w:r>
      <w:r w:rsidR="00A23427">
        <w:rPr>
          <w:rFonts w:cs="Times New Roman"/>
          <w:szCs w:val="20"/>
        </w:rPr>
        <w:t>E</w:t>
      </w:r>
      <w:r w:rsidRPr="001B215D">
        <w:rPr>
          <w:rFonts w:cs="Times New Roman"/>
          <w:szCs w:val="20"/>
        </w:rPr>
        <w:t>4).</w:t>
      </w:r>
      <w:r w:rsidR="00A23427" w:rsidRPr="00A23427">
        <w:rPr>
          <w:rFonts w:cs="Times New Roman"/>
          <w:szCs w:val="20"/>
        </w:rPr>
        <w:t xml:space="preserve"> </w:t>
      </w:r>
      <w:r w:rsidRPr="00A23427">
        <w:rPr>
          <w:rFonts w:cs="Times New Roman"/>
          <w:szCs w:val="20"/>
        </w:rPr>
        <w:t xml:space="preserve">Table </w:t>
      </w:r>
      <w:r w:rsidR="00A23427" w:rsidRPr="00A23427">
        <w:rPr>
          <w:rFonts w:cs="Times New Roman"/>
          <w:szCs w:val="20"/>
        </w:rPr>
        <w:t>E</w:t>
      </w:r>
      <w:r w:rsidRPr="00A23427">
        <w:rPr>
          <w:rFonts w:cs="Times New Roman"/>
          <w:szCs w:val="20"/>
        </w:rPr>
        <w:t xml:space="preserve">4 shows the pre-calibration and post-calibration values. Only two were modified, and both were within reported literature values. </w:t>
      </w:r>
    </w:p>
    <w:p w14:paraId="768D4B76" w14:textId="77777777" w:rsidR="001B215D" w:rsidRPr="001B215D" w:rsidRDefault="001B215D" w:rsidP="001B215D">
      <w:pPr>
        <w:spacing w:line="240" w:lineRule="auto"/>
        <w:rPr>
          <w:rFonts w:cs="Times New Roman"/>
          <w:szCs w:val="20"/>
        </w:rPr>
      </w:pPr>
    </w:p>
    <w:p w14:paraId="2594DFD6" w14:textId="77777777" w:rsidR="001B215D" w:rsidRPr="001B215D" w:rsidRDefault="001B215D" w:rsidP="001B215D">
      <w:pPr>
        <w:spacing w:line="240" w:lineRule="auto"/>
        <w:rPr>
          <w:rFonts w:cs="Times New Roman"/>
          <w:szCs w:val="20"/>
        </w:rPr>
      </w:pPr>
      <w:r w:rsidRPr="001B215D">
        <w:rPr>
          <w:rFonts w:cs="Times New Roman"/>
          <w:szCs w:val="20"/>
        </w:rPr>
        <w:t xml:space="preserve">Fifth, we adjusted the number of so-called imported cases (active cases within one year of entry into the US). Between the 2001 to 2014 time-period used for calibration, there was a significant drop in adult TB cases, some of which may be attributable to a decline in active disease importation </w:t>
      </w:r>
      <w:r w:rsidRPr="001B215D">
        <w:rPr>
          <w:rFonts w:cs="Times New Roman"/>
          <w:szCs w:val="20"/>
        </w:rPr>
        <w:fldChar w:fldCharType="begin"/>
      </w:r>
      <w:r w:rsidRPr="001B215D">
        <w:rPr>
          <w:rFonts w:cs="Times New Roman"/>
          <w:szCs w:val="20"/>
        </w:rPr>
        <w:instrText xml:space="preserve"> ADDIN ZOTERO_ITEM CSL_CITATION {"citationID":"bvlfge4ep","properties":{"formattedCitation":"(64)","plainCitation":"(64)"},"citationItems":[{"id":4877,"uris":["http://zotero.org/users/1988472/items/W4ZU5MKX"],"uri":["http://zotero.org/users/1988472/items/W4ZU5MKX"],"itemData":{"id":4877,"type":"article-journal","title":"Decrease in reported tuberculosis cases-United States, 2009.","container-title":"MMWR. Morbidity and mortality weekly report","page":"289","volume":"59","issue":"10","author":[{"family":"Centers for Disease Control and Prevention","given":""},{"literal":"others"}],"issued":{"date-parts":[["2010"]]}}}],"schema":"https://github.com/citation-style-language/schema/raw/master/csl-citation.json"} </w:instrText>
      </w:r>
      <w:r w:rsidRPr="001B215D">
        <w:rPr>
          <w:rFonts w:cs="Times New Roman"/>
          <w:szCs w:val="20"/>
        </w:rPr>
        <w:fldChar w:fldCharType="separate"/>
      </w:r>
      <w:r w:rsidRPr="001B215D">
        <w:rPr>
          <w:rFonts w:cs="Times New Roman"/>
          <w:noProof/>
          <w:szCs w:val="20"/>
        </w:rPr>
        <w:t>(64)</w:t>
      </w:r>
      <w:r w:rsidRPr="001B215D">
        <w:rPr>
          <w:rFonts w:cs="Times New Roman"/>
          <w:szCs w:val="20"/>
        </w:rPr>
        <w:fldChar w:fldCharType="end"/>
      </w:r>
      <w:r w:rsidRPr="001B215D">
        <w:rPr>
          <w:rFonts w:cs="Times New Roman"/>
          <w:szCs w:val="20"/>
        </w:rPr>
        <w:t xml:space="preserve">. In 2001, there were 444 such cases (14% of adult cases) within one year of entry. By 2014, there were only 160 (8% of adult cases). To account for this change, we </w:t>
      </w:r>
      <w:r w:rsidRPr="001B215D">
        <w:rPr>
          <w:rFonts w:cs="Times New Roman"/>
          <w:szCs w:val="20"/>
          <w:u w:val="single"/>
        </w:rPr>
        <w:t>reduced the incidence of these cases by 5% per year to match the historical trend</w:t>
      </w:r>
      <w:r w:rsidRPr="001B215D">
        <w:rPr>
          <w:rFonts w:cs="Times New Roman"/>
          <w:szCs w:val="20"/>
        </w:rPr>
        <w:t>, and continued the trend beyond 2014.</w:t>
      </w:r>
    </w:p>
    <w:p w14:paraId="5B5BD2DB" w14:textId="77777777" w:rsidR="001B215D" w:rsidRPr="001B215D" w:rsidRDefault="001B215D" w:rsidP="001B215D">
      <w:pPr>
        <w:spacing w:line="240" w:lineRule="auto"/>
        <w:rPr>
          <w:rFonts w:cs="Times New Roman"/>
          <w:szCs w:val="20"/>
        </w:rPr>
      </w:pPr>
    </w:p>
    <w:p w14:paraId="6CB50BA6" w14:textId="30F513A7" w:rsidR="001B215D" w:rsidRPr="001B215D" w:rsidRDefault="001B215D" w:rsidP="001B215D">
      <w:pPr>
        <w:spacing w:line="240" w:lineRule="auto"/>
        <w:rPr>
          <w:rFonts w:cs="Times New Roman"/>
          <w:szCs w:val="20"/>
        </w:rPr>
      </w:pPr>
      <w:r w:rsidRPr="001B215D">
        <w:rPr>
          <w:rFonts w:cs="Times New Roman"/>
          <w:szCs w:val="20"/>
        </w:rPr>
        <w:t xml:space="preserve">Six, we adjusted our transmission coefficient to </w:t>
      </w:r>
      <w:r w:rsidRPr="001B215D">
        <w:rPr>
          <w:rFonts w:cs="Times New Roman"/>
          <w:szCs w:val="20"/>
          <w:u w:val="single"/>
        </w:rPr>
        <w:t>match the number of cases due to recent (within three years) transmission</w:t>
      </w:r>
      <w:r w:rsidRPr="001B215D">
        <w:rPr>
          <w:rFonts w:cs="Times New Roman"/>
          <w:szCs w:val="20"/>
        </w:rPr>
        <w:t xml:space="preserve">. In 2014, 83 cases in the USB and 143 in the NUSB were estimated to be from recent transmission within the US, representing 22% of USB, 8.5% of NUSB, and 11% of total adult cases </w:t>
      </w:r>
      <w:r w:rsidRPr="001B215D">
        <w:rPr>
          <w:rFonts w:cs="Times New Roman"/>
          <w:szCs w:val="20"/>
        </w:rPr>
        <w:fldChar w:fldCharType="begin"/>
      </w:r>
      <w:r w:rsidRPr="001B215D">
        <w:rPr>
          <w:rFonts w:cs="Times New Roman"/>
          <w:szCs w:val="20"/>
        </w:rPr>
        <w:instrText xml:space="preserve"> ADDIN ZOTERO_ITEM CSL_CITATION {"citationID":"2hdtidg5dk","properties":{"formattedCitation":"(24)","plainCitation":"(24)"},"citationItems":[{"id":108,"uris":["http://zotero.org/users/1988472/items/8PUET9N3"],"uri":["http://zotero.org/users/1988472/items/8PUET9N3"],"itemData":{"id":108,"type":"book","title":"Reports of Verified Cases of Tuberculosis Database","publisher":"State of California","author":[{"family":"California Department of Public Health","given":""}],"issued":{"date-parts":[["2016"]]}}}],"schema":"https://github.com/citation-style-language/schema/raw/master/csl-citation.json"} </w:instrText>
      </w:r>
      <w:r w:rsidRPr="001B215D">
        <w:rPr>
          <w:rFonts w:cs="Times New Roman"/>
          <w:szCs w:val="20"/>
        </w:rPr>
        <w:fldChar w:fldCharType="separate"/>
      </w:r>
      <w:r w:rsidRPr="001B215D">
        <w:rPr>
          <w:rFonts w:cs="Times New Roman"/>
          <w:noProof/>
          <w:szCs w:val="20"/>
        </w:rPr>
        <w:t>(24)</w:t>
      </w:r>
      <w:r w:rsidRPr="001B215D">
        <w:rPr>
          <w:rFonts w:cs="Times New Roman"/>
          <w:szCs w:val="20"/>
        </w:rPr>
        <w:fldChar w:fldCharType="end"/>
      </w:r>
      <w:r w:rsidRPr="001B215D">
        <w:rPr>
          <w:rFonts w:cs="Times New Roman"/>
          <w:szCs w:val="20"/>
        </w:rPr>
        <w:t xml:space="preserve">. Since recent transmission is estimated through genetic analysis, no past estimates for what proportion of active cases were due to RT is available. Estimation is possible. One useful marker for transmission is the number of cases found in the population under 5 years of age (U5), as these are by-definition transmissions occurring within the last 5 years </w:t>
      </w:r>
      <w:r w:rsidRPr="001B215D">
        <w:rPr>
          <w:rFonts w:cs="Times New Roman"/>
          <w:szCs w:val="20"/>
        </w:rPr>
        <w:fldChar w:fldCharType="begin"/>
      </w:r>
      <w:r w:rsidRPr="001B215D">
        <w:rPr>
          <w:rFonts w:cs="Times New Roman"/>
          <w:szCs w:val="20"/>
        </w:rPr>
        <w:instrText xml:space="preserve"> ADDIN ZOTERO_ITEM CSL_CITATION {"citationID":"13ao27pkft","properties":{"formattedCitation":"(65)","plainCitation":"(65)"},"citationItems":[{"id":193,"uris":["http://zotero.org/users/1988472/items/3GSB56BG"],"uri":["http://zotero.org/users/1988472/items/3GSB56BG"],"itemData":{"id":193,"type":"article-journal","title":"Burden of childhood tuberculosis in 22 high-burden countries: a mathematical modelling study","container-title":"The lancet global health","page":"e453–e459","volume":"2","issue":"8","author":[{"family":"Dodd","given":"Peter J"},{"family":"Gardiner","given":"Elizabeth"},{"family":"Coghlan","given":"Renia"},{"family":"Seddon","given":"James A"}],"issued":{"date-parts":[["2014"]]}}}],"schema":"https://github.com/citation-style-language/schema/raw/master/csl-citation.json"} </w:instrText>
      </w:r>
      <w:r w:rsidRPr="001B215D">
        <w:rPr>
          <w:rFonts w:cs="Times New Roman"/>
          <w:szCs w:val="20"/>
        </w:rPr>
        <w:fldChar w:fldCharType="separate"/>
      </w:r>
      <w:r w:rsidRPr="001B215D">
        <w:rPr>
          <w:rFonts w:cs="Times New Roman"/>
          <w:noProof/>
          <w:szCs w:val="20"/>
        </w:rPr>
        <w:t>(65)</w:t>
      </w:r>
      <w:r w:rsidRPr="001B215D">
        <w:rPr>
          <w:rFonts w:cs="Times New Roman"/>
          <w:szCs w:val="20"/>
        </w:rPr>
        <w:fldChar w:fldCharType="end"/>
      </w:r>
      <w:r w:rsidRPr="001B215D">
        <w:rPr>
          <w:rFonts w:cs="Times New Roman"/>
          <w:szCs w:val="20"/>
        </w:rPr>
        <w:t xml:space="preserve">. In 2014, 55 cases (2.6% of all cases) were those found in the U5 population, compared to 134 (4%) in 2001. This represents a 59% reduction in the number of U5 cases per year. If we assume that U5 cases are a valid surrogate marker for transmission, we can use this proportion to estimate the level of transmission in 2001.  </w:t>
      </w:r>
      <w:r w:rsidRPr="00A23427">
        <w:rPr>
          <w:rFonts w:cs="Times New Roman"/>
          <w:szCs w:val="20"/>
        </w:rPr>
        <w:t xml:space="preserve">We build a simple linear model to describe the relationship between year and risk of recent-within-US using under-five cases and adult cases as our input data, stratified by USB/NUSB. </w:t>
      </w:r>
      <w:r w:rsidRPr="001B215D">
        <w:rPr>
          <w:rFonts w:cs="Times New Roman"/>
          <w:szCs w:val="20"/>
        </w:rPr>
        <w:t xml:space="preserve">Using this method, we estimated that 551 adult cases in 2001 were due to recent transmission. Then to </w:t>
      </w:r>
      <w:r w:rsidRPr="001B215D">
        <w:rPr>
          <w:rFonts w:cs="Times New Roman"/>
          <w:szCs w:val="20"/>
          <w:u w:val="single"/>
        </w:rPr>
        <w:t>match the downward trend of cases due to recent transmission</w:t>
      </w:r>
      <w:r w:rsidRPr="001B215D">
        <w:rPr>
          <w:rFonts w:cs="Times New Roman"/>
          <w:szCs w:val="20"/>
        </w:rPr>
        <w:t xml:space="preserve">, the transmission coefficient was reduced by 2.5% per year starting in 2001 for the USB and 1% per year for the NUSB. </w:t>
      </w:r>
    </w:p>
    <w:p w14:paraId="6AF13CD1" w14:textId="77777777" w:rsidR="00436146" w:rsidRPr="001B215D" w:rsidRDefault="00436146" w:rsidP="00436146">
      <w:pPr>
        <w:spacing w:line="240" w:lineRule="auto"/>
        <w:rPr>
          <w:rFonts w:cs="Times New Roman"/>
          <w:szCs w:val="20"/>
        </w:rPr>
      </w:pPr>
    </w:p>
    <w:p w14:paraId="43B700C2" w14:textId="77777777" w:rsidR="00436146" w:rsidRPr="00A433A0" w:rsidRDefault="00436146" w:rsidP="00436146">
      <w:pPr>
        <w:spacing w:line="240" w:lineRule="auto"/>
        <w:rPr>
          <w:b/>
        </w:rPr>
      </w:pPr>
      <w:r w:rsidRPr="00A433A0">
        <w:rPr>
          <w:b/>
        </w:rPr>
        <w:t>Sensitivity Analysis</w:t>
      </w:r>
    </w:p>
    <w:p w14:paraId="5EA4DC6E" w14:textId="77777777" w:rsidR="00436146" w:rsidRDefault="00436146" w:rsidP="00436146">
      <w:pPr>
        <w:spacing w:line="240" w:lineRule="auto"/>
      </w:pPr>
    </w:p>
    <w:p w14:paraId="3979AB6F" w14:textId="244DAE2B" w:rsidR="009F4E36" w:rsidRDefault="00436146" w:rsidP="00436146">
      <w:pPr>
        <w:spacing w:line="240" w:lineRule="auto"/>
      </w:pPr>
      <w:r>
        <w:t xml:space="preserve">Along with our sensitivity analysis showing the effects of one-time testing, we completed a probabilistic sensitivity analysis using a standard Monte Carlo simulation that sampled variables from a triangular distribution using the ranges described above </w:t>
      </w:r>
      <w:r>
        <w:fldChar w:fldCharType="begin"/>
      </w:r>
      <w:r w:rsidR="00201160">
        <w:instrText xml:space="preserve"> ADDIN ZOTERO_ITEM CSL_CITATION {"citationID":"a1qs3f7aebi","properties":{"formattedCitation":"(E22)","plainCitation":"(E22)"},"citationItems":[{"id":703,"uris":["http://zotero.org/users/1988472/items/4SKEC7C3"],"uri":["http://zotero.org/users/1988472/items/4SKEC7C3"],"itemData":{"id":703,"type":"book","title":"Introduction to the numerical solution of Markov chains","publisher":"Princeton University Press Princeton","volume":"41","author":[{"family":"Stewart","given":"William J"}],"issued":{"date-parts":[["1994"]]}}}],"schema":"https://github.com/citation-style-language/schema/raw/master/csl-citation.json"} </w:instrText>
      </w:r>
      <w:r>
        <w:fldChar w:fldCharType="separate"/>
      </w:r>
      <w:r w:rsidR="00201160">
        <w:rPr>
          <w:noProof/>
        </w:rPr>
        <w:t>(E22)</w:t>
      </w:r>
      <w:r>
        <w:fldChar w:fldCharType="end"/>
      </w:r>
      <w:r>
        <w:t xml:space="preserve">. </w:t>
      </w:r>
      <w:r w:rsidR="009F4E36">
        <w:t>The followed variables were varied:</w:t>
      </w:r>
    </w:p>
    <w:p w14:paraId="4C884F0E" w14:textId="77777777" w:rsidR="009F4E36" w:rsidRDefault="009F4E36" w:rsidP="00436146">
      <w:pPr>
        <w:spacing w:line="240" w:lineRule="auto"/>
      </w:pPr>
    </w:p>
    <w:p w14:paraId="6E3AE1CE" w14:textId="77777777" w:rsidR="009F4E36" w:rsidRPr="009F4E36" w:rsidRDefault="009F4E36" w:rsidP="009F4E36">
      <w:pPr>
        <w:spacing w:line="240" w:lineRule="auto"/>
      </w:pPr>
      <w:r w:rsidRPr="009F4E36">
        <w:rPr>
          <w:i/>
          <w:iCs/>
        </w:rPr>
        <w:t xml:space="preserve">    - </w:t>
      </w:r>
      <w:proofErr w:type="spellStart"/>
      <w:r w:rsidRPr="009F4E36">
        <w:rPr>
          <w:i/>
          <w:iCs/>
        </w:rPr>
        <w:t>Drop out</w:t>
      </w:r>
      <w:proofErr w:type="spellEnd"/>
      <w:r w:rsidRPr="009F4E36">
        <w:rPr>
          <w:i/>
          <w:iCs/>
        </w:rPr>
        <w:t xml:space="preserve"> rate from LTBI therapy</w:t>
      </w:r>
    </w:p>
    <w:p w14:paraId="63F57E37" w14:textId="77777777" w:rsidR="009F4E36" w:rsidRPr="009F4E36" w:rsidRDefault="009F4E36" w:rsidP="009F4E36">
      <w:pPr>
        <w:spacing w:line="240" w:lineRule="auto"/>
      </w:pPr>
      <w:r w:rsidRPr="009F4E36">
        <w:rPr>
          <w:i/>
          <w:iCs/>
        </w:rPr>
        <w:t xml:space="preserve">    - </w:t>
      </w:r>
      <w:proofErr w:type="spellStart"/>
      <w:r w:rsidRPr="009F4E36">
        <w:rPr>
          <w:i/>
          <w:iCs/>
        </w:rPr>
        <w:t>Drop out</w:t>
      </w:r>
      <w:proofErr w:type="spellEnd"/>
      <w:r w:rsidRPr="009F4E36">
        <w:rPr>
          <w:i/>
          <w:iCs/>
        </w:rPr>
        <w:t xml:space="preserve"> rate from active TB therapy </w:t>
      </w:r>
    </w:p>
    <w:p w14:paraId="5BF7F0DA" w14:textId="77777777" w:rsidR="009F4E36" w:rsidRPr="009F4E36" w:rsidRDefault="009F4E36" w:rsidP="009F4E36">
      <w:pPr>
        <w:spacing w:line="240" w:lineRule="auto"/>
      </w:pPr>
      <w:r w:rsidRPr="009F4E36">
        <w:rPr>
          <w:i/>
          <w:iCs/>
        </w:rPr>
        <w:t>    - Risk of progression from recent</w:t>
      </w:r>
    </w:p>
    <w:p w14:paraId="51DFB21D" w14:textId="77777777" w:rsidR="009F4E36" w:rsidRPr="009F4E36" w:rsidRDefault="009F4E36" w:rsidP="009F4E36">
      <w:pPr>
        <w:spacing w:line="240" w:lineRule="auto"/>
      </w:pPr>
      <w:r w:rsidRPr="009F4E36">
        <w:rPr>
          <w:i/>
          <w:iCs/>
        </w:rPr>
        <w:t>    - Risk of progression from remote infection</w:t>
      </w:r>
    </w:p>
    <w:p w14:paraId="0DC0D0FD" w14:textId="77777777" w:rsidR="009F4E36" w:rsidRPr="009F4E36" w:rsidRDefault="009F4E36" w:rsidP="009F4E36">
      <w:pPr>
        <w:spacing w:line="240" w:lineRule="auto"/>
      </w:pPr>
      <w:r w:rsidRPr="009F4E36">
        <w:rPr>
          <w:i/>
          <w:iCs/>
        </w:rPr>
        <w:t xml:space="preserve">    - Starting </w:t>
      </w:r>
      <w:proofErr w:type="spellStart"/>
      <w:r w:rsidRPr="009F4E36">
        <w:rPr>
          <w:i/>
          <w:iCs/>
        </w:rPr>
        <w:t>prevalences</w:t>
      </w:r>
      <w:proofErr w:type="spellEnd"/>
      <w:r w:rsidRPr="009F4E36">
        <w:rPr>
          <w:i/>
          <w:iCs/>
        </w:rPr>
        <w:t xml:space="preserve"> of non-demographic risk factors (DM, HIV, ESRD, SOT, Smoking)</w:t>
      </w:r>
    </w:p>
    <w:p w14:paraId="391E3435" w14:textId="77777777" w:rsidR="009F4E36" w:rsidRPr="009F4E36" w:rsidRDefault="009F4E36" w:rsidP="009F4E36">
      <w:pPr>
        <w:spacing w:line="240" w:lineRule="auto"/>
      </w:pPr>
      <w:r w:rsidRPr="009F4E36">
        <w:rPr>
          <w:i/>
          <w:iCs/>
        </w:rPr>
        <w:t>    - Transition probabilities in and out of non-demographic risk factors (DM, HIV, ESRD, SOT, Smoking)</w:t>
      </w:r>
    </w:p>
    <w:p w14:paraId="56C594DE" w14:textId="77777777" w:rsidR="009F4E36" w:rsidRPr="009F4E36" w:rsidRDefault="009F4E36" w:rsidP="009F4E36">
      <w:pPr>
        <w:spacing w:line="240" w:lineRule="auto"/>
      </w:pPr>
      <w:r w:rsidRPr="009F4E36">
        <w:rPr>
          <w:i/>
          <w:iCs/>
        </w:rPr>
        <w:t>    - Proportion of individuals that enroll in treatment after a positive TST LTBI test</w:t>
      </w:r>
    </w:p>
    <w:p w14:paraId="74ECEAA7" w14:textId="77777777" w:rsidR="009F4E36" w:rsidRPr="009F4E36" w:rsidRDefault="009F4E36" w:rsidP="009F4E36">
      <w:pPr>
        <w:spacing w:line="240" w:lineRule="auto"/>
      </w:pPr>
      <w:r w:rsidRPr="009F4E36">
        <w:rPr>
          <w:i/>
          <w:iCs/>
        </w:rPr>
        <w:t>    - Proportion of individuals that enroll in treatment after a positive QFT/TSPOT test</w:t>
      </w:r>
    </w:p>
    <w:p w14:paraId="3FF2F8FC" w14:textId="77777777" w:rsidR="009F4E36" w:rsidRPr="009F4E36" w:rsidRDefault="009F4E36" w:rsidP="009F4E36">
      <w:pPr>
        <w:spacing w:line="240" w:lineRule="auto"/>
      </w:pPr>
      <w:r w:rsidRPr="009F4E36">
        <w:rPr>
          <w:i/>
          <w:iCs/>
        </w:rPr>
        <w:t>    - Number of LTBI cases caused by one active case</w:t>
      </w:r>
    </w:p>
    <w:p w14:paraId="6746C02C" w14:textId="77777777" w:rsidR="009F4E36" w:rsidRPr="009F4E36" w:rsidRDefault="009F4E36" w:rsidP="009F4E36">
      <w:pPr>
        <w:spacing w:line="240" w:lineRule="auto"/>
      </w:pPr>
      <w:r w:rsidRPr="009F4E36">
        <w:rPr>
          <w:i/>
          <w:iCs/>
        </w:rPr>
        <w:t>    - Number of secondary TB cases caused by one active case</w:t>
      </w:r>
    </w:p>
    <w:p w14:paraId="20475604" w14:textId="77777777" w:rsidR="009F4E36" w:rsidRPr="009F4E36" w:rsidRDefault="009F4E36" w:rsidP="009F4E36">
      <w:pPr>
        <w:spacing w:line="240" w:lineRule="auto"/>
      </w:pPr>
      <w:r w:rsidRPr="009F4E36">
        <w:rPr>
          <w:i/>
          <w:iCs/>
        </w:rPr>
        <w:t>    - Efficacy of therapies</w:t>
      </w:r>
    </w:p>
    <w:p w14:paraId="6BBB9EDC" w14:textId="77777777" w:rsidR="009F4E36" w:rsidRPr="009F4E36" w:rsidRDefault="009F4E36" w:rsidP="009F4E36">
      <w:pPr>
        <w:spacing w:line="240" w:lineRule="auto"/>
      </w:pPr>
      <w:r w:rsidRPr="009F4E36">
        <w:rPr>
          <w:i/>
          <w:iCs/>
        </w:rPr>
        <w:t>    - Proportion of LTBI treated starting simulation</w:t>
      </w:r>
    </w:p>
    <w:p w14:paraId="17CA3BBC" w14:textId="77777777" w:rsidR="009F4E36" w:rsidRPr="009F4E36" w:rsidRDefault="009F4E36" w:rsidP="009F4E36">
      <w:pPr>
        <w:spacing w:line="240" w:lineRule="auto"/>
      </w:pPr>
      <w:r w:rsidRPr="009F4E36">
        <w:rPr>
          <w:i/>
          <w:iCs/>
        </w:rPr>
        <w:t>    - Proportion of started who complete treatment for each therapy</w:t>
      </w:r>
    </w:p>
    <w:p w14:paraId="44625EA8" w14:textId="77777777" w:rsidR="009F4E36" w:rsidRPr="009F4E36" w:rsidRDefault="009F4E36" w:rsidP="009F4E36">
      <w:pPr>
        <w:spacing w:line="240" w:lineRule="auto"/>
      </w:pPr>
      <w:r w:rsidRPr="009F4E36">
        <w:rPr>
          <w:i/>
          <w:iCs/>
        </w:rPr>
        <w:t>    - Total cost of LTBI therapy per month by modality</w:t>
      </w:r>
    </w:p>
    <w:p w14:paraId="0CD63830" w14:textId="77777777" w:rsidR="009F4E36" w:rsidRPr="009F4E36" w:rsidRDefault="009F4E36" w:rsidP="009F4E36">
      <w:pPr>
        <w:spacing w:line="240" w:lineRule="auto"/>
      </w:pPr>
      <w:r w:rsidRPr="009F4E36">
        <w:rPr>
          <w:i/>
          <w:iCs/>
        </w:rPr>
        <w:t>    - Total cost of LTBI testing per month by modality</w:t>
      </w:r>
    </w:p>
    <w:p w14:paraId="11364529" w14:textId="77777777" w:rsidR="009F4E36" w:rsidRPr="009F4E36" w:rsidRDefault="009F4E36" w:rsidP="009F4E36">
      <w:pPr>
        <w:spacing w:line="240" w:lineRule="auto"/>
      </w:pPr>
      <w:r w:rsidRPr="009F4E36">
        <w:rPr>
          <w:i/>
          <w:iCs/>
        </w:rPr>
        <w:t>    - Active disease cost per month</w:t>
      </w:r>
    </w:p>
    <w:p w14:paraId="6A07E074" w14:textId="77777777" w:rsidR="009F4E36" w:rsidRPr="009F4E36" w:rsidRDefault="009F4E36" w:rsidP="009F4E36">
      <w:pPr>
        <w:spacing w:line="240" w:lineRule="auto"/>
      </w:pPr>
      <w:r w:rsidRPr="009F4E36">
        <w:rPr>
          <w:i/>
          <w:iCs/>
        </w:rPr>
        <w:lastRenderedPageBreak/>
        <w:t>    - TB-related mortality per month</w:t>
      </w:r>
    </w:p>
    <w:p w14:paraId="4B3AA293" w14:textId="77777777" w:rsidR="009F4E36" w:rsidRPr="009F4E36" w:rsidRDefault="009F4E36" w:rsidP="009F4E36">
      <w:pPr>
        <w:spacing w:line="240" w:lineRule="auto"/>
      </w:pPr>
      <w:r w:rsidRPr="009F4E36">
        <w:rPr>
          <w:i/>
          <w:iCs/>
        </w:rPr>
        <w:t>    - QALYs gained averting one case of active TB</w:t>
      </w:r>
    </w:p>
    <w:p w14:paraId="237BB27A" w14:textId="77777777" w:rsidR="009F4E36" w:rsidRPr="009F4E36" w:rsidRDefault="009F4E36" w:rsidP="009F4E36">
      <w:pPr>
        <w:spacing w:line="240" w:lineRule="auto"/>
      </w:pPr>
      <w:r w:rsidRPr="009F4E36">
        <w:rPr>
          <w:i/>
          <w:iCs/>
        </w:rPr>
        <w:t>    - Discounting</w:t>
      </w:r>
    </w:p>
    <w:p w14:paraId="5B7ABA53" w14:textId="6DA9F614" w:rsidR="009F4E36" w:rsidRPr="009F4E36" w:rsidRDefault="009F4E36" w:rsidP="009F4E36">
      <w:pPr>
        <w:spacing w:line="240" w:lineRule="auto"/>
      </w:pPr>
      <w:r w:rsidRPr="009F4E36">
        <w:rPr>
          <w:i/>
          <w:iCs/>
        </w:rPr>
        <w:t>    - All "</w:t>
      </w:r>
      <w:r>
        <w:rPr>
          <w:i/>
          <w:iCs/>
        </w:rPr>
        <w:t>multiplicative</w:t>
      </w:r>
      <w:r w:rsidRPr="009F4E36">
        <w:rPr>
          <w:i/>
          <w:iCs/>
        </w:rPr>
        <w:t xml:space="preserve"> coefficients" (</w:t>
      </w:r>
      <w:proofErr w:type="spellStart"/>
      <w:r w:rsidRPr="009F4E36">
        <w:rPr>
          <w:i/>
          <w:iCs/>
        </w:rPr>
        <w:t>ie</w:t>
      </w:r>
      <w:proofErr w:type="spellEnd"/>
      <w:r w:rsidRPr="009F4E36">
        <w:rPr>
          <w:i/>
          <w:iCs/>
        </w:rPr>
        <w:t xml:space="preserve"> adjusting risk of progression by race-nativity)</w:t>
      </w:r>
    </w:p>
    <w:p w14:paraId="531F788B" w14:textId="77777777" w:rsidR="009F4E36" w:rsidRDefault="009F4E36" w:rsidP="00436146">
      <w:pPr>
        <w:spacing w:line="240" w:lineRule="auto"/>
      </w:pPr>
    </w:p>
    <w:p w14:paraId="5E8FC513" w14:textId="77777777" w:rsidR="009F4E36" w:rsidRDefault="009F4E36" w:rsidP="00436146">
      <w:pPr>
        <w:spacing w:line="240" w:lineRule="auto"/>
      </w:pPr>
    </w:p>
    <w:p w14:paraId="75A94C83" w14:textId="6BC4F9C6" w:rsidR="00436146" w:rsidRDefault="00436146" w:rsidP="00436146">
      <w:pPr>
        <w:spacing w:line="240" w:lineRule="auto"/>
      </w:pPr>
      <w:r>
        <w:t xml:space="preserve">All scenarios were executed in parallel </w:t>
      </w:r>
      <w:r w:rsidR="001B215D">
        <w:t xml:space="preserve">sets </w:t>
      </w:r>
      <w:r>
        <w:t>using the same sampled values</w:t>
      </w:r>
      <w:r w:rsidR="001B215D">
        <w:t xml:space="preserve"> for input parameters values and the random number sequence that determines events in the simulation. Individual</w:t>
      </w:r>
      <w:r>
        <w:t xml:space="preserve"> simulations were compared to the simulations within that sampling set to produce estimates such as cost or utility difference. </w:t>
      </w:r>
      <w:r w:rsidR="001B215D">
        <w:t>The sets were repeated 250 times.</w:t>
      </w:r>
    </w:p>
    <w:p w14:paraId="7EAF11EB" w14:textId="77777777" w:rsidR="009F4E36" w:rsidRDefault="009F4E36" w:rsidP="00436146">
      <w:pPr>
        <w:spacing w:line="240" w:lineRule="auto"/>
      </w:pPr>
    </w:p>
    <w:p w14:paraId="1D4F6147" w14:textId="0953B2D8" w:rsidR="009F4E36" w:rsidRDefault="009F4E36" w:rsidP="00436146">
      <w:pPr>
        <w:spacing w:line="240" w:lineRule="auto"/>
      </w:pPr>
      <w:r>
        <w:t xml:space="preserve">The Go </w:t>
      </w:r>
      <w:proofErr w:type="spellStart"/>
      <w:r>
        <w:t>Godes</w:t>
      </w:r>
      <w:proofErr w:type="spellEnd"/>
      <w:r>
        <w:t xml:space="preserve"> package was used for this process </w:t>
      </w:r>
      <w:r>
        <w:fldChar w:fldCharType="begin"/>
      </w:r>
      <w:r>
        <w:instrText xml:space="preserve"> ADDIN ZOTERO_ITEM CSL_CITATION {"citationID":"a1gtan15jf9","properties":{"formattedCitation":"(E23)","plainCitation":"(E23)"},"citationItems":[{"id":5003,"uris":["http://zotero.org/users/1988472/items/UCTDV82B"],"uri":["http://zotero.org/users/1988472/items/UCTDV82B"],"itemData":{"id":5003,"type":"webpage","title":"Godes: Open Source Library to Build Discrete Event Simulation Models in Go/Golang","URL":"https://github.com/agoussia/godes","author":[{"family":"Goussiatiner","given":"Alex"}],"issued":{"date-parts":[["2018",3]]}}}],"schema":"https://github.com/citation-style-language/schema/raw/master/csl-citation.json"} </w:instrText>
      </w:r>
      <w:r>
        <w:fldChar w:fldCharType="separate"/>
      </w:r>
      <w:r>
        <w:rPr>
          <w:noProof/>
        </w:rPr>
        <w:t>(E23)</w:t>
      </w:r>
      <w:r>
        <w:fldChar w:fldCharType="end"/>
      </w:r>
      <w:r>
        <w:t xml:space="preserve">.  </w:t>
      </w:r>
    </w:p>
    <w:p w14:paraId="7AE934A6" w14:textId="77777777" w:rsidR="00436146" w:rsidRDefault="00436146" w:rsidP="00436146">
      <w:pPr>
        <w:spacing w:line="240" w:lineRule="auto"/>
      </w:pPr>
    </w:p>
    <w:p w14:paraId="48CCD01D" w14:textId="1E658680" w:rsidR="001B215D" w:rsidRPr="00A433A0" w:rsidRDefault="001B215D" w:rsidP="001B215D">
      <w:pPr>
        <w:spacing w:line="240" w:lineRule="auto"/>
        <w:rPr>
          <w:b/>
        </w:rPr>
      </w:pPr>
      <w:r>
        <w:rPr>
          <w:b/>
        </w:rPr>
        <w:t>Year 1 Budget analysis</w:t>
      </w:r>
    </w:p>
    <w:p w14:paraId="7458C60B" w14:textId="77777777" w:rsidR="001B215D" w:rsidRDefault="001B215D" w:rsidP="001B215D">
      <w:pPr>
        <w:spacing w:line="240" w:lineRule="auto"/>
      </w:pPr>
    </w:p>
    <w:p w14:paraId="0CB28837" w14:textId="598D3758" w:rsidR="001B215D" w:rsidRDefault="001B215D" w:rsidP="001B215D">
      <w:pPr>
        <w:spacing w:line="240" w:lineRule="auto"/>
      </w:pPr>
      <w:r>
        <w:t>Costs for Year 1, by type of cost and intervention strategy, are reported in Table E5.</w:t>
      </w:r>
    </w:p>
    <w:p w14:paraId="5F95B645" w14:textId="77777777" w:rsidR="00436146" w:rsidRDefault="00436146" w:rsidP="00436146">
      <w:pPr>
        <w:spacing w:line="240" w:lineRule="auto"/>
      </w:pPr>
    </w:p>
    <w:p w14:paraId="0D7E598C" w14:textId="77777777" w:rsidR="00436146" w:rsidRDefault="00436146" w:rsidP="00436146">
      <w:pPr>
        <w:spacing w:line="240" w:lineRule="auto"/>
        <w:rPr>
          <w:rFonts w:ascii="Arial" w:hAnsi="Arial"/>
          <w:b/>
          <w:sz w:val="24"/>
          <w:szCs w:val="24"/>
        </w:rPr>
      </w:pPr>
      <w:r>
        <w:br w:type="page"/>
      </w:r>
    </w:p>
    <w:p w14:paraId="433E1997" w14:textId="77777777" w:rsidR="00436146" w:rsidRDefault="00436146" w:rsidP="00436146">
      <w:pPr>
        <w:pStyle w:val="Heading2"/>
      </w:pPr>
      <w:r>
        <w:lastRenderedPageBreak/>
        <w:t>Tables</w:t>
      </w:r>
    </w:p>
    <w:p w14:paraId="40688581" w14:textId="77777777" w:rsidR="00436146" w:rsidRDefault="00436146" w:rsidP="00436146">
      <w:pPr>
        <w:spacing w:line="276" w:lineRule="auto"/>
      </w:pPr>
    </w:p>
    <w:p w14:paraId="04D682EE" w14:textId="21555036" w:rsidR="00436146" w:rsidRDefault="000D1CE0" w:rsidP="00436146">
      <w:pPr>
        <w:spacing w:line="240" w:lineRule="auto"/>
        <w:rPr>
          <w:szCs w:val="20"/>
        </w:rPr>
      </w:pPr>
      <w:r>
        <w:rPr>
          <w:rFonts w:ascii="Arial" w:hAnsi="Arial"/>
          <w:b/>
        </w:rPr>
        <w:t>S1 Table</w:t>
      </w:r>
      <w:r w:rsidR="00436146" w:rsidRPr="000E1DC4">
        <w:rPr>
          <w:rFonts w:ascii="Arial" w:hAnsi="Arial"/>
          <w:b/>
        </w:rPr>
        <w:t>.</w:t>
      </w:r>
      <w:r w:rsidR="00436146">
        <w:rPr>
          <w:rFonts w:ascii="Arial" w:hAnsi="Arial"/>
        </w:rPr>
        <w:t xml:space="preserve"> Estimated </w:t>
      </w:r>
      <w:r w:rsidR="00436146" w:rsidRPr="001E40F5">
        <w:rPr>
          <w:rFonts w:ascii="Arial" w:hAnsi="Arial"/>
        </w:rPr>
        <w:t>LTBI prevalence in selected demographic groups</w:t>
      </w:r>
      <w:r w:rsidR="00436146">
        <w:rPr>
          <w:rFonts w:ascii="Arial" w:hAnsi="Arial"/>
        </w:rPr>
        <w:t xml:space="preserve"> (15 or older California population). </w:t>
      </w:r>
    </w:p>
    <w:p w14:paraId="34698881" w14:textId="77777777" w:rsidR="00436146" w:rsidRPr="001E40F5" w:rsidRDefault="00436146" w:rsidP="00436146">
      <w:pPr>
        <w:spacing w:line="240" w:lineRule="auto"/>
        <w:rPr>
          <w:rFonts w:ascii="Arial" w:hAnsi="Arial"/>
        </w:rPr>
      </w:pPr>
    </w:p>
    <w:tbl>
      <w:tblPr>
        <w:tblStyle w:val="TableGrid"/>
        <w:tblW w:w="3145" w:type="dxa"/>
        <w:tblLook w:val="04A0" w:firstRow="1" w:lastRow="0" w:firstColumn="1" w:lastColumn="0" w:noHBand="0" w:noVBand="1"/>
      </w:tblPr>
      <w:tblGrid>
        <w:gridCol w:w="980"/>
        <w:gridCol w:w="989"/>
        <w:gridCol w:w="1176"/>
      </w:tblGrid>
      <w:tr w:rsidR="00436146" w:rsidRPr="00B91739" w14:paraId="073D9BA0" w14:textId="77777777" w:rsidTr="001B215D">
        <w:trPr>
          <w:trHeight w:val="250"/>
        </w:trPr>
        <w:tc>
          <w:tcPr>
            <w:tcW w:w="980" w:type="dxa"/>
            <w:noWrap/>
            <w:vAlign w:val="center"/>
            <w:hideMark/>
          </w:tcPr>
          <w:p w14:paraId="4FA67E80" w14:textId="77777777" w:rsidR="00436146" w:rsidRPr="00B91739" w:rsidRDefault="00436146" w:rsidP="001B215D">
            <w:pPr>
              <w:spacing w:line="240" w:lineRule="auto"/>
              <w:jc w:val="center"/>
              <w:rPr>
                <w:rFonts w:ascii="Arial" w:hAnsi="Arial"/>
                <w:sz w:val="16"/>
                <w:szCs w:val="16"/>
              </w:rPr>
            </w:pPr>
          </w:p>
        </w:tc>
        <w:tc>
          <w:tcPr>
            <w:tcW w:w="989" w:type="dxa"/>
            <w:noWrap/>
            <w:vAlign w:val="center"/>
            <w:hideMark/>
          </w:tcPr>
          <w:p w14:paraId="414FD2D6" w14:textId="77777777" w:rsidR="00436146" w:rsidRPr="00B91739" w:rsidRDefault="00436146" w:rsidP="001B215D">
            <w:pPr>
              <w:spacing w:line="240" w:lineRule="auto"/>
              <w:jc w:val="center"/>
              <w:rPr>
                <w:rFonts w:ascii="Arial" w:eastAsia="Times New Roman" w:hAnsi="Arial"/>
                <w:b/>
                <w:bCs/>
                <w:sz w:val="16"/>
                <w:szCs w:val="16"/>
              </w:rPr>
            </w:pPr>
            <w:r w:rsidRPr="00B91739">
              <w:rPr>
                <w:rFonts w:ascii="Arial" w:eastAsia="Times New Roman" w:hAnsi="Arial"/>
                <w:b/>
                <w:bCs/>
                <w:sz w:val="16"/>
                <w:szCs w:val="16"/>
              </w:rPr>
              <w:t>US born</w:t>
            </w:r>
          </w:p>
        </w:tc>
        <w:tc>
          <w:tcPr>
            <w:tcW w:w="1176" w:type="dxa"/>
            <w:noWrap/>
            <w:vAlign w:val="center"/>
            <w:hideMark/>
          </w:tcPr>
          <w:p w14:paraId="2E582985" w14:textId="77777777" w:rsidR="00436146" w:rsidRPr="00B91739" w:rsidRDefault="00436146" w:rsidP="001B215D">
            <w:pPr>
              <w:spacing w:line="240" w:lineRule="auto"/>
              <w:jc w:val="center"/>
              <w:rPr>
                <w:rFonts w:ascii="Arial" w:eastAsia="Times New Roman" w:hAnsi="Arial"/>
                <w:b/>
                <w:bCs/>
                <w:sz w:val="16"/>
                <w:szCs w:val="16"/>
              </w:rPr>
            </w:pPr>
            <w:r>
              <w:rPr>
                <w:rFonts w:ascii="Arial" w:eastAsia="Times New Roman" w:hAnsi="Arial"/>
                <w:b/>
                <w:bCs/>
                <w:sz w:val="16"/>
                <w:szCs w:val="16"/>
              </w:rPr>
              <w:t>Non-US-born</w:t>
            </w:r>
          </w:p>
        </w:tc>
      </w:tr>
      <w:tr w:rsidR="00436146" w:rsidRPr="00B91739" w14:paraId="4454E802" w14:textId="77777777" w:rsidTr="001B215D">
        <w:trPr>
          <w:trHeight w:val="250"/>
        </w:trPr>
        <w:tc>
          <w:tcPr>
            <w:tcW w:w="980" w:type="dxa"/>
            <w:noWrap/>
            <w:vAlign w:val="center"/>
            <w:hideMark/>
          </w:tcPr>
          <w:p w14:paraId="61880777" w14:textId="77777777" w:rsidR="00436146" w:rsidRPr="00B91739" w:rsidRDefault="00436146" w:rsidP="001B215D">
            <w:pPr>
              <w:spacing w:line="240" w:lineRule="auto"/>
              <w:jc w:val="center"/>
              <w:rPr>
                <w:rFonts w:ascii="Arial" w:eastAsia="Times New Roman" w:hAnsi="Arial"/>
                <w:b/>
                <w:bCs/>
                <w:sz w:val="16"/>
                <w:szCs w:val="16"/>
              </w:rPr>
            </w:pPr>
            <w:r w:rsidRPr="00B91739">
              <w:rPr>
                <w:rFonts w:ascii="Arial" w:eastAsia="Times New Roman" w:hAnsi="Arial"/>
                <w:b/>
                <w:bCs/>
                <w:sz w:val="16"/>
                <w:szCs w:val="16"/>
              </w:rPr>
              <w:t>Total</w:t>
            </w:r>
          </w:p>
        </w:tc>
        <w:tc>
          <w:tcPr>
            <w:tcW w:w="989" w:type="dxa"/>
            <w:noWrap/>
            <w:vAlign w:val="center"/>
            <w:hideMark/>
          </w:tcPr>
          <w:p w14:paraId="3A933ED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2.4%</w:t>
            </w:r>
          </w:p>
        </w:tc>
        <w:tc>
          <w:tcPr>
            <w:tcW w:w="1176" w:type="dxa"/>
            <w:noWrap/>
            <w:vAlign w:val="center"/>
            <w:hideMark/>
          </w:tcPr>
          <w:p w14:paraId="3DDF8DE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19.4%</w:t>
            </w:r>
          </w:p>
        </w:tc>
      </w:tr>
      <w:tr w:rsidR="00436146" w:rsidRPr="00B91739" w14:paraId="4BEC5DE3" w14:textId="77777777" w:rsidTr="001B215D">
        <w:trPr>
          <w:trHeight w:val="250"/>
        </w:trPr>
        <w:tc>
          <w:tcPr>
            <w:tcW w:w="980" w:type="dxa"/>
            <w:noWrap/>
            <w:vAlign w:val="center"/>
            <w:hideMark/>
          </w:tcPr>
          <w:p w14:paraId="08557AEF" w14:textId="77777777" w:rsidR="00436146" w:rsidRPr="00B91739" w:rsidRDefault="00436146" w:rsidP="001B215D">
            <w:pPr>
              <w:spacing w:line="240" w:lineRule="auto"/>
              <w:jc w:val="center"/>
              <w:rPr>
                <w:rFonts w:ascii="Arial" w:eastAsia="Times New Roman" w:hAnsi="Arial"/>
                <w:sz w:val="16"/>
                <w:szCs w:val="16"/>
              </w:rPr>
            </w:pPr>
          </w:p>
        </w:tc>
        <w:tc>
          <w:tcPr>
            <w:tcW w:w="989" w:type="dxa"/>
            <w:noWrap/>
            <w:vAlign w:val="center"/>
            <w:hideMark/>
          </w:tcPr>
          <w:p w14:paraId="5259CD02" w14:textId="77777777" w:rsidR="00436146" w:rsidRPr="00B91739" w:rsidRDefault="00436146" w:rsidP="001B215D">
            <w:pPr>
              <w:spacing w:line="240" w:lineRule="auto"/>
              <w:jc w:val="center"/>
              <w:rPr>
                <w:rFonts w:ascii="Arial" w:eastAsia="Times New Roman" w:hAnsi="Arial"/>
                <w:sz w:val="16"/>
                <w:szCs w:val="16"/>
              </w:rPr>
            </w:pPr>
          </w:p>
        </w:tc>
        <w:tc>
          <w:tcPr>
            <w:tcW w:w="1176" w:type="dxa"/>
            <w:noWrap/>
            <w:vAlign w:val="center"/>
            <w:hideMark/>
          </w:tcPr>
          <w:p w14:paraId="5A1AA9AE" w14:textId="77777777" w:rsidR="00436146" w:rsidRPr="00B91739" w:rsidRDefault="00436146" w:rsidP="001B215D">
            <w:pPr>
              <w:spacing w:line="240" w:lineRule="auto"/>
              <w:jc w:val="center"/>
              <w:rPr>
                <w:rFonts w:ascii="Arial" w:eastAsia="Times New Roman" w:hAnsi="Arial"/>
                <w:sz w:val="16"/>
                <w:szCs w:val="16"/>
              </w:rPr>
            </w:pPr>
          </w:p>
        </w:tc>
      </w:tr>
      <w:tr w:rsidR="00436146" w:rsidRPr="00B91739" w14:paraId="48AB72C3" w14:textId="77777777" w:rsidTr="001B215D">
        <w:trPr>
          <w:trHeight w:val="250"/>
        </w:trPr>
        <w:tc>
          <w:tcPr>
            <w:tcW w:w="980" w:type="dxa"/>
            <w:noWrap/>
            <w:vAlign w:val="center"/>
            <w:hideMark/>
          </w:tcPr>
          <w:p w14:paraId="45DAB9F6" w14:textId="77777777" w:rsidR="00436146" w:rsidRPr="00B91739" w:rsidRDefault="00436146" w:rsidP="001B215D">
            <w:pPr>
              <w:spacing w:line="240" w:lineRule="auto"/>
              <w:jc w:val="center"/>
              <w:rPr>
                <w:rFonts w:ascii="Arial" w:eastAsia="Times New Roman" w:hAnsi="Arial"/>
                <w:b/>
                <w:bCs/>
                <w:sz w:val="16"/>
                <w:szCs w:val="16"/>
              </w:rPr>
            </w:pPr>
            <w:r w:rsidRPr="00B91739">
              <w:rPr>
                <w:rFonts w:ascii="Arial" w:eastAsia="Times New Roman" w:hAnsi="Arial"/>
                <w:b/>
                <w:bCs/>
                <w:sz w:val="16"/>
                <w:szCs w:val="16"/>
              </w:rPr>
              <w:t>Sex</w:t>
            </w:r>
          </w:p>
        </w:tc>
        <w:tc>
          <w:tcPr>
            <w:tcW w:w="989" w:type="dxa"/>
            <w:noWrap/>
            <w:vAlign w:val="center"/>
            <w:hideMark/>
          </w:tcPr>
          <w:p w14:paraId="731CECCE" w14:textId="77777777" w:rsidR="00436146" w:rsidRPr="00B91739" w:rsidRDefault="00436146" w:rsidP="001B215D">
            <w:pPr>
              <w:spacing w:line="240" w:lineRule="auto"/>
              <w:jc w:val="center"/>
              <w:rPr>
                <w:rFonts w:ascii="Arial" w:eastAsia="Times New Roman" w:hAnsi="Arial"/>
                <w:b/>
                <w:bCs/>
                <w:sz w:val="16"/>
                <w:szCs w:val="16"/>
              </w:rPr>
            </w:pPr>
          </w:p>
        </w:tc>
        <w:tc>
          <w:tcPr>
            <w:tcW w:w="1176" w:type="dxa"/>
            <w:noWrap/>
            <w:vAlign w:val="center"/>
            <w:hideMark/>
          </w:tcPr>
          <w:p w14:paraId="37B57DE4" w14:textId="77777777" w:rsidR="00436146" w:rsidRPr="00B91739" w:rsidRDefault="00436146" w:rsidP="001B215D">
            <w:pPr>
              <w:spacing w:line="240" w:lineRule="auto"/>
              <w:jc w:val="center"/>
              <w:rPr>
                <w:rFonts w:ascii="Arial" w:eastAsia="Times New Roman" w:hAnsi="Arial"/>
                <w:sz w:val="16"/>
                <w:szCs w:val="16"/>
              </w:rPr>
            </w:pPr>
          </w:p>
        </w:tc>
      </w:tr>
      <w:tr w:rsidR="00436146" w:rsidRPr="00B91739" w14:paraId="4304B944" w14:textId="77777777" w:rsidTr="001B215D">
        <w:trPr>
          <w:trHeight w:val="250"/>
        </w:trPr>
        <w:tc>
          <w:tcPr>
            <w:tcW w:w="980" w:type="dxa"/>
            <w:noWrap/>
            <w:vAlign w:val="center"/>
            <w:hideMark/>
          </w:tcPr>
          <w:p w14:paraId="745E81F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Male</w:t>
            </w:r>
          </w:p>
        </w:tc>
        <w:tc>
          <w:tcPr>
            <w:tcW w:w="989" w:type="dxa"/>
            <w:noWrap/>
            <w:vAlign w:val="center"/>
            <w:hideMark/>
          </w:tcPr>
          <w:p w14:paraId="68AE07B3"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3.1%</w:t>
            </w:r>
          </w:p>
        </w:tc>
        <w:tc>
          <w:tcPr>
            <w:tcW w:w="1176" w:type="dxa"/>
            <w:noWrap/>
            <w:vAlign w:val="center"/>
            <w:hideMark/>
          </w:tcPr>
          <w:p w14:paraId="776A45CD"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24.4%</w:t>
            </w:r>
          </w:p>
        </w:tc>
      </w:tr>
      <w:tr w:rsidR="00436146" w:rsidRPr="00B91739" w14:paraId="5CE95220" w14:textId="77777777" w:rsidTr="001B215D">
        <w:trPr>
          <w:trHeight w:val="250"/>
        </w:trPr>
        <w:tc>
          <w:tcPr>
            <w:tcW w:w="980" w:type="dxa"/>
            <w:noWrap/>
            <w:vAlign w:val="center"/>
            <w:hideMark/>
          </w:tcPr>
          <w:p w14:paraId="27443FD8"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Female</w:t>
            </w:r>
          </w:p>
        </w:tc>
        <w:tc>
          <w:tcPr>
            <w:tcW w:w="989" w:type="dxa"/>
            <w:noWrap/>
            <w:vAlign w:val="center"/>
            <w:hideMark/>
          </w:tcPr>
          <w:p w14:paraId="005208A8"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1.7%</w:t>
            </w:r>
          </w:p>
        </w:tc>
        <w:tc>
          <w:tcPr>
            <w:tcW w:w="1176" w:type="dxa"/>
            <w:noWrap/>
            <w:vAlign w:val="center"/>
            <w:hideMark/>
          </w:tcPr>
          <w:p w14:paraId="6622B79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14.8%</w:t>
            </w:r>
          </w:p>
        </w:tc>
      </w:tr>
      <w:tr w:rsidR="00436146" w:rsidRPr="00B91739" w14:paraId="5025E33F" w14:textId="77777777" w:rsidTr="001B215D">
        <w:trPr>
          <w:trHeight w:val="250"/>
        </w:trPr>
        <w:tc>
          <w:tcPr>
            <w:tcW w:w="980" w:type="dxa"/>
            <w:noWrap/>
            <w:vAlign w:val="center"/>
            <w:hideMark/>
          </w:tcPr>
          <w:p w14:paraId="7E008809" w14:textId="77777777" w:rsidR="00436146" w:rsidRPr="00B91739" w:rsidRDefault="00436146" w:rsidP="001B215D">
            <w:pPr>
              <w:spacing w:line="240" w:lineRule="auto"/>
              <w:jc w:val="center"/>
              <w:rPr>
                <w:rFonts w:ascii="Arial" w:eastAsia="Times New Roman" w:hAnsi="Arial"/>
                <w:sz w:val="16"/>
                <w:szCs w:val="16"/>
              </w:rPr>
            </w:pPr>
          </w:p>
        </w:tc>
        <w:tc>
          <w:tcPr>
            <w:tcW w:w="989" w:type="dxa"/>
            <w:noWrap/>
            <w:vAlign w:val="center"/>
            <w:hideMark/>
          </w:tcPr>
          <w:p w14:paraId="756FCF7B" w14:textId="77777777" w:rsidR="00436146" w:rsidRPr="00B91739" w:rsidRDefault="00436146" w:rsidP="001B215D">
            <w:pPr>
              <w:spacing w:line="240" w:lineRule="auto"/>
              <w:jc w:val="center"/>
              <w:rPr>
                <w:rFonts w:ascii="Arial" w:eastAsia="Times New Roman" w:hAnsi="Arial"/>
                <w:sz w:val="16"/>
                <w:szCs w:val="16"/>
              </w:rPr>
            </w:pPr>
          </w:p>
        </w:tc>
        <w:tc>
          <w:tcPr>
            <w:tcW w:w="1176" w:type="dxa"/>
            <w:noWrap/>
            <w:vAlign w:val="center"/>
            <w:hideMark/>
          </w:tcPr>
          <w:p w14:paraId="5D779898" w14:textId="77777777" w:rsidR="00436146" w:rsidRPr="00B91739" w:rsidRDefault="00436146" w:rsidP="001B215D">
            <w:pPr>
              <w:spacing w:line="240" w:lineRule="auto"/>
              <w:jc w:val="center"/>
              <w:rPr>
                <w:rFonts w:ascii="Arial" w:eastAsia="Times New Roman" w:hAnsi="Arial"/>
                <w:sz w:val="16"/>
                <w:szCs w:val="16"/>
              </w:rPr>
            </w:pPr>
          </w:p>
        </w:tc>
      </w:tr>
      <w:tr w:rsidR="00436146" w:rsidRPr="00B91739" w14:paraId="5465CC78" w14:textId="77777777" w:rsidTr="001B215D">
        <w:trPr>
          <w:trHeight w:val="250"/>
        </w:trPr>
        <w:tc>
          <w:tcPr>
            <w:tcW w:w="1969" w:type="dxa"/>
            <w:gridSpan w:val="2"/>
            <w:noWrap/>
            <w:vAlign w:val="center"/>
            <w:hideMark/>
          </w:tcPr>
          <w:p w14:paraId="588BD488" w14:textId="77777777" w:rsidR="00436146" w:rsidRPr="00B91739" w:rsidRDefault="00436146" w:rsidP="001B215D">
            <w:pPr>
              <w:spacing w:line="240" w:lineRule="auto"/>
              <w:jc w:val="center"/>
              <w:rPr>
                <w:rFonts w:ascii="Arial" w:eastAsia="Times New Roman" w:hAnsi="Arial"/>
                <w:b/>
                <w:bCs/>
                <w:sz w:val="16"/>
                <w:szCs w:val="16"/>
              </w:rPr>
            </w:pPr>
            <w:r w:rsidRPr="00B91739">
              <w:rPr>
                <w:rFonts w:ascii="Arial" w:eastAsia="Times New Roman" w:hAnsi="Arial"/>
                <w:b/>
                <w:bCs/>
                <w:sz w:val="16"/>
                <w:szCs w:val="16"/>
              </w:rPr>
              <w:t>Race/Ethnicity</w:t>
            </w:r>
          </w:p>
        </w:tc>
        <w:tc>
          <w:tcPr>
            <w:tcW w:w="1176" w:type="dxa"/>
            <w:noWrap/>
            <w:vAlign w:val="center"/>
            <w:hideMark/>
          </w:tcPr>
          <w:p w14:paraId="07654DC9" w14:textId="77777777" w:rsidR="00436146" w:rsidRPr="00B91739" w:rsidRDefault="00436146" w:rsidP="001B215D">
            <w:pPr>
              <w:spacing w:line="240" w:lineRule="auto"/>
              <w:jc w:val="center"/>
              <w:rPr>
                <w:rFonts w:ascii="Arial" w:eastAsia="Times New Roman" w:hAnsi="Arial"/>
                <w:b/>
                <w:bCs/>
                <w:sz w:val="16"/>
                <w:szCs w:val="16"/>
              </w:rPr>
            </w:pPr>
          </w:p>
        </w:tc>
      </w:tr>
      <w:tr w:rsidR="00436146" w:rsidRPr="00B91739" w14:paraId="69DA7A2D" w14:textId="77777777" w:rsidTr="001B215D">
        <w:trPr>
          <w:trHeight w:val="250"/>
        </w:trPr>
        <w:tc>
          <w:tcPr>
            <w:tcW w:w="980" w:type="dxa"/>
            <w:noWrap/>
            <w:vAlign w:val="center"/>
            <w:hideMark/>
          </w:tcPr>
          <w:p w14:paraId="6061F720"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Asian</w:t>
            </w:r>
          </w:p>
        </w:tc>
        <w:tc>
          <w:tcPr>
            <w:tcW w:w="989" w:type="dxa"/>
            <w:noWrap/>
            <w:vAlign w:val="center"/>
            <w:hideMark/>
          </w:tcPr>
          <w:p w14:paraId="2952772B"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5.1%</w:t>
            </w:r>
          </w:p>
        </w:tc>
        <w:tc>
          <w:tcPr>
            <w:tcW w:w="1176" w:type="dxa"/>
            <w:noWrap/>
            <w:vAlign w:val="center"/>
            <w:hideMark/>
          </w:tcPr>
          <w:p w14:paraId="5BB27FB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30.1%</w:t>
            </w:r>
          </w:p>
        </w:tc>
      </w:tr>
      <w:tr w:rsidR="00436146" w:rsidRPr="00B91739" w14:paraId="42A75269" w14:textId="77777777" w:rsidTr="001B215D">
        <w:trPr>
          <w:trHeight w:val="250"/>
        </w:trPr>
        <w:tc>
          <w:tcPr>
            <w:tcW w:w="980" w:type="dxa"/>
            <w:noWrap/>
            <w:vAlign w:val="center"/>
            <w:hideMark/>
          </w:tcPr>
          <w:p w14:paraId="7D8E035C"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Hispanic</w:t>
            </w:r>
          </w:p>
        </w:tc>
        <w:tc>
          <w:tcPr>
            <w:tcW w:w="989" w:type="dxa"/>
            <w:noWrap/>
            <w:vAlign w:val="center"/>
            <w:hideMark/>
          </w:tcPr>
          <w:p w14:paraId="4C23D9A8"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2.7%</w:t>
            </w:r>
          </w:p>
        </w:tc>
        <w:tc>
          <w:tcPr>
            <w:tcW w:w="1176" w:type="dxa"/>
            <w:noWrap/>
            <w:vAlign w:val="center"/>
            <w:hideMark/>
          </w:tcPr>
          <w:p w14:paraId="1661D7FA"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13.8%</w:t>
            </w:r>
          </w:p>
        </w:tc>
      </w:tr>
      <w:tr w:rsidR="00436146" w:rsidRPr="00B91739" w14:paraId="4F38AF51" w14:textId="77777777" w:rsidTr="001B215D">
        <w:trPr>
          <w:trHeight w:val="250"/>
        </w:trPr>
        <w:tc>
          <w:tcPr>
            <w:tcW w:w="980" w:type="dxa"/>
            <w:noWrap/>
            <w:vAlign w:val="center"/>
            <w:hideMark/>
          </w:tcPr>
          <w:p w14:paraId="28114FA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Black</w:t>
            </w:r>
          </w:p>
        </w:tc>
        <w:tc>
          <w:tcPr>
            <w:tcW w:w="989" w:type="dxa"/>
            <w:noWrap/>
            <w:vAlign w:val="center"/>
            <w:hideMark/>
          </w:tcPr>
          <w:p w14:paraId="3B29746A"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7.1%</w:t>
            </w:r>
          </w:p>
        </w:tc>
        <w:tc>
          <w:tcPr>
            <w:tcW w:w="1176" w:type="dxa"/>
            <w:noWrap/>
            <w:vAlign w:val="center"/>
            <w:hideMark/>
          </w:tcPr>
          <w:p w14:paraId="4063C99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21.7%</w:t>
            </w:r>
          </w:p>
        </w:tc>
      </w:tr>
      <w:tr w:rsidR="00436146" w:rsidRPr="00B91739" w14:paraId="6EA28FD7" w14:textId="77777777" w:rsidTr="001B215D">
        <w:trPr>
          <w:trHeight w:val="250"/>
        </w:trPr>
        <w:tc>
          <w:tcPr>
            <w:tcW w:w="980" w:type="dxa"/>
            <w:noWrap/>
            <w:vAlign w:val="center"/>
            <w:hideMark/>
          </w:tcPr>
          <w:p w14:paraId="4CAAA8F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White</w:t>
            </w:r>
          </w:p>
        </w:tc>
        <w:tc>
          <w:tcPr>
            <w:tcW w:w="989" w:type="dxa"/>
            <w:noWrap/>
            <w:vAlign w:val="center"/>
            <w:hideMark/>
          </w:tcPr>
          <w:p w14:paraId="4A21E7B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1.4%</w:t>
            </w:r>
          </w:p>
        </w:tc>
        <w:tc>
          <w:tcPr>
            <w:tcW w:w="1176" w:type="dxa"/>
            <w:noWrap/>
            <w:vAlign w:val="center"/>
            <w:hideMark/>
          </w:tcPr>
          <w:p w14:paraId="11C28630"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15.1%</w:t>
            </w:r>
          </w:p>
        </w:tc>
      </w:tr>
      <w:tr w:rsidR="00436146" w:rsidRPr="00B91739" w14:paraId="7CF1315E" w14:textId="77777777" w:rsidTr="001B215D">
        <w:trPr>
          <w:trHeight w:val="250"/>
        </w:trPr>
        <w:tc>
          <w:tcPr>
            <w:tcW w:w="980" w:type="dxa"/>
            <w:noWrap/>
            <w:vAlign w:val="center"/>
            <w:hideMark/>
          </w:tcPr>
          <w:p w14:paraId="6D7511FB"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Other</w:t>
            </w:r>
          </w:p>
        </w:tc>
        <w:tc>
          <w:tcPr>
            <w:tcW w:w="989" w:type="dxa"/>
            <w:noWrap/>
            <w:vAlign w:val="center"/>
            <w:hideMark/>
          </w:tcPr>
          <w:p w14:paraId="3F3FB329"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2.2%</w:t>
            </w:r>
          </w:p>
        </w:tc>
        <w:tc>
          <w:tcPr>
            <w:tcW w:w="1176" w:type="dxa"/>
            <w:noWrap/>
            <w:vAlign w:val="center"/>
            <w:hideMark/>
          </w:tcPr>
          <w:p w14:paraId="09C8F1C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25.5%</w:t>
            </w:r>
          </w:p>
        </w:tc>
      </w:tr>
      <w:tr w:rsidR="00436146" w:rsidRPr="00B91739" w14:paraId="627938D4" w14:textId="77777777" w:rsidTr="001B215D">
        <w:trPr>
          <w:trHeight w:val="250"/>
        </w:trPr>
        <w:tc>
          <w:tcPr>
            <w:tcW w:w="980" w:type="dxa"/>
            <w:noWrap/>
            <w:vAlign w:val="center"/>
            <w:hideMark/>
          </w:tcPr>
          <w:p w14:paraId="4BFFD291" w14:textId="77777777" w:rsidR="00436146" w:rsidRPr="00B91739" w:rsidRDefault="00436146" w:rsidP="001B215D">
            <w:pPr>
              <w:spacing w:line="240" w:lineRule="auto"/>
              <w:jc w:val="center"/>
              <w:rPr>
                <w:rFonts w:ascii="Arial" w:eastAsia="Times New Roman" w:hAnsi="Arial"/>
                <w:sz w:val="16"/>
                <w:szCs w:val="16"/>
              </w:rPr>
            </w:pPr>
          </w:p>
        </w:tc>
        <w:tc>
          <w:tcPr>
            <w:tcW w:w="989" w:type="dxa"/>
            <w:noWrap/>
            <w:vAlign w:val="center"/>
            <w:hideMark/>
          </w:tcPr>
          <w:p w14:paraId="303DE26A" w14:textId="77777777" w:rsidR="00436146" w:rsidRPr="00B91739" w:rsidRDefault="00436146" w:rsidP="001B215D">
            <w:pPr>
              <w:spacing w:line="240" w:lineRule="auto"/>
              <w:jc w:val="center"/>
              <w:rPr>
                <w:rFonts w:ascii="Arial" w:eastAsia="Times New Roman" w:hAnsi="Arial"/>
                <w:sz w:val="16"/>
                <w:szCs w:val="16"/>
              </w:rPr>
            </w:pPr>
          </w:p>
        </w:tc>
        <w:tc>
          <w:tcPr>
            <w:tcW w:w="1176" w:type="dxa"/>
            <w:noWrap/>
            <w:vAlign w:val="center"/>
            <w:hideMark/>
          </w:tcPr>
          <w:p w14:paraId="5123B8E6" w14:textId="77777777" w:rsidR="00436146" w:rsidRPr="00B91739" w:rsidRDefault="00436146" w:rsidP="001B215D">
            <w:pPr>
              <w:spacing w:line="240" w:lineRule="auto"/>
              <w:jc w:val="center"/>
              <w:rPr>
                <w:rFonts w:ascii="Arial" w:eastAsia="Times New Roman" w:hAnsi="Arial"/>
                <w:sz w:val="16"/>
                <w:szCs w:val="16"/>
              </w:rPr>
            </w:pPr>
          </w:p>
        </w:tc>
      </w:tr>
      <w:tr w:rsidR="00436146" w:rsidRPr="00B91739" w14:paraId="71740B2A" w14:textId="77777777" w:rsidTr="001B215D">
        <w:trPr>
          <w:trHeight w:val="250"/>
        </w:trPr>
        <w:tc>
          <w:tcPr>
            <w:tcW w:w="980" w:type="dxa"/>
            <w:noWrap/>
            <w:vAlign w:val="center"/>
            <w:hideMark/>
          </w:tcPr>
          <w:p w14:paraId="5F85FEB8" w14:textId="77777777" w:rsidR="00436146" w:rsidRPr="00B91739" w:rsidRDefault="00436146" w:rsidP="001B215D">
            <w:pPr>
              <w:spacing w:line="240" w:lineRule="auto"/>
              <w:jc w:val="center"/>
              <w:rPr>
                <w:rFonts w:ascii="Arial" w:eastAsia="Times New Roman" w:hAnsi="Arial"/>
                <w:b/>
                <w:bCs/>
                <w:sz w:val="16"/>
                <w:szCs w:val="16"/>
              </w:rPr>
            </w:pPr>
            <w:r w:rsidRPr="00B91739">
              <w:rPr>
                <w:rFonts w:ascii="Arial" w:eastAsia="Times New Roman" w:hAnsi="Arial"/>
                <w:b/>
                <w:bCs/>
                <w:sz w:val="16"/>
                <w:szCs w:val="16"/>
              </w:rPr>
              <w:t>Age</w:t>
            </w:r>
          </w:p>
        </w:tc>
        <w:tc>
          <w:tcPr>
            <w:tcW w:w="989" w:type="dxa"/>
            <w:noWrap/>
            <w:vAlign w:val="center"/>
            <w:hideMark/>
          </w:tcPr>
          <w:p w14:paraId="3289D3A7" w14:textId="77777777" w:rsidR="00436146" w:rsidRPr="00B91739" w:rsidRDefault="00436146" w:rsidP="001B215D">
            <w:pPr>
              <w:spacing w:line="240" w:lineRule="auto"/>
              <w:jc w:val="center"/>
              <w:rPr>
                <w:rFonts w:ascii="Arial" w:eastAsia="Times New Roman" w:hAnsi="Arial"/>
                <w:b/>
                <w:bCs/>
                <w:sz w:val="16"/>
                <w:szCs w:val="16"/>
              </w:rPr>
            </w:pPr>
          </w:p>
        </w:tc>
        <w:tc>
          <w:tcPr>
            <w:tcW w:w="1176" w:type="dxa"/>
            <w:noWrap/>
            <w:vAlign w:val="center"/>
            <w:hideMark/>
          </w:tcPr>
          <w:p w14:paraId="6C897C57" w14:textId="77777777" w:rsidR="00436146" w:rsidRPr="00B91739" w:rsidRDefault="00436146" w:rsidP="001B215D">
            <w:pPr>
              <w:spacing w:line="240" w:lineRule="auto"/>
              <w:jc w:val="center"/>
              <w:rPr>
                <w:rFonts w:ascii="Arial" w:eastAsia="Times New Roman" w:hAnsi="Arial"/>
                <w:sz w:val="16"/>
                <w:szCs w:val="16"/>
              </w:rPr>
            </w:pPr>
          </w:p>
        </w:tc>
      </w:tr>
      <w:tr w:rsidR="00436146" w:rsidRPr="00B91739" w14:paraId="429BA964" w14:textId="77777777" w:rsidTr="001B215D">
        <w:trPr>
          <w:trHeight w:val="250"/>
        </w:trPr>
        <w:tc>
          <w:tcPr>
            <w:tcW w:w="980" w:type="dxa"/>
            <w:noWrap/>
            <w:vAlign w:val="center"/>
            <w:hideMark/>
          </w:tcPr>
          <w:p w14:paraId="0BDD4A50"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15-19</w:t>
            </w:r>
          </w:p>
        </w:tc>
        <w:tc>
          <w:tcPr>
            <w:tcW w:w="989" w:type="dxa"/>
            <w:noWrap/>
            <w:vAlign w:val="center"/>
            <w:hideMark/>
          </w:tcPr>
          <w:p w14:paraId="4378A2D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0.4%</w:t>
            </w:r>
          </w:p>
        </w:tc>
        <w:tc>
          <w:tcPr>
            <w:tcW w:w="1176" w:type="dxa"/>
            <w:noWrap/>
            <w:vAlign w:val="center"/>
            <w:hideMark/>
          </w:tcPr>
          <w:p w14:paraId="060D2D9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11.1%</w:t>
            </w:r>
          </w:p>
        </w:tc>
      </w:tr>
      <w:tr w:rsidR="00436146" w:rsidRPr="00B91739" w14:paraId="23071965" w14:textId="77777777" w:rsidTr="001B215D">
        <w:trPr>
          <w:trHeight w:val="250"/>
        </w:trPr>
        <w:tc>
          <w:tcPr>
            <w:tcW w:w="980" w:type="dxa"/>
            <w:noWrap/>
            <w:vAlign w:val="center"/>
            <w:hideMark/>
          </w:tcPr>
          <w:p w14:paraId="68BE347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20-24</w:t>
            </w:r>
          </w:p>
        </w:tc>
        <w:tc>
          <w:tcPr>
            <w:tcW w:w="989" w:type="dxa"/>
            <w:noWrap/>
            <w:vAlign w:val="center"/>
            <w:hideMark/>
          </w:tcPr>
          <w:p w14:paraId="63F0DDCD"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0.7%</w:t>
            </w:r>
          </w:p>
        </w:tc>
        <w:tc>
          <w:tcPr>
            <w:tcW w:w="1176" w:type="dxa"/>
            <w:noWrap/>
            <w:vAlign w:val="center"/>
            <w:hideMark/>
          </w:tcPr>
          <w:p w14:paraId="2A79F05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12.5%</w:t>
            </w:r>
          </w:p>
        </w:tc>
      </w:tr>
      <w:tr w:rsidR="00436146" w:rsidRPr="00B91739" w14:paraId="05DA2EC8" w14:textId="77777777" w:rsidTr="001B215D">
        <w:trPr>
          <w:trHeight w:val="250"/>
        </w:trPr>
        <w:tc>
          <w:tcPr>
            <w:tcW w:w="980" w:type="dxa"/>
            <w:noWrap/>
            <w:vAlign w:val="center"/>
            <w:hideMark/>
          </w:tcPr>
          <w:p w14:paraId="626609F6"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25-29</w:t>
            </w:r>
          </w:p>
        </w:tc>
        <w:tc>
          <w:tcPr>
            <w:tcW w:w="989" w:type="dxa"/>
            <w:noWrap/>
            <w:vAlign w:val="center"/>
            <w:hideMark/>
          </w:tcPr>
          <w:p w14:paraId="7F990D23"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3.3%</w:t>
            </w:r>
          </w:p>
        </w:tc>
        <w:tc>
          <w:tcPr>
            <w:tcW w:w="1176" w:type="dxa"/>
            <w:noWrap/>
            <w:vAlign w:val="center"/>
            <w:hideMark/>
          </w:tcPr>
          <w:p w14:paraId="2D99F1B3"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19.6%</w:t>
            </w:r>
          </w:p>
        </w:tc>
      </w:tr>
      <w:tr w:rsidR="00436146" w:rsidRPr="00B91739" w14:paraId="5A895C54" w14:textId="77777777" w:rsidTr="001B215D">
        <w:trPr>
          <w:trHeight w:val="250"/>
        </w:trPr>
        <w:tc>
          <w:tcPr>
            <w:tcW w:w="980" w:type="dxa"/>
            <w:noWrap/>
            <w:vAlign w:val="center"/>
            <w:hideMark/>
          </w:tcPr>
          <w:p w14:paraId="1E415E76"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30-34</w:t>
            </w:r>
          </w:p>
        </w:tc>
        <w:tc>
          <w:tcPr>
            <w:tcW w:w="989" w:type="dxa"/>
            <w:noWrap/>
            <w:vAlign w:val="center"/>
            <w:hideMark/>
          </w:tcPr>
          <w:p w14:paraId="4CD1AA5C"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3.2%</w:t>
            </w:r>
          </w:p>
        </w:tc>
        <w:tc>
          <w:tcPr>
            <w:tcW w:w="1176" w:type="dxa"/>
            <w:noWrap/>
            <w:vAlign w:val="center"/>
            <w:hideMark/>
          </w:tcPr>
          <w:p w14:paraId="22816EE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18.4%</w:t>
            </w:r>
          </w:p>
        </w:tc>
      </w:tr>
      <w:tr w:rsidR="00436146" w:rsidRPr="00B91739" w14:paraId="27959EF7" w14:textId="77777777" w:rsidTr="001B215D">
        <w:trPr>
          <w:trHeight w:val="250"/>
        </w:trPr>
        <w:tc>
          <w:tcPr>
            <w:tcW w:w="980" w:type="dxa"/>
            <w:noWrap/>
            <w:vAlign w:val="center"/>
            <w:hideMark/>
          </w:tcPr>
          <w:p w14:paraId="62A7E160"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35-39</w:t>
            </w:r>
          </w:p>
        </w:tc>
        <w:tc>
          <w:tcPr>
            <w:tcW w:w="989" w:type="dxa"/>
            <w:noWrap/>
            <w:vAlign w:val="center"/>
            <w:hideMark/>
          </w:tcPr>
          <w:p w14:paraId="5D7DF810"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2.9%</w:t>
            </w:r>
          </w:p>
        </w:tc>
        <w:tc>
          <w:tcPr>
            <w:tcW w:w="1176" w:type="dxa"/>
            <w:noWrap/>
            <w:vAlign w:val="center"/>
            <w:hideMark/>
          </w:tcPr>
          <w:p w14:paraId="44A275F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20.2%</w:t>
            </w:r>
          </w:p>
        </w:tc>
      </w:tr>
      <w:tr w:rsidR="00436146" w:rsidRPr="00B91739" w14:paraId="244F97B8" w14:textId="77777777" w:rsidTr="001B215D">
        <w:trPr>
          <w:trHeight w:val="250"/>
        </w:trPr>
        <w:tc>
          <w:tcPr>
            <w:tcW w:w="980" w:type="dxa"/>
            <w:noWrap/>
            <w:vAlign w:val="center"/>
            <w:hideMark/>
          </w:tcPr>
          <w:p w14:paraId="32002FB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40-44</w:t>
            </w:r>
          </w:p>
        </w:tc>
        <w:tc>
          <w:tcPr>
            <w:tcW w:w="989" w:type="dxa"/>
            <w:noWrap/>
            <w:vAlign w:val="center"/>
            <w:hideMark/>
          </w:tcPr>
          <w:p w14:paraId="4C334BFB"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2.1%</w:t>
            </w:r>
          </w:p>
        </w:tc>
        <w:tc>
          <w:tcPr>
            <w:tcW w:w="1176" w:type="dxa"/>
            <w:noWrap/>
            <w:vAlign w:val="center"/>
            <w:hideMark/>
          </w:tcPr>
          <w:p w14:paraId="66F6C77B"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18.6%</w:t>
            </w:r>
          </w:p>
        </w:tc>
      </w:tr>
      <w:tr w:rsidR="00436146" w:rsidRPr="00B91739" w14:paraId="0095C5C4" w14:textId="77777777" w:rsidTr="001B215D">
        <w:trPr>
          <w:trHeight w:val="250"/>
        </w:trPr>
        <w:tc>
          <w:tcPr>
            <w:tcW w:w="980" w:type="dxa"/>
            <w:noWrap/>
            <w:vAlign w:val="center"/>
            <w:hideMark/>
          </w:tcPr>
          <w:p w14:paraId="1C7C461D"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45-49</w:t>
            </w:r>
          </w:p>
        </w:tc>
        <w:tc>
          <w:tcPr>
            <w:tcW w:w="989" w:type="dxa"/>
            <w:noWrap/>
            <w:vAlign w:val="center"/>
            <w:hideMark/>
          </w:tcPr>
          <w:p w14:paraId="669A78F6"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4.4%</w:t>
            </w:r>
          </w:p>
        </w:tc>
        <w:tc>
          <w:tcPr>
            <w:tcW w:w="1176" w:type="dxa"/>
            <w:noWrap/>
            <w:vAlign w:val="center"/>
            <w:hideMark/>
          </w:tcPr>
          <w:p w14:paraId="4F1F589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23.1%</w:t>
            </w:r>
          </w:p>
        </w:tc>
      </w:tr>
      <w:tr w:rsidR="00436146" w:rsidRPr="00B91739" w14:paraId="42311C7D" w14:textId="77777777" w:rsidTr="001B215D">
        <w:trPr>
          <w:trHeight w:val="250"/>
        </w:trPr>
        <w:tc>
          <w:tcPr>
            <w:tcW w:w="980" w:type="dxa"/>
            <w:noWrap/>
            <w:vAlign w:val="center"/>
            <w:hideMark/>
          </w:tcPr>
          <w:p w14:paraId="0CD092D3"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50-54</w:t>
            </w:r>
          </w:p>
        </w:tc>
        <w:tc>
          <w:tcPr>
            <w:tcW w:w="989" w:type="dxa"/>
            <w:noWrap/>
            <w:vAlign w:val="center"/>
            <w:hideMark/>
          </w:tcPr>
          <w:p w14:paraId="389D58FC"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3.6%</w:t>
            </w:r>
          </w:p>
        </w:tc>
        <w:tc>
          <w:tcPr>
            <w:tcW w:w="1176" w:type="dxa"/>
            <w:noWrap/>
            <w:vAlign w:val="center"/>
            <w:hideMark/>
          </w:tcPr>
          <w:p w14:paraId="076B8099"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26.1%</w:t>
            </w:r>
          </w:p>
        </w:tc>
      </w:tr>
      <w:tr w:rsidR="00436146" w:rsidRPr="00B91739" w14:paraId="6BCA036F" w14:textId="77777777" w:rsidTr="001B215D">
        <w:trPr>
          <w:trHeight w:val="250"/>
        </w:trPr>
        <w:tc>
          <w:tcPr>
            <w:tcW w:w="980" w:type="dxa"/>
            <w:noWrap/>
            <w:vAlign w:val="center"/>
            <w:hideMark/>
          </w:tcPr>
          <w:p w14:paraId="711EB60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55-59</w:t>
            </w:r>
          </w:p>
        </w:tc>
        <w:tc>
          <w:tcPr>
            <w:tcW w:w="989" w:type="dxa"/>
            <w:noWrap/>
            <w:vAlign w:val="center"/>
            <w:hideMark/>
          </w:tcPr>
          <w:p w14:paraId="4239595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3.7%</w:t>
            </w:r>
          </w:p>
        </w:tc>
        <w:tc>
          <w:tcPr>
            <w:tcW w:w="1176" w:type="dxa"/>
            <w:noWrap/>
            <w:vAlign w:val="center"/>
            <w:hideMark/>
          </w:tcPr>
          <w:p w14:paraId="2D247C8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24.2%</w:t>
            </w:r>
          </w:p>
        </w:tc>
      </w:tr>
      <w:tr w:rsidR="00436146" w:rsidRPr="00B91739" w14:paraId="722FDF14" w14:textId="77777777" w:rsidTr="001B215D">
        <w:trPr>
          <w:trHeight w:val="250"/>
        </w:trPr>
        <w:tc>
          <w:tcPr>
            <w:tcW w:w="980" w:type="dxa"/>
            <w:noWrap/>
            <w:vAlign w:val="center"/>
            <w:hideMark/>
          </w:tcPr>
          <w:p w14:paraId="3FF2A299"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60-64</w:t>
            </w:r>
          </w:p>
        </w:tc>
        <w:tc>
          <w:tcPr>
            <w:tcW w:w="989" w:type="dxa"/>
            <w:noWrap/>
            <w:vAlign w:val="center"/>
            <w:hideMark/>
          </w:tcPr>
          <w:p w14:paraId="5A54A95D"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3.7%</w:t>
            </w:r>
          </w:p>
        </w:tc>
        <w:tc>
          <w:tcPr>
            <w:tcW w:w="1176" w:type="dxa"/>
            <w:noWrap/>
            <w:vAlign w:val="center"/>
            <w:hideMark/>
          </w:tcPr>
          <w:p w14:paraId="7CF2303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27.3%</w:t>
            </w:r>
          </w:p>
        </w:tc>
      </w:tr>
      <w:tr w:rsidR="00436146" w:rsidRPr="00B91739" w14:paraId="1684D643" w14:textId="77777777" w:rsidTr="001B215D">
        <w:trPr>
          <w:trHeight w:val="250"/>
        </w:trPr>
        <w:tc>
          <w:tcPr>
            <w:tcW w:w="980" w:type="dxa"/>
            <w:noWrap/>
            <w:vAlign w:val="center"/>
            <w:hideMark/>
          </w:tcPr>
          <w:p w14:paraId="318DF84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65-69</w:t>
            </w:r>
          </w:p>
        </w:tc>
        <w:tc>
          <w:tcPr>
            <w:tcW w:w="989" w:type="dxa"/>
            <w:noWrap/>
            <w:vAlign w:val="center"/>
            <w:hideMark/>
          </w:tcPr>
          <w:p w14:paraId="2E7A98E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1.7%</w:t>
            </w:r>
          </w:p>
        </w:tc>
        <w:tc>
          <w:tcPr>
            <w:tcW w:w="1176" w:type="dxa"/>
            <w:noWrap/>
            <w:vAlign w:val="center"/>
            <w:hideMark/>
          </w:tcPr>
          <w:p w14:paraId="3049B3D6"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13.4%</w:t>
            </w:r>
          </w:p>
        </w:tc>
      </w:tr>
      <w:tr w:rsidR="00436146" w:rsidRPr="00B91739" w14:paraId="4C1A5753" w14:textId="77777777" w:rsidTr="001B215D">
        <w:trPr>
          <w:trHeight w:val="250"/>
        </w:trPr>
        <w:tc>
          <w:tcPr>
            <w:tcW w:w="980" w:type="dxa"/>
            <w:noWrap/>
            <w:vAlign w:val="center"/>
            <w:hideMark/>
          </w:tcPr>
          <w:p w14:paraId="011C80B1"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70-74</w:t>
            </w:r>
          </w:p>
        </w:tc>
        <w:tc>
          <w:tcPr>
            <w:tcW w:w="989" w:type="dxa"/>
            <w:noWrap/>
            <w:vAlign w:val="center"/>
            <w:hideMark/>
          </w:tcPr>
          <w:p w14:paraId="3D81AA31"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0.5%</w:t>
            </w:r>
          </w:p>
        </w:tc>
        <w:tc>
          <w:tcPr>
            <w:tcW w:w="1176" w:type="dxa"/>
            <w:noWrap/>
            <w:vAlign w:val="center"/>
            <w:hideMark/>
          </w:tcPr>
          <w:p w14:paraId="326AF3DE"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9.4%</w:t>
            </w:r>
          </w:p>
        </w:tc>
      </w:tr>
      <w:tr w:rsidR="00436146" w:rsidRPr="00B91739" w14:paraId="22177403" w14:textId="77777777" w:rsidTr="001B215D">
        <w:trPr>
          <w:trHeight w:val="250"/>
        </w:trPr>
        <w:tc>
          <w:tcPr>
            <w:tcW w:w="980" w:type="dxa"/>
            <w:noWrap/>
            <w:vAlign w:val="center"/>
            <w:hideMark/>
          </w:tcPr>
          <w:p w14:paraId="2994F687"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75-79</w:t>
            </w:r>
          </w:p>
        </w:tc>
        <w:tc>
          <w:tcPr>
            <w:tcW w:w="989" w:type="dxa"/>
            <w:noWrap/>
            <w:vAlign w:val="center"/>
            <w:hideMark/>
          </w:tcPr>
          <w:p w14:paraId="52C257AF"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0.8%</w:t>
            </w:r>
          </w:p>
        </w:tc>
        <w:tc>
          <w:tcPr>
            <w:tcW w:w="1176" w:type="dxa"/>
            <w:noWrap/>
            <w:vAlign w:val="center"/>
            <w:hideMark/>
          </w:tcPr>
          <w:p w14:paraId="04AAA8B9"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13.0%</w:t>
            </w:r>
          </w:p>
        </w:tc>
      </w:tr>
      <w:tr w:rsidR="00436146" w:rsidRPr="00B91739" w14:paraId="7F25683F" w14:textId="77777777" w:rsidTr="001B215D">
        <w:trPr>
          <w:trHeight w:val="250"/>
        </w:trPr>
        <w:tc>
          <w:tcPr>
            <w:tcW w:w="980" w:type="dxa"/>
            <w:noWrap/>
            <w:vAlign w:val="center"/>
            <w:hideMark/>
          </w:tcPr>
          <w:p w14:paraId="78CA5068"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Age 80+</w:t>
            </w:r>
          </w:p>
        </w:tc>
        <w:tc>
          <w:tcPr>
            <w:tcW w:w="989" w:type="dxa"/>
            <w:noWrap/>
            <w:vAlign w:val="center"/>
            <w:hideMark/>
          </w:tcPr>
          <w:p w14:paraId="047BA444"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1.5%</w:t>
            </w:r>
          </w:p>
        </w:tc>
        <w:tc>
          <w:tcPr>
            <w:tcW w:w="1176" w:type="dxa"/>
            <w:noWrap/>
            <w:vAlign w:val="center"/>
            <w:hideMark/>
          </w:tcPr>
          <w:p w14:paraId="16596932" w14:textId="77777777" w:rsidR="00436146" w:rsidRPr="00B91739" w:rsidRDefault="00436146" w:rsidP="001B215D">
            <w:pPr>
              <w:spacing w:line="240" w:lineRule="auto"/>
              <w:jc w:val="center"/>
              <w:rPr>
                <w:rFonts w:ascii="Arial" w:eastAsia="Times New Roman" w:hAnsi="Arial"/>
                <w:sz w:val="16"/>
                <w:szCs w:val="16"/>
              </w:rPr>
            </w:pPr>
            <w:r w:rsidRPr="00B91739">
              <w:rPr>
                <w:rFonts w:ascii="Arial" w:eastAsia="Times New Roman" w:hAnsi="Arial"/>
                <w:sz w:val="16"/>
                <w:szCs w:val="16"/>
              </w:rPr>
              <w:t>9.1%</w:t>
            </w:r>
          </w:p>
        </w:tc>
      </w:tr>
    </w:tbl>
    <w:p w14:paraId="591D24DB" w14:textId="77777777" w:rsidR="00436146" w:rsidRDefault="00436146" w:rsidP="00436146">
      <w:pPr>
        <w:spacing w:line="240" w:lineRule="auto"/>
      </w:pPr>
    </w:p>
    <w:p w14:paraId="4E1BDC05" w14:textId="77777777" w:rsidR="00436146" w:rsidRDefault="00436146" w:rsidP="00436146">
      <w:pPr>
        <w:spacing w:line="240" w:lineRule="auto"/>
        <w:rPr>
          <w:szCs w:val="20"/>
        </w:rPr>
      </w:pPr>
      <w:r>
        <w:rPr>
          <w:szCs w:val="20"/>
        </w:rPr>
        <w:br w:type="page"/>
      </w:r>
    </w:p>
    <w:p w14:paraId="1DD48C54" w14:textId="77777777" w:rsidR="00436146" w:rsidRDefault="00436146" w:rsidP="00436146">
      <w:pPr>
        <w:spacing w:line="240" w:lineRule="auto"/>
        <w:rPr>
          <w:szCs w:val="20"/>
        </w:rPr>
      </w:pPr>
    </w:p>
    <w:p w14:paraId="7E182431" w14:textId="77777777" w:rsidR="00436146" w:rsidRDefault="00436146" w:rsidP="00436146">
      <w:pPr>
        <w:spacing w:line="240" w:lineRule="auto"/>
        <w:rPr>
          <w:szCs w:val="20"/>
        </w:rPr>
      </w:pPr>
    </w:p>
    <w:p w14:paraId="7F31560C" w14:textId="3C7F9C5F" w:rsidR="00436146" w:rsidRDefault="000D1CE0" w:rsidP="00436146">
      <w:pPr>
        <w:spacing w:line="240" w:lineRule="auto"/>
        <w:rPr>
          <w:rFonts w:ascii="Arial" w:hAnsi="Arial"/>
        </w:rPr>
      </w:pPr>
      <w:r>
        <w:rPr>
          <w:rFonts w:ascii="Arial" w:hAnsi="Arial"/>
          <w:b/>
        </w:rPr>
        <w:t>S</w:t>
      </w:r>
      <w:r w:rsidR="00436146" w:rsidRPr="001B6B92">
        <w:rPr>
          <w:rFonts w:ascii="Arial" w:hAnsi="Arial"/>
          <w:b/>
        </w:rPr>
        <w:t>2.</w:t>
      </w:r>
      <w:r>
        <w:rPr>
          <w:rFonts w:ascii="Arial" w:hAnsi="Arial"/>
          <w:b/>
        </w:rPr>
        <w:t xml:space="preserve"> Table.</w:t>
      </w:r>
      <w:r w:rsidR="00436146">
        <w:rPr>
          <w:rFonts w:ascii="Arial" w:hAnsi="Arial"/>
        </w:rPr>
        <w:t xml:space="preserve"> LTBI prevalence over time (15 or older California population).  </w:t>
      </w:r>
    </w:p>
    <w:p w14:paraId="22BEFA14" w14:textId="77777777" w:rsidR="00436146" w:rsidRDefault="00436146" w:rsidP="00436146">
      <w:pPr>
        <w:spacing w:line="240" w:lineRule="auto"/>
        <w:rPr>
          <w:rFonts w:ascii="Arial" w:hAnsi="Arial"/>
        </w:rPr>
      </w:pPr>
    </w:p>
    <w:p w14:paraId="138CA484" w14:textId="77777777" w:rsidR="00436146" w:rsidRDefault="00436146" w:rsidP="00436146">
      <w:pPr>
        <w:spacing w:line="240" w:lineRule="auto"/>
        <w:rPr>
          <w:rFonts w:ascii="Arial" w:hAnsi="Arial"/>
        </w:rPr>
      </w:pPr>
    </w:p>
    <w:tbl>
      <w:tblPr>
        <w:tblStyle w:val="TableGrid"/>
        <w:tblW w:w="9390" w:type="dxa"/>
        <w:tblLook w:val="04A0" w:firstRow="1" w:lastRow="0" w:firstColumn="1" w:lastColumn="0" w:noHBand="0" w:noVBand="1"/>
      </w:tblPr>
      <w:tblGrid>
        <w:gridCol w:w="1565"/>
        <w:gridCol w:w="1565"/>
        <w:gridCol w:w="1565"/>
        <w:gridCol w:w="1565"/>
        <w:gridCol w:w="1565"/>
        <w:gridCol w:w="1565"/>
      </w:tblGrid>
      <w:tr w:rsidR="00436146" w:rsidRPr="001B6B92" w14:paraId="70641A63" w14:textId="77777777" w:rsidTr="001B215D">
        <w:trPr>
          <w:trHeight w:val="191"/>
        </w:trPr>
        <w:tc>
          <w:tcPr>
            <w:tcW w:w="1565" w:type="dxa"/>
            <w:noWrap/>
            <w:hideMark/>
          </w:tcPr>
          <w:p w14:paraId="159007DD" w14:textId="77777777" w:rsidR="00436146" w:rsidRPr="001B6B92" w:rsidRDefault="00436146" w:rsidP="001B215D">
            <w:pPr>
              <w:spacing w:line="240" w:lineRule="auto"/>
              <w:rPr>
                <w:rFonts w:ascii="Arial" w:eastAsiaTheme="minorHAnsi" w:hAnsi="Arial"/>
                <w:color w:val="auto"/>
                <w:sz w:val="15"/>
                <w:szCs w:val="15"/>
              </w:rPr>
            </w:pPr>
          </w:p>
        </w:tc>
        <w:tc>
          <w:tcPr>
            <w:tcW w:w="1565" w:type="dxa"/>
            <w:noWrap/>
            <w:hideMark/>
          </w:tcPr>
          <w:p w14:paraId="518A6DB2" w14:textId="77777777" w:rsidR="00436146" w:rsidRPr="001B6B92" w:rsidRDefault="00436146" w:rsidP="001B215D">
            <w:pPr>
              <w:spacing w:line="240" w:lineRule="auto"/>
              <w:jc w:val="right"/>
              <w:rPr>
                <w:rFonts w:ascii="Arial" w:eastAsia="Times New Roman" w:hAnsi="Arial"/>
                <w:b/>
                <w:sz w:val="15"/>
                <w:szCs w:val="15"/>
              </w:rPr>
            </w:pPr>
            <w:r w:rsidRPr="001B6B92">
              <w:rPr>
                <w:rFonts w:ascii="Arial" w:eastAsia="Times New Roman" w:hAnsi="Arial"/>
                <w:b/>
                <w:sz w:val="15"/>
                <w:szCs w:val="15"/>
              </w:rPr>
              <w:t>2001</w:t>
            </w:r>
          </w:p>
        </w:tc>
        <w:tc>
          <w:tcPr>
            <w:tcW w:w="1565" w:type="dxa"/>
            <w:noWrap/>
            <w:hideMark/>
          </w:tcPr>
          <w:p w14:paraId="469F1949" w14:textId="77777777" w:rsidR="00436146" w:rsidRPr="001B6B92" w:rsidRDefault="00436146" w:rsidP="001B215D">
            <w:pPr>
              <w:spacing w:line="240" w:lineRule="auto"/>
              <w:jc w:val="right"/>
              <w:rPr>
                <w:rFonts w:ascii="Arial" w:eastAsia="Times New Roman" w:hAnsi="Arial"/>
                <w:b/>
                <w:sz w:val="15"/>
                <w:szCs w:val="15"/>
              </w:rPr>
            </w:pPr>
            <w:r w:rsidRPr="001B6B92">
              <w:rPr>
                <w:rFonts w:ascii="Arial" w:eastAsia="Times New Roman" w:hAnsi="Arial"/>
                <w:b/>
                <w:sz w:val="15"/>
                <w:szCs w:val="15"/>
              </w:rPr>
              <w:t>2014</w:t>
            </w:r>
          </w:p>
        </w:tc>
        <w:tc>
          <w:tcPr>
            <w:tcW w:w="1565" w:type="dxa"/>
            <w:noWrap/>
            <w:hideMark/>
          </w:tcPr>
          <w:p w14:paraId="6099D444" w14:textId="77777777" w:rsidR="00436146" w:rsidRPr="001B6B92" w:rsidRDefault="00436146" w:rsidP="001B215D">
            <w:pPr>
              <w:spacing w:line="240" w:lineRule="auto"/>
              <w:jc w:val="right"/>
              <w:rPr>
                <w:rFonts w:ascii="Arial" w:eastAsia="Times New Roman" w:hAnsi="Arial"/>
                <w:b/>
                <w:sz w:val="15"/>
                <w:szCs w:val="15"/>
              </w:rPr>
            </w:pPr>
            <w:r w:rsidRPr="001B6B92">
              <w:rPr>
                <w:rFonts w:ascii="Arial" w:eastAsia="Times New Roman" w:hAnsi="Arial"/>
                <w:b/>
                <w:sz w:val="15"/>
                <w:szCs w:val="15"/>
              </w:rPr>
              <w:t>2030</w:t>
            </w:r>
          </w:p>
        </w:tc>
        <w:tc>
          <w:tcPr>
            <w:tcW w:w="1565" w:type="dxa"/>
            <w:noWrap/>
            <w:hideMark/>
          </w:tcPr>
          <w:p w14:paraId="0871313D" w14:textId="77777777" w:rsidR="00436146" w:rsidRPr="001B6B92" w:rsidRDefault="00436146" w:rsidP="001B215D">
            <w:pPr>
              <w:spacing w:line="240" w:lineRule="auto"/>
              <w:jc w:val="right"/>
              <w:rPr>
                <w:rFonts w:ascii="Arial" w:eastAsia="Times New Roman" w:hAnsi="Arial"/>
                <w:b/>
                <w:sz w:val="15"/>
                <w:szCs w:val="15"/>
              </w:rPr>
            </w:pPr>
            <w:r w:rsidRPr="001B6B92">
              <w:rPr>
                <w:rFonts w:ascii="Arial" w:eastAsia="Times New Roman" w:hAnsi="Arial"/>
                <w:b/>
                <w:sz w:val="15"/>
                <w:szCs w:val="15"/>
              </w:rPr>
              <w:t>2040</w:t>
            </w:r>
          </w:p>
        </w:tc>
        <w:tc>
          <w:tcPr>
            <w:tcW w:w="1565" w:type="dxa"/>
            <w:noWrap/>
            <w:hideMark/>
          </w:tcPr>
          <w:p w14:paraId="797AA049" w14:textId="77777777" w:rsidR="00436146" w:rsidRPr="001B6B92" w:rsidRDefault="00436146" w:rsidP="001B215D">
            <w:pPr>
              <w:spacing w:line="240" w:lineRule="auto"/>
              <w:jc w:val="right"/>
              <w:rPr>
                <w:rFonts w:ascii="Arial" w:eastAsia="Times New Roman" w:hAnsi="Arial"/>
                <w:b/>
                <w:sz w:val="15"/>
                <w:szCs w:val="15"/>
              </w:rPr>
            </w:pPr>
            <w:r w:rsidRPr="001B6B92">
              <w:rPr>
                <w:rFonts w:ascii="Arial" w:eastAsia="Times New Roman" w:hAnsi="Arial"/>
                <w:b/>
                <w:sz w:val="15"/>
                <w:szCs w:val="15"/>
              </w:rPr>
              <w:t>2050</w:t>
            </w:r>
          </w:p>
        </w:tc>
      </w:tr>
      <w:tr w:rsidR="00436146" w:rsidRPr="001B6B92" w14:paraId="0C1B0992" w14:textId="77777777" w:rsidTr="001B215D">
        <w:trPr>
          <w:trHeight w:val="216"/>
        </w:trPr>
        <w:tc>
          <w:tcPr>
            <w:tcW w:w="1565" w:type="dxa"/>
            <w:noWrap/>
            <w:hideMark/>
          </w:tcPr>
          <w:p w14:paraId="4B552A32" w14:textId="77777777" w:rsidR="00436146" w:rsidRPr="001B6B92" w:rsidRDefault="00436146" w:rsidP="001B215D">
            <w:pPr>
              <w:spacing w:line="240" w:lineRule="auto"/>
              <w:rPr>
                <w:rFonts w:ascii="Arial" w:eastAsia="Times New Roman" w:hAnsi="Arial"/>
                <w:sz w:val="15"/>
                <w:szCs w:val="15"/>
              </w:rPr>
            </w:pPr>
            <w:r w:rsidRPr="001B6B92">
              <w:rPr>
                <w:rFonts w:ascii="Arial" w:eastAsia="Times New Roman" w:hAnsi="Arial"/>
                <w:sz w:val="15"/>
                <w:szCs w:val="15"/>
              </w:rPr>
              <w:t>USB</w:t>
            </w:r>
          </w:p>
        </w:tc>
        <w:tc>
          <w:tcPr>
            <w:tcW w:w="1565" w:type="dxa"/>
            <w:noWrap/>
            <w:vAlign w:val="center"/>
            <w:hideMark/>
          </w:tcPr>
          <w:p w14:paraId="1D409F1A"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2.1% (1.6 - 2.6%)</w:t>
            </w:r>
          </w:p>
        </w:tc>
        <w:tc>
          <w:tcPr>
            <w:tcW w:w="1565" w:type="dxa"/>
            <w:noWrap/>
            <w:vAlign w:val="center"/>
            <w:hideMark/>
          </w:tcPr>
          <w:p w14:paraId="5324613D"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1.6% (1.1 - 2.1%)</w:t>
            </w:r>
          </w:p>
        </w:tc>
        <w:tc>
          <w:tcPr>
            <w:tcW w:w="1565" w:type="dxa"/>
            <w:noWrap/>
            <w:vAlign w:val="center"/>
            <w:hideMark/>
          </w:tcPr>
          <w:p w14:paraId="35B3553A"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1.3% (0.9 - 1.8%)</w:t>
            </w:r>
          </w:p>
        </w:tc>
        <w:tc>
          <w:tcPr>
            <w:tcW w:w="1565" w:type="dxa"/>
            <w:noWrap/>
            <w:vAlign w:val="center"/>
            <w:hideMark/>
          </w:tcPr>
          <w:p w14:paraId="3BD95369"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1.2% (0.9 - 1.6%)</w:t>
            </w:r>
          </w:p>
        </w:tc>
        <w:tc>
          <w:tcPr>
            <w:tcW w:w="1565" w:type="dxa"/>
            <w:noWrap/>
            <w:vAlign w:val="center"/>
            <w:hideMark/>
          </w:tcPr>
          <w:p w14:paraId="1B61A59C"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1.2% (0.9 - 1.5%)</w:t>
            </w:r>
          </w:p>
        </w:tc>
      </w:tr>
      <w:tr w:rsidR="00436146" w:rsidRPr="001B6B92" w14:paraId="00E801C6" w14:textId="77777777" w:rsidTr="001B215D">
        <w:trPr>
          <w:trHeight w:val="191"/>
        </w:trPr>
        <w:tc>
          <w:tcPr>
            <w:tcW w:w="1565" w:type="dxa"/>
            <w:noWrap/>
            <w:hideMark/>
          </w:tcPr>
          <w:p w14:paraId="044AECDA" w14:textId="77777777" w:rsidR="00436146" w:rsidRPr="001B6B92" w:rsidRDefault="00436146" w:rsidP="001B215D">
            <w:pPr>
              <w:spacing w:line="240" w:lineRule="auto"/>
              <w:rPr>
                <w:rFonts w:ascii="Arial" w:eastAsia="Times New Roman" w:hAnsi="Arial"/>
                <w:sz w:val="15"/>
                <w:szCs w:val="15"/>
              </w:rPr>
            </w:pPr>
            <w:r>
              <w:rPr>
                <w:rFonts w:ascii="Arial" w:eastAsia="Times New Roman" w:hAnsi="Arial"/>
                <w:sz w:val="15"/>
                <w:szCs w:val="15"/>
              </w:rPr>
              <w:t>Non-US-born</w:t>
            </w:r>
          </w:p>
        </w:tc>
        <w:tc>
          <w:tcPr>
            <w:tcW w:w="1565" w:type="dxa"/>
            <w:noWrap/>
            <w:vAlign w:val="center"/>
            <w:hideMark/>
          </w:tcPr>
          <w:p w14:paraId="496D0D42"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21.6% (19 - 25%)</w:t>
            </w:r>
          </w:p>
        </w:tc>
        <w:tc>
          <w:tcPr>
            <w:tcW w:w="1565" w:type="dxa"/>
            <w:noWrap/>
            <w:vAlign w:val="center"/>
            <w:hideMark/>
          </w:tcPr>
          <w:p w14:paraId="77A2814D"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17.1% (16 - 20%)</w:t>
            </w:r>
          </w:p>
        </w:tc>
        <w:tc>
          <w:tcPr>
            <w:tcW w:w="1565" w:type="dxa"/>
            <w:noWrap/>
            <w:vAlign w:val="center"/>
            <w:hideMark/>
          </w:tcPr>
          <w:p w14:paraId="30476F7E"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13.2% (11 - 16%)</w:t>
            </w:r>
          </w:p>
        </w:tc>
        <w:tc>
          <w:tcPr>
            <w:tcW w:w="1565" w:type="dxa"/>
            <w:noWrap/>
            <w:vAlign w:val="center"/>
            <w:hideMark/>
          </w:tcPr>
          <w:p w14:paraId="3F8D0CD1"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11.4% (11 - 13%)</w:t>
            </w:r>
          </w:p>
        </w:tc>
        <w:tc>
          <w:tcPr>
            <w:tcW w:w="1565" w:type="dxa"/>
            <w:noWrap/>
            <w:vAlign w:val="center"/>
            <w:hideMark/>
          </w:tcPr>
          <w:p w14:paraId="213171D0" w14:textId="77777777" w:rsidR="00436146" w:rsidRPr="001B6B92" w:rsidRDefault="00436146" w:rsidP="001B215D">
            <w:pPr>
              <w:spacing w:line="240" w:lineRule="auto"/>
              <w:jc w:val="right"/>
              <w:rPr>
                <w:rFonts w:ascii="Arial" w:eastAsia="Times New Roman" w:hAnsi="Arial"/>
                <w:sz w:val="15"/>
                <w:szCs w:val="15"/>
              </w:rPr>
            </w:pPr>
            <w:r>
              <w:rPr>
                <w:rFonts w:ascii="Arial" w:eastAsia="Times New Roman" w:hAnsi="Arial"/>
                <w:sz w:val="15"/>
                <w:szCs w:val="15"/>
              </w:rPr>
              <w:t>9.9% (9.5 - 12%)</w:t>
            </w:r>
          </w:p>
        </w:tc>
      </w:tr>
    </w:tbl>
    <w:p w14:paraId="5F98A7CC" w14:textId="77777777" w:rsidR="00436146" w:rsidRDefault="00436146" w:rsidP="00436146">
      <w:pPr>
        <w:spacing w:line="240" w:lineRule="auto"/>
        <w:rPr>
          <w:rFonts w:ascii="Arial" w:hAnsi="Arial"/>
        </w:rPr>
      </w:pPr>
    </w:p>
    <w:p w14:paraId="7E6A3704" w14:textId="77777777" w:rsidR="00436146" w:rsidRDefault="00436146" w:rsidP="00436146">
      <w:pPr>
        <w:spacing w:line="240" w:lineRule="auto"/>
        <w:rPr>
          <w:rFonts w:ascii="Arial" w:hAnsi="Arial"/>
        </w:rPr>
      </w:pPr>
    </w:p>
    <w:p w14:paraId="4BCD8E10" w14:textId="5D161C3F" w:rsidR="00436146" w:rsidRDefault="009E145E" w:rsidP="00436146">
      <w:pPr>
        <w:spacing w:line="240" w:lineRule="auto"/>
      </w:pPr>
      <w:r>
        <w:rPr>
          <w:rFonts w:ascii="Arial" w:hAnsi="Arial"/>
          <w:b/>
        </w:rPr>
        <w:t xml:space="preserve">S3 </w:t>
      </w:r>
      <w:r w:rsidR="00436146" w:rsidRPr="001B6B92">
        <w:rPr>
          <w:rFonts w:ascii="Arial" w:hAnsi="Arial"/>
          <w:b/>
        </w:rPr>
        <w:t>Table.</w:t>
      </w:r>
      <w:r w:rsidR="00436146">
        <w:rPr>
          <w:rFonts w:ascii="Arial" w:hAnsi="Arial"/>
        </w:rPr>
        <w:t xml:space="preserve"> Estimates of test performance</w:t>
      </w:r>
    </w:p>
    <w:p w14:paraId="27CFCE29" w14:textId="77777777" w:rsidR="00436146" w:rsidRDefault="00436146" w:rsidP="00436146">
      <w:pPr>
        <w:spacing w:line="276" w:lineRule="auto"/>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436146" w14:paraId="64C8B82E" w14:textId="77777777" w:rsidTr="001B215D">
        <w:tc>
          <w:tcPr>
            <w:tcW w:w="1038" w:type="dxa"/>
          </w:tcPr>
          <w:p w14:paraId="6A24C645" w14:textId="77777777" w:rsidR="00436146" w:rsidRDefault="00436146" w:rsidP="001B215D">
            <w:pPr>
              <w:spacing w:line="276" w:lineRule="auto"/>
            </w:pPr>
          </w:p>
        </w:tc>
        <w:tc>
          <w:tcPr>
            <w:tcW w:w="1039" w:type="dxa"/>
          </w:tcPr>
          <w:p w14:paraId="1FD73AEE" w14:textId="77777777" w:rsidR="00436146" w:rsidRDefault="00436146" w:rsidP="001B215D">
            <w:pPr>
              <w:spacing w:line="276" w:lineRule="auto"/>
            </w:pPr>
          </w:p>
        </w:tc>
        <w:tc>
          <w:tcPr>
            <w:tcW w:w="1039" w:type="dxa"/>
          </w:tcPr>
          <w:p w14:paraId="1EFC8B96" w14:textId="77777777" w:rsidR="00436146" w:rsidRDefault="00436146" w:rsidP="001B215D">
            <w:pPr>
              <w:spacing w:line="276" w:lineRule="auto"/>
            </w:pPr>
            <w:r>
              <w:rPr>
                <w:rFonts w:ascii="Arial" w:eastAsia="Times New Roman" w:hAnsi="Arial"/>
                <w:b/>
                <w:i/>
                <w:sz w:val="15"/>
                <w:szCs w:val="20"/>
              </w:rPr>
              <w:t>Sensitivity</w:t>
            </w:r>
          </w:p>
        </w:tc>
        <w:tc>
          <w:tcPr>
            <w:tcW w:w="1039" w:type="dxa"/>
            <w:vAlign w:val="center"/>
          </w:tcPr>
          <w:p w14:paraId="5983CC23" w14:textId="77777777" w:rsidR="00436146" w:rsidRDefault="00436146" w:rsidP="001B215D">
            <w:pPr>
              <w:spacing w:line="276" w:lineRule="auto"/>
            </w:pPr>
          </w:p>
        </w:tc>
        <w:tc>
          <w:tcPr>
            <w:tcW w:w="1039" w:type="dxa"/>
          </w:tcPr>
          <w:p w14:paraId="303B41F8" w14:textId="77777777" w:rsidR="00436146" w:rsidRDefault="00436146" w:rsidP="001B215D">
            <w:pPr>
              <w:spacing w:line="276" w:lineRule="auto"/>
            </w:pPr>
          </w:p>
        </w:tc>
        <w:tc>
          <w:tcPr>
            <w:tcW w:w="1039" w:type="dxa"/>
          </w:tcPr>
          <w:p w14:paraId="6C5E861B" w14:textId="77777777" w:rsidR="00436146" w:rsidRDefault="00436146" w:rsidP="001B215D">
            <w:pPr>
              <w:spacing w:line="276" w:lineRule="auto"/>
            </w:pPr>
            <w:r>
              <w:rPr>
                <w:rFonts w:ascii="Arial" w:eastAsia="Times New Roman" w:hAnsi="Arial"/>
                <w:b/>
                <w:i/>
                <w:sz w:val="15"/>
                <w:szCs w:val="20"/>
              </w:rPr>
              <w:t>Specificity</w:t>
            </w:r>
          </w:p>
        </w:tc>
        <w:tc>
          <w:tcPr>
            <w:tcW w:w="1039" w:type="dxa"/>
          </w:tcPr>
          <w:p w14:paraId="014BB0CD" w14:textId="77777777" w:rsidR="00436146" w:rsidRDefault="00436146" w:rsidP="001B215D">
            <w:pPr>
              <w:spacing w:line="276" w:lineRule="auto"/>
            </w:pPr>
          </w:p>
        </w:tc>
        <w:tc>
          <w:tcPr>
            <w:tcW w:w="1039" w:type="dxa"/>
          </w:tcPr>
          <w:p w14:paraId="4FCA46AB" w14:textId="77777777" w:rsidR="00436146" w:rsidRDefault="00436146" w:rsidP="001B215D">
            <w:pPr>
              <w:spacing w:line="276" w:lineRule="auto"/>
            </w:pPr>
          </w:p>
        </w:tc>
        <w:tc>
          <w:tcPr>
            <w:tcW w:w="1039" w:type="dxa"/>
          </w:tcPr>
          <w:p w14:paraId="1E05EFAE" w14:textId="77777777" w:rsidR="00436146" w:rsidRDefault="00436146" w:rsidP="001B215D">
            <w:pPr>
              <w:spacing w:line="276" w:lineRule="auto"/>
            </w:pPr>
          </w:p>
        </w:tc>
      </w:tr>
      <w:tr w:rsidR="00436146" w14:paraId="19D154F2" w14:textId="77777777" w:rsidTr="001B215D">
        <w:tc>
          <w:tcPr>
            <w:tcW w:w="1038" w:type="dxa"/>
            <w:vAlign w:val="center"/>
          </w:tcPr>
          <w:p w14:paraId="034EB1FA" w14:textId="77777777" w:rsidR="00436146" w:rsidRDefault="00436146" w:rsidP="001B215D">
            <w:pPr>
              <w:spacing w:line="276" w:lineRule="auto"/>
            </w:pPr>
            <w:r w:rsidRPr="00B60548">
              <w:rPr>
                <w:rFonts w:ascii="Arial" w:eastAsia="Times New Roman" w:hAnsi="Arial"/>
                <w:b/>
                <w:i/>
                <w:sz w:val="15"/>
                <w:szCs w:val="20"/>
              </w:rPr>
              <w:t>Name</w:t>
            </w:r>
          </w:p>
        </w:tc>
        <w:tc>
          <w:tcPr>
            <w:tcW w:w="1039" w:type="dxa"/>
            <w:vAlign w:val="center"/>
          </w:tcPr>
          <w:p w14:paraId="7D0E818F" w14:textId="77777777" w:rsidR="00436146" w:rsidRDefault="00436146" w:rsidP="001B215D">
            <w:pPr>
              <w:spacing w:line="276" w:lineRule="auto"/>
            </w:pPr>
            <w:r w:rsidRPr="00B60548">
              <w:rPr>
                <w:rFonts w:ascii="Arial" w:eastAsia="Times New Roman" w:hAnsi="Arial"/>
                <w:b/>
                <w:i/>
                <w:sz w:val="15"/>
                <w:szCs w:val="20"/>
              </w:rPr>
              <w:t>Base</w:t>
            </w:r>
          </w:p>
        </w:tc>
        <w:tc>
          <w:tcPr>
            <w:tcW w:w="1039" w:type="dxa"/>
            <w:vAlign w:val="center"/>
          </w:tcPr>
          <w:p w14:paraId="308D3E91" w14:textId="77777777" w:rsidR="00436146" w:rsidRDefault="00436146" w:rsidP="001B215D">
            <w:pPr>
              <w:spacing w:line="276" w:lineRule="auto"/>
            </w:pPr>
            <w:r w:rsidRPr="00B60548">
              <w:rPr>
                <w:rFonts w:ascii="Arial" w:eastAsia="Times New Roman" w:hAnsi="Arial"/>
                <w:b/>
                <w:i/>
                <w:sz w:val="15"/>
                <w:szCs w:val="20"/>
              </w:rPr>
              <w:t>Low</w:t>
            </w:r>
          </w:p>
        </w:tc>
        <w:tc>
          <w:tcPr>
            <w:tcW w:w="1039" w:type="dxa"/>
            <w:vAlign w:val="center"/>
          </w:tcPr>
          <w:p w14:paraId="35A61592" w14:textId="77777777" w:rsidR="00436146" w:rsidRDefault="00436146" w:rsidP="001B215D">
            <w:pPr>
              <w:spacing w:line="276" w:lineRule="auto"/>
            </w:pPr>
            <w:r w:rsidRPr="00B60548">
              <w:rPr>
                <w:rFonts w:ascii="Arial" w:eastAsia="Times New Roman" w:hAnsi="Arial"/>
                <w:b/>
                <w:i/>
                <w:sz w:val="15"/>
                <w:szCs w:val="20"/>
              </w:rPr>
              <w:t>High</w:t>
            </w:r>
          </w:p>
        </w:tc>
        <w:tc>
          <w:tcPr>
            <w:tcW w:w="1039" w:type="dxa"/>
            <w:vAlign w:val="center"/>
          </w:tcPr>
          <w:p w14:paraId="3F965429" w14:textId="77777777" w:rsidR="00436146" w:rsidRDefault="00436146" w:rsidP="001B215D">
            <w:pPr>
              <w:spacing w:line="276" w:lineRule="auto"/>
            </w:pPr>
            <w:r w:rsidRPr="00B60548">
              <w:rPr>
                <w:rFonts w:ascii="Arial" w:eastAsia="Times New Roman" w:hAnsi="Arial"/>
                <w:b/>
                <w:i/>
                <w:sz w:val="15"/>
                <w:szCs w:val="20"/>
              </w:rPr>
              <w:t>Reference</w:t>
            </w:r>
          </w:p>
        </w:tc>
        <w:tc>
          <w:tcPr>
            <w:tcW w:w="1039" w:type="dxa"/>
            <w:vAlign w:val="center"/>
          </w:tcPr>
          <w:p w14:paraId="052785BC" w14:textId="77777777" w:rsidR="00436146" w:rsidRDefault="00436146" w:rsidP="001B215D">
            <w:pPr>
              <w:spacing w:line="276" w:lineRule="auto"/>
            </w:pPr>
            <w:r w:rsidRPr="00B60548">
              <w:rPr>
                <w:rFonts w:ascii="Arial" w:eastAsia="Times New Roman" w:hAnsi="Arial"/>
                <w:b/>
                <w:i/>
                <w:sz w:val="15"/>
                <w:szCs w:val="20"/>
              </w:rPr>
              <w:t>Base</w:t>
            </w:r>
          </w:p>
        </w:tc>
        <w:tc>
          <w:tcPr>
            <w:tcW w:w="1039" w:type="dxa"/>
            <w:vAlign w:val="center"/>
          </w:tcPr>
          <w:p w14:paraId="584232CB" w14:textId="77777777" w:rsidR="00436146" w:rsidRDefault="00436146" w:rsidP="001B215D">
            <w:pPr>
              <w:spacing w:line="276" w:lineRule="auto"/>
            </w:pPr>
            <w:r w:rsidRPr="00B60548">
              <w:rPr>
                <w:rFonts w:ascii="Arial" w:eastAsia="Times New Roman" w:hAnsi="Arial"/>
                <w:b/>
                <w:i/>
                <w:sz w:val="15"/>
                <w:szCs w:val="20"/>
              </w:rPr>
              <w:t>Low</w:t>
            </w:r>
          </w:p>
        </w:tc>
        <w:tc>
          <w:tcPr>
            <w:tcW w:w="1039" w:type="dxa"/>
            <w:vAlign w:val="center"/>
          </w:tcPr>
          <w:p w14:paraId="7EA38A1B" w14:textId="77777777" w:rsidR="00436146" w:rsidRDefault="00436146" w:rsidP="001B215D">
            <w:pPr>
              <w:spacing w:line="276" w:lineRule="auto"/>
            </w:pPr>
            <w:r w:rsidRPr="00B60548">
              <w:rPr>
                <w:rFonts w:ascii="Arial" w:eastAsia="Times New Roman" w:hAnsi="Arial"/>
                <w:b/>
                <w:i/>
                <w:sz w:val="15"/>
                <w:szCs w:val="20"/>
              </w:rPr>
              <w:t>High</w:t>
            </w:r>
          </w:p>
        </w:tc>
        <w:tc>
          <w:tcPr>
            <w:tcW w:w="1039" w:type="dxa"/>
            <w:vAlign w:val="center"/>
          </w:tcPr>
          <w:p w14:paraId="62F63162" w14:textId="77777777" w:rsidR="00436146" w:rsidRDefault="00436146" w:rsidP="001B215D">
            <w:pPr>
              <w:spacing w:line="276" w:lineRule="auto"/>
            </w:pPr>
            <w:r w:rsidRPr="00B60548">
              <w:rPr>
                <w:rFonts w:ascii="Arial" w:eastAsia="Times New Roman" w:hAnsi="Arial"/>
                <w:b/>
                <w:i/>
                <w:sz w:val="15"/>
                <w:szCs w:val="20"/>
              </w:rPr>
              <w:t>Reference</w:t>
            </w:r>
          </w:p>
        </w:tc>
      </w:tr>
      <w:tr w:rsidR="00436146" w14:paraId="32A20E10" w14:textId="77777777" w:rsidTr="001B215D">
        <w:tc>
          <w:tcPr>
            <w:tcW w:w="1038" w:type="dxa"/>
            <w:vAlign w:val="bottom"/>
          </w:tcPr>
          <w:p w14:paraId="0EB48150" w14:textId="77777777" w:rsidR="00436146" w:rsidRDefault="00436146" w:rsidP="001B215D">
            <w:pPr>
              <w:spacing w:line="276" w:lineRule="auto"/>
            </w:pPr>
            <w:r w:rsidRPr="00B60548">
              <w:rPr>
                <w:rFonts w:ascii="Arial" w:eastAsia="Times New Roman" w:hAnsi="Arial"/>
                <w:sz w:val="15"/>
                <w:szCs w:val="20"/>
              </w:rPr>
              <w:t xml:space="preserve">USB TST </w:t>
            </w:r>
          </w:p>
        </w:tc>
        <w:tc>
          <w:tcPr>
            <w:tcW w:w="1039" w:type="dxa"/>
            <w:vAlign w:val="bottom"/>
          </w:tcPr>
          <w:p w14:paraId="3DD192C9" w14:textId="77777777" w:rsidR="00436146" w:rsidRDefault="00436146" w:rsidP="001B215D">
            <w:pPr>
              <w:spacing w:line="276" w:lineRule="auto"/>
            </w:pPr>
            <w:r w:rsidRPr="00516FD7">
              <w:rPr>
                <w:rFonts w:ascii="Arial" w:eastAsia="Times New Roman" w:hAnsi="Arial"/>
                <w:sz w:val="15"/>
                <w:szCs w:val="20"/>
              </w:rPr>
              <w:t>0.83</w:t>
            </w:r>
          </w:p>
        </w:tc>
        <w:tc>
          <w:tcPr>
            <w:tcW w:w="1039" w:type="dxa"/>
            <w:vAlign w:val="bottom"/>
          </w:tcPr>
          <w:p w14:paraId="2BF8EFC1" w14:textId="77777777" w:rsidR="00436146" w:rsidRDefault="00436146" w:rsidP="001B215D">
            <w:pPr>
              <w:spacing w:line="276" w:lineRule="auto"/>
            </w:pPr>
            <w:r w:rsidRPr="00516FD7">
              <w:rPr>
                <w:rFonts w:ascii="Arial" w:eastAsia="Times New Roman" w:hAnsi="Arial"/>
                <w:sz w:val="15"/>
                <w:szCs w:val="20"/>
              </w:rPr>
              <w:t>0.71</w:t>
            </w:r>
          </w:p>
        </w:tc>
        <w:tc>
          <w:tcPr>
            <w:tcW w:w="1039" w:type="dxa"/>
            <w:vAlign w:val="bottom"/>
          </w:tcPr>
          <w:p w14:paraId="08128493" w14:textId="77777777" w:rsidR="00436146" w:rsidRDefault="00436146" w:rsidP="001B215D">
            <w:pPr>
              <w:spacing w:line="276" w:lineRule="auto"/>
            </w:pPr>
            <w:r w:rsidRPr="00516FD7">
              <w:rPr>
                <w:rFonts w:ascii="Arial" w:eastAsia="Times New Roman" w:hAnsi="Arial"/>
                <w:sz w:val="15"/>
                <w:szCs w:val="20"/>
              </w:rPr>
              <w:t>0.87</w:t>
            </w:r>
          </w:p>
        </w:tc>
        <w:tc>
          <w:tcPr>
            <w:tcW w:w="1039" w:type="dxa"/>
          </w:tcPr>
          <w:p w14:paraId="4974BD7D" w14:textId="7FDCB628"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{"citationID":"5BI3qM1U","properties":{"formattedCitation":"{\\rtf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1E964632" w14:textId="77777777" w:rsidR="00436146" w:rsidRDefault="00436146" w:rsidP="001B215D">
            <w:pPr>
              <w:spacing w:line="276" w:lineRule="auto"/>
            </w:pPr>
            <w:r w:rsidRPr="00516FD7">
              <w:rPr>
                <w:rFonts w:ascii="Arial" w:eastAsia="Times New Roman" w:hAnsi="Arial"/>
                <w:sz w:val="15"/>
                <w:szCs w:val="20"/>
              </w:rPr>
              <w:t>0.95</w:t>
            </w:r>
          </w:p>
        </w:tc>
        <w:tc>
          <w:tcPr>
            <w:tcW w:w="1039" w:type="dxa"/>
            <w:vAlign w:val="bottom"/>
          </w:tcPr>
          <w:p w14:paraId="060FA138" w14:textId="77777777" w:rsidR="00436146" w:rsidRDefault="00436146" w:rsidP="001B215D">
            <w:pPr>
              <w:spacing w:line="276" w:lineRule="auto"/>
            </w:pPr>
            <w:r w:rsidRPr="00516FD7">
              <w:rPr>
                <w:rFonts w:ascii="Arial" w:eastAsia="Times New Roman" w:hAnsi="Arial"/>
                <w:sz w:val="15"/>
                <w:szCs w:val="20"/>
              </w:rPr>
              <w:t>0.82</w:t>
            </w:r>
          </w:p>
        </w:tc>
        <w:tc>
          <w:tcPr>
            <w:tcW w:w="1039" w:type="dxa"/>
            <w:vAlign w:val="bottom"/>
          </w:tcPr>
          <w:p w14:paraId="20A88589" w14:textId="77777777" w:rsidR="00436146" w:rsidRDefault="00436146" w:rsidP="001B215D">
            <w:pPr>
              <w:spacing w:line="276" w:lineRule="auto"/>
            </w:pPr>
            <w:r w:rsidRPr="00516FD7">
              <w:rPr>
                <w:rFonts w:ascii="Arial" w:eastAsia="Times New Roman" w:hAnsi="Arial"/>
                <w:sz w:val="15"/>
                <w:szCs w:val="20"/>
              </w:rPr>
              <w:t>0.99</w:t>
            </w:r>
          </w:p>
        </w:tc>
        <w:tc>
          <w:tcPr>
            <w:tcW w:w="1039" w:type="dxa"/>
            <w:vAlign w:val="center"/>
          </w:tcPr>
          <w:p w14:paraId="7C17A857" w14:textId="51D71CC7"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{"citationID":"9JOcUglZ","properties":{"formattedCitation":"{\\rtf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06615748" w14:textId="77777777" w:rsidTr="001B215D">
        <w:tc>
          <w:tcPr>
            <w:tcW w:w="1038" w:type="dxa"/>
            <w:vAlign w:val="bottom"/>
          </w:tcPr>
          <w:p w14:paraId="0E024A6A" w14:textId="77777777" w:rsidR="00436146" w:rsidRDefault="00436146" w:rsidP="001B215D">
            <w:pPr>
              <w:spacing w:line="276" w:lineRule="auto"/>
            </w:pPr>
            <w:r w:rsidRPr="00B60548">
              <w:rPr>
                <w:rFonts w:ascii="Arial" w:eastAsia="Times New Roman" w:hAnsi="Arial"/>
                <w:sz w:val="15"/>
                <w:szCs w:val="20"/>
              </w:rPr>
              <w:t xml:space="preserve">USB QFT </w:t>
            </w:r>
          </w:p>
        </w:tc>
        <w:tc>
          <w:tcPr>
            <w:tcW w:w="1039" w:type="dxa"/>
            <w:vAlign w:val="center"/>
          </w:tcPr>
          <w:p w14:paraId="08ED8CBE" w14:textId="77777777" w:rsidR="00436146" w:rsidRDefault="00436146" w:rsidP="001B215D">
            <w:pPr>
              <w:spacing w:line="276" w:lineRule="auto"/>
            </w:pPr>
            <w:r w:rsidRPr="00516FD7">
              <w:rPr>
                <w:rFonts w:ascii="Arial" w:eastAsia="Times New Roman" w:hAnsi="Arial"/>
                <w:sz w:val="15"/>
                <w:szCs w:val="20"/>
              </w:rPr>
              <w:t>0.85</w:t>
            </w:r>
          </w:p>
        </w:tc>
        <w:tc>
          <w:tcPr>
            <w:tcW w:w="1039" w:type="dxa"/>
            <w:vAlign w:val="bottom"/>
          </w:tcPr>
          <w:p w14:paraId="1C3D0C66"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bottom"/>
          </w:tcPr>
          <w:p w14:paraId="6D116172" w14:textId="77777777" w:rsidR="00436146" w:rsidRDefault="00436146" w:rsidP="001B215D">
            <w:pPr>
              <w:spacing w:line="276" w:lineRule="auto"/>
            </w:pPr>
            <w:r w:rsidRPr="00516FD7">
              <w:rPr>
                <w:rFonts w:ascii="Arial" w:eastAsia="Times New Roman" w:hAnsi="Arial"/>
                <w:sz w:val="15"/>
                <w:szCs w:val="20"/>
              </w:rPr>
              <w:t>0.97</w:t>
            </w:r>
          </w:p>
        </w:tc>
        <w:tc>
          <w:tcPr>
            <w:tcW w:w="1039" w:type="dxa"/>
          </w:tcPr>
          <w:p w14:paraId="4ED43BB0" w14:textId="1CFBED7E"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{"citationID":"hBeep85K","properties":{"formattedCitation":"{\\rtf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3F02B0B8" w14:textId="77777777" w:rsidR="00436146" w:rsidRDefault="00436146" w:rsidP="001B215D">
            <w:pPr>
              <w:spacing w:line="276" w:lineRule="auto"/>
            </w:pPr>
            <w:r w:rsidRPr="00516FD7">
              <w:rPr>
                <w:rFonts w:ascii="Arial" w:eastAsia="Times New Roman" w:hAnsi="Arial"/>
                <w:sz w:val="15"/>
                <w:szCs w:val="20"/>
              </w:rPr>
              <w:t>0.99</w:t>
            </w:r>
          </w:p>
        </w:tc>
        <w:tc>
          <w:tcPr>
            <w:tcW w:w="1039" w:type="dxa"/>
            <w:vAlign w:val="bottom"/>
          </w:tcPr>
          <w:p w14:paraId="65425E41"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bottom"/>
          </w:tcPr>
          <w:p w14:paraId="3E26D488" w14:textId="77777777" w:rsidR="00436146" w:rsidRDefault="00436146" w:rsidP="001B215D">
            <w:pPr>
              <w:spacing w:line="276" w:lineRule="auto"/>
            </w:pPr>
            <w:r w:rsidRPr="00516FD7">
              <w:rPr>
                <w:rFonts w:ascii="Arial" w:eastAsia="Times New Roman" w:hAnsi="Arial"/>
                <w:sz w:val="15"/>
                <w:szCs w:val="20"/>
              </w:rPr>
              <w:t>1.00</w:t>
            </w:r>
          </w:p>
        </w:tc>
        <w:tc>
          <w:tcPr>
            <w:tcW w:w="1039" w:type="dxa"/>
            <w:vAlign w:val="center"/>
          </w:tcPr>
          <w:p w14:paraId="72B434FA" w14:textId="321AE325"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{"citationID":"SqeT36jP","properties":{"formattedCitation":"{\\rtf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355CBC8B" w14:textId="77777777" w:rsidTr="001B215D">
        <w:tc>
          <w:tcPr>
            <w:tcW w:w="1038" w:type="dxa"/>
            <w:vAlign w:val="bottom"/>
          </w:tcPr>
          <w:p w14:paraId="5F5E0D64" w14:textId="77777777" w:rsidR="00436146" w:rsidRDefault="00436146" w:rsidP="001B215D">
            <w:pPr>
              <w:spacing w:line="276" w:lineRule="auto"/>
            </w:pPr>
            <w:r w:rsidRPr="00B60548">
              <w:rPr>
                <w:rFonts w:ascii="Arial" w:eastAsia="Times New Roman" w:hAnsi="Arial"/>
                <w:sz w:val="15"/>
                <w:szCs w:val="20"/>
              </w:rPr>
              <w:t xml:space="preserve">USB TSPOT </w:t>
            </w:r>
          </w:p>
        </w:tc>
        <w:tc>
          <w:tcPr>
            <w:tcW w:w="1039" w:type="dxa"/>
            <w:vAlign w:val="center"/>
          </w:tcPr>
          <w:p w14:paraId="3634A3EC" w14:textId="77777777" w:rsidR="00436146" w:rsidRDefault="00436146" w:rsidP="001B215D">
            <w:pPr>
              <w:spacing w:line="276" w:lineRule="auto"/>
            </w:pPr>
            <w:r w:rsidRPr="00516FD7">
              <w:rPr>
                <w:rFonts w:ascii="Arial" w:eastAsia="Times New Roman" w:hAnsi="Arial"/>
                <w:sz w:val="15"/>
                <w:szCs w:val="20"/>
              </w:rPr>
              <w:t>0.85</w:t>
            </w:r>
          </w:p>
        </w:tc>
        <w:tc>
          <w:tcPr>
            <w:tcW w:w="1039" w:type="dxa"/>
            <w:vAlign w:val="bottom"/>
          </w:tcPr>
          <w:p w14:paraId="1C817279"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bottom"/>
          </w:tcPr>
          <w:p w14:paraId="2D11485A" w14:textId="77777777" w:rsidR="00436146" w:rsidRDefault="00436146" w:rsidP="001B215D">
            <w:pPr>
              <w:spacing w:line="276" w:lineRule="auto"/>
            </w:pPr>
            <w:r w:rsidRPr="00516FD7">
              <w:rPr>
                <w:rFonts w:ascii="Arial" w:eastAsia="Times New Roman" w:hAnsi="Arial"/>
                <w:sz w:val="15"/>
                <w:szCs w:val="20"/>
              </w:rPr>
              <w:t>0.97</w:t>
            </w:r>
          </w:p>
        </w:tc>
        <w:tc>
          <w:tcPr>
            <w:tcW w:w="1039" w:type="dxa"/>
          </w:tcPr>
          <w:p w14:paraId="0B11679C" w14:textId="3AD07B87"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{"citationID":"X4Dqpqzs","properties":{"formattedCitation":"{\\rtf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35C08704"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bottom"/>
          </w:tcPr>
          <w:p w14:paraId="360878E6" w14:textId="77777777" w:rsidR="00436146" w:rsidRDefault="00436146" w:rsidP="001B215D">
            <w:pPr>
              <w:spacing w:line="276" w:lineRule="auto"/>
            </w:pPr>
            <w:r w:rsidRPr="00516FD7">
              <w:rPr>
                <w:rFonts w:ascii="Arial" w:eastAsia="Times New Roman" w:hAnsi="Arial"/>
                <w:sz w:val="15"/>
                <w:szCs w:val="20"/>
              </w:rPr>
              <w:t>0.97</w:t>
            </w:r>
          </w:p>
        </w:tc>
        <w:tc>
          <w:tcPr>
            <w:tcW w:w="1039" w:type="dxa"/>
            <w:vAlign w:val="bottom"/>
          </w:tcPr>
          <w:p w14:paraId="7E12DE3A" w14:textId="77777777" w:rsidR="00436146" w:rsidRDefault="00436146" w:rsidP="001B215D">
            <w:pPr>
              <w:spacing w:line="276" w:lineRule="auto"/>
            </w:pPr>
            <w:r w:rsidRPr="00516FD7">
              <w:rPr>
                <w:rFonts w:ascii="Arial" w:eastAsia="Times New Roman" w:hAnsi="Arial"/>
                <w:sz w:val="15"/>
                <w:szCs w:val="20"/>
              </w:rPr>
              <w:t>1.00</w:t>
            </w:r>
          </w:p>
        </w:tc>
        <w:tc>
          <w:tcPr>
            <w:tcW w:w="1039" w:type="dxa"/>
            <w:vAlign w:val="center"/>
          </w:tcPr>
          <w:p w14:paraId="34E44CA2" w14:textId="3BADFB00"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{"citationID":"lUr7vXUR","properties":{"formattedCitation":"{\\rtf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0BCC105F" w14:textId="77777777" w:rsidTr="001B215D">
        <w:tc>
          <w:tcPr>
            <w:tcW w:w="1038" w:type="dxa"/>
            <w:vAlign w:val="bottom"/>
          </w:tcPr>
          <w:p w14:paraId="41B9E43B" w14:textId="77777777" w:rsidR="00436146" w:rsidRDefault="00436146" w:rsidP="001B215D">
            <w:pPr>
              <w:spacing w:line="276" w:lineRule="auto"/>
            </w:pPr>
            <w:r>
              <w:rPr>
                <w:rFonts w:ascii="Arial" w:eastAsia="Times New Roman" w:hAnsi="Arial"/>
                <w:sz w:val="15"/>
                <w:szCs w:val="20"/>
              </w:rPr>
              <w:t xml:space="preserve">NUSB </w:t>
            </w:r>
            <w:r w:rsidRPr="00B60548">
              <w:rPr>
                <w:rFonts w:ascii="Arial" w:eastAsia="Times New Roman" w:hAnsi="Arial"/>
                <w:sz w:val="15"/>
                <w:szCs w:val="20"/>
              </w:rPr>
              <w:t xml:space="preserve">TST </w:t>
            </w:r>
          </w:p>
        </w:tc>
        <w:tc>
          <w:tcPr>
            <w:tcW w:w="1039" w:type="dxa"/>
            <w:vAlign w:val="center"/>
          </w:tcPr>
          <w:p w14:paraId="13758D11" w14:textId="77777777" w:rsidR="00436146" w:rsidRDefault="00436146" w:rsidP="001B215D">
            <w:pPr>
              <w:spacing w:line="276" w:lineRule="auto"/>
            </w:pPr>
            <w:r w:rsidRPr="00516FD7">
              <w:rPr>
                <w:rFonts w:ascii="Arial" w:eastAsia="Times New Roman" w:hAnsi="Arial"/>
                <w:sz w:val="15"/>
                <w:szCs w:val="20"/>
              </w:rPr>
              <w:t>0.83</w:t>
            </w:r>
          </w:p>
        </w:tc>
        <w:tc>
          <w:tcPr>
            <w:tcW w:w="1039" w:type="dxa"/>
            <w:vAlign w:val="bottom"/>
          </w:tcPr>
          <w:p w14:paraId="1FB192A7" w14:textId="77777777" w:rsidR="00436146" w:rsidRDefault="00436146" w:rsidP="001B215D">
            <w:pPr>
              <w:spacing w:line="276" w:lineRule="auto"/>
            </w:pPr>
            <w:r w:rsidRPr="00516FD7">
              <w:rPr>
                <w:rFonts w:ascii="Arial" w:eastAsia="Times New Roman" w:hAnsi="Arial"/>
                <w:sz w:val="15"/>
                <w:szCs w:val="20"/>
              </w:rPr>
              <w:t>0.71</w:t>
            </w:r>
          </w:p>
        </w:tc>
        <w:tc>
          <w:tcPr>
            <w:tcW w:w="1039" w:type="dxa"/>
            <w:vAlign w:val="bottom"/>
          </w:tcPr>
          <w:p w14:paraId="7A53E376" w14:textId="77777777" w:rsidR="00436146" w:rsidRDefault="00436146" w:rsidP="001B215D">
            <w:pPr>
              <w:spacing w:line="276" w:lineRule="auto"/>
            </w:pPr>
            <w:r w:rsidRPr="00516FD7">
              <w:rPr>
                <w:rFonts w:ascii="Arial" w:eastAsia="Times New Roman" w:hAnsi="Arial"/>
                <w:sz w:val="15"/>
                <w:szCs w:val="20"/>
              </w:rPr>
              <w:t>0.87</w:t>
            </w:r>
          </w:p>
        </w:tc>
        <w:tc>
          <w:tcPr>
            <w:tcW w:w="1039" w:type="dxa"/>
          </w:tcPr>
          <w:p w14:paraId="7F4A1B0D" w14:textId="7A7B8B4D"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{"citationID":"qF5Lkl8B","properties":{"formattedCitation":"{\\rtf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58FCC538" w14:textId="77777777" w:rsidR="00436146" w:rsidRDefault="00436146" w:rsidP="001B215D">
            <w:pPr>
              <w:spacing w:line="276" w:lineRule="auto"/>
            </w:pPr>
            <w:r w:rsidRPr="00516FD7">
              <w:rPr>
                <w:rFonts w:ascii="Arial" w:eastAsia="Times New Roman" w:hAnsi="Arial"/>
                <w:sz w:val="15"/>
                <w:szCs w:val="20"/>
              </w:rPr>
              <w:t>0.82</w:t>
            </w:r>
          </w:p>
        </w:tc>
        <w:tc>
          <w:tcPr>
            <w:tcW w:w="1039" w:type="dxa"/>
            <w:vAlign w:val="bottom"/>
          </w:tcPr>
          <w:p w14:paraId="7426ED27" w14:textId="77777777" w:rsidR="00436146" w:rsidRDefault="00436146" w:rsidP="001B215D">
            <w:pPr>
              <w:spacing w:line="276" w:lineRule="auto"/>
            </w:pPr>
            <w:r w:rsidRPr="00516FD7">
              <w:rPr>
                <w:rFonts w:ascii="Arial" w:eastAsia="Times New Roman" w:hAnsi="Arial"/>
                <w:sz w:val="15"/>
                <w:szCs w:val="20"/>
              </w:rPr>
              <w:t>0.47</w:t>
            </w:r>
          </w:p>
        </w:tc>
        <w:tc>
          <w:tcPr>
            <w:tcW w:w="1039" w:type="dxa"/>
            <w:vAlign w:val="bottom"/>
          </w:tcPr>
          <w:p w14:paraId="1464DC05" w14:textId="77777777" w:rsidR="00436146" w:rsidRDefault="00436146" w:rsidP="001B215D">
            <w:pPr>
              <w:spacing w:line="276" w:lineRule="auto"/>
            </w:pPr>
            <w:r w:rsidRPr="00516FD7">
              <w:rPr>
                <w:rFonts w:ascii="Arial" w:eastAsia="Times New Roman" w:hAnsi="Arial"/>
                <w:sz w:val="15"/>
                <w:szCs w:val="20"/>
              </w:rPr>
              <w:t>0.92</w:t>
            </w:r>
          </w:p>
        </w:tc>
        <w:tc>
          <w:tcPr>
            <w:tcW w:w="1039" w:type="dxa"/>
            <w:vAlign w:val="center"/>
          </w:tcPr>
          <w:p w14:paraId="7C596030" w14:textId="4DAC154B"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{"citationID":"4UBagu6A","properties":{"formattedCitation":"{\\rtf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4AC3E306" w14:textId="77777777" w:rsidTr="001B215D">
        <w:trPr>
          <w:trHeight w:val="278"/>
        </w:trPr>
        <w:tc>
          <w:tcPr>
            <w:tcW w:w="1038" w:type="dxa"/>
            <w:vAlign w:val="bottom"/>
          </w:tcPr>
          <w:p w14:paraId="2E9CB49A" w14:textId="77777777" w:rsidR="00436146" w:rsidRDefault="00436146" w:rsidP="001B215D">
            <w:pPr>
              <w:spacing w:line="276" w:lineRule="auto"/>
            </w:pPr>
            <w:r>
              <w:rPr>
                <w:rFonts w:ascii="Arial" w:eastAsia="Times New Roman" w:hAnsi="Arial"/>
                <w:sz w:val="15"/>
                <w:szCs w:val="20"/>
              </w:rPr>
              <w:t>NUSB</w:t>
            </w:r>
            <w:r w:rsidRPr="00B60548">
              <w:rPr>
                <w:rFonts w:ascii="Arial" w:eastAsia="Times New Roman" w:hAnsi="Arial"/>
                <w:sz w:val="15"/>
                <w:szCs w:val="20"/>
              </w:rPr>
              <w:t xml:space="preserve"> QFT </w:t>
            </w:r>
          </w:p>
        </w:tc>
        <w:tc>
          <w:tcPr>
            <w:tcW w:w="1039" w:type="dxa"/>
            <w:vAlign w:val="center"/>
          </w:tcPr>
          <w:p w14:paraId="4CC9323D" w14:textId="77777777" w:rsidR="00436146" w:rsidRDefault="00436146" w:rsidP="001B215D">
            <w:pPr>
              <w:spacing w:line="276" w:lineRule="auto"/>
            </w:pPr>
            <w:r w:rsidRPr="00516FD7">
              <w:rPr>
                <w:rFonts w:ascii="Arial" w:eastAsia="Times New Roman" w:hAnsi="Arial"/>
                <w:sz w:val="15"/>
                <w:szCs w:val="20"/>
              </w:rPr>
              <w:t>0.85</w:t>
            </w:r>
          </w:p>
        </w:tc>
        <w:tc>
          <w:tcPr>
            <w:tcW w:w="1039" w:type="dxa"/>
            <w:vAlign w:val="bottom"/>
          </w:tcPr>
          <w:p w14:paraId="5D993423"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bottom"/>
          </w:tcPr>
          <w:p w14:paraId="597204B8" w14:textId="77777777" w:rsidR="00436146" w:rsidRDefault="00436146" w:rsidP="001B215D">
            <w:pPr>
              <w:spacing w:line="276" w:lineRule="auto"/>
            </w:pPr>
            <w:r w:rsidRPr="00516FD7">
              <w:rPr>
                <w:rFonts w:ascii="Arial" w:eastAsia="Times New Roman" w:hAnsi="Arial"/>
                <w:sz w:val="15"/>
                <w:szCs w:val="20"/>
              </w:rPr>
              <w:t>0.97</w:t>
            </w:r>
          </w:p>
        </w:tc>
        <w:tc>
          <w:tcPr>
            <w:tcW w:w="1039" w:type="dxa"/>
          </w:tcPr>
          <w:p w14:paraId="062BF72A" w14:textId="5F305A4C"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{"citationID":"JMVCq2cZ","properties":{"formattedCitation":"{\\rtf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5FB5C472" w14:textId="77777777" w:rsidR="00436146" w:rsidRDefault="00436146" w:rsidP="001B215D">
            <w:pPr>
              <w:spacing w:line="276" w:lineRule="auto"/>
            </w:pPr>
            <w:r w:rsidRPr="00516FD7">
              <w:rPr>
                <w:rFonts w:ascii="Arial" w:eastAsia="Times New Roman" w:hAnsi="Arial"/>
                <w:sz w:val="15"/>
                <w:szCs w:val="20"/>
              </w:rPr>
              <w:t>0.99</w:t>
            </w:r>
          </w:p>
        </w:tc>
        <w:tc>
          <w:tcPr>
            <w:tcW w:w="1039" w:type="dxa"/>
            <w:vAlign w:val="bottom"/>
          </w:tcPr>
          <w:p w14:paraId="5B3E4079"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bottom"/>
          </w:tcPr>
          <w:p w14:paraId="7E3C53D8" w14:textId="77777777" w:rsidR="00436146" w:rsidRDefault="00436146" w:rsidP="001B215D">
            <w:pPr>
              <w:spacing w:line="276" w:lineRule="auto"/>
            </w:pPr>
            <w:r w:rsidRPr="00516FD7">
              <w:rPr>
                <w:rFonts w:ascii="Arial" w:eastAsia="Times New Roman" w:hAnsi="Arial"/>
                <w:sz w:val="15"/>
                <w:szCs w:val="20"/>
              </w:rPr>
              <w:t>1.00</w:t>
            </w:r>
          </w:p>
        </w:tc>
        <w:tc>
          <w:tcPr>
            <w:tcW w:w="1039" w:type="dxa"/>
            <w:vAlign w:val="center"/>
          </w:tcPr>
          <w:p w14:paraId="6B698944" w14:textId="1DBE5166"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{"citationID":"EPvntHPJ","properties":{"formattedCitation":"{\\rtf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53AC3912" w14:textId="77777777" w:rsidTr="001B215D">
        <w:tc>
          <w:tcPr>
            <w:tcW w:w="1038" w:type="dxa"/>
            <w:vAlign w:val="bottom"/>
          </w:tcPr>
          <w:p w14:paraId="57E9379E" w14:textId="77777777" w:rsidR="00436146" w:rsidRDefault="00436146" w:rsidP="001B215D">
            <w:pPr>
              <w:spacing w:line="276" w:lineRule="auto"/>
            </w:pPr>
            <w:r>
              <w:rPr>
                <w:rFonts w:ascii="Arial" w:eastAsia="Times New Roman" w:hAnsi="Arial"/>
                <w:sz w:val="15"/>
                <w:szCs w:val="20"/>
              </w:rPr>
              <w:t>NUSB</w:t>
            </w:r>
            <w:r w:rsidRPr="00B60548">
              <w:rPr>
                <w:rFonts w:ascii="Arial" w:eastAsia="Times New Roman" w:hAnsi="Arial"/>
                <w:sz w:val="15"/>
                <w:szCs w:val="20"/>
              </w:rPr>
              <w:t xml:space="preserve"> TSPOT </w:t>
            </w:r>
          </w:p>
        </w:tc>
        <w:tc>
          <w:tcPr>
            <w:tcW w:w="1039" w:type="dxa"/>
            <w:vAlign w:val="center"/>
          </w:tcPr>
          <w:p w14:paraId="29078B75" w14:textId="77777777" w:rsidR="00436146" w:rsidRDefault="00436146" w:rsidP="001B215D">
            <w:pPr>
              <w:spacing w:line="276" w:lineRule="auto"/>
            </w:pPr>
            <w:r w:rsidRPr="00516FD7">
              <w:rPr>
                <w:rFonts w:ascii="Arial" w:eastAsia="Times New Roman" w:hAnsi="Arial"/>
                <w:sz w:val="15"/>
                <w:szCs w:val="20"/>
              </w:rPr>
              <w:t>0.85</w:t>
            </w:r>
          </w:p>
        </w:tc>
        <w:tc>
          <w:tcPr>
            <w:tcW w:w="1039" w:type="dxa"/>
            <w:vAlign w:val="bottom"/>
          </w:tcPr>
          <w:p w14:paraId="217DBFED"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bottom"/>
          </w:tcPr>
          <w:p w14:paraId="7038B851" w14:textId="77777777" w:rsidR="00436146" w:rsidRDefault="00436146" w:rsidP="001B215D">
            <w:pPr>
              <w:spacing w:line="276" w:lineRule="auto"/>
            </w:pPr>
            <w:r w:rsidRPr="00516FD7">
              <w:rPr>
                <w:rFonts w:ascii="Arial" w:eastAsia="Times New Roman" w:hAnsi="Arial"/>
                <w:sz w:val="15"/>
                <w:szCs w:val="20"/>
              </w:rPr>
              <w:t>0.97</w:t>
            </w:r>
          </w:p>
        </w:tc>
        <w:tc>
          <w:tcPr>
            <w:tcW w:w="1039" w:type="dxa"/>
          </w:tcPr>
          <w:p w14:paraId="4B03F7BB" w14:textId="48EB4262"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{"citationID":"pSo8zmms","properties":{"formattedCitation":"{\\rtf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c>
          <w:tcPr>
            <w:tcW w:w="1039" w:type="dxa"/>
            <w:vAlign w:val="center"/>
          </w:tcPr>
          <w:p w14:paraId="7243A7F5"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bottom"/>
          </w:tcPr>
          <w:p w14:paraId="288F58D8" w14:textId="77777777" w:rsidR="00436146" w:rsidRDefault="00436146" w:rsidP="001B215D">
            <w:pPr>
              <w:spacing w:line="276" w:lineRule="auto"/>
            </w:pPr>
            <w:r w:rsidRPr="00516FD7">
              <w:rPr>
                <w:rFonts w:ascii="Arial" w:eastAsia="Times New Roman" w:hAnsi="Arial"/>
                <w:sz w:val="15"/>
                <w:szCs w:val="20"/>
              </w:rPr>
              <w:t>0.97</w:t>
            </w:r>
          </w:p>
        </w:tc>
        <w:tc>
          <w:tcPr>
            <w:tcW w:w="1039" w:type="dxa"/>
            <w:vAlign w:val="bottom"/>
          </w:tcPr>
          <w:p w14:paraId="1E500D3E" w14:textId="77777777" w:rsidR="00436146" w:rsidRDefault="00436146" w:rsidP="001B215D">
            <w:pPr>
              <w:spacing w:line="276" w:lineRule="auto"/>
            </w:pPr>
            <w:r w:rsidRPr="00516FD7">
              <w:rPr>
                <w:rFonts w:ascii="Arial" w:eastAsia="Times New Roman" w:hAnsi="Arial"/>
                <w:sz w:val="15"/>
                <w:szCs w:val="20"/>
              </w:rPr>
              <w:t>1.00</w:t>
            </w:r>
          </w:p>
        </w:tc>
        <w:tc>
          <w:tcPr>
            <w:tcW w:w="1039" w:type="dxa"/>
            <w:vAlign w:val="center"/>
          </w:tcPr>
          <w:p w14:paraId="0018D4E6" w14:textId="0B9B8EE0"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{"citationID":"5O42d9xb","properties":{"formattedCitation":"{\\rtf (E24\\uc0\\u8211{}37)}","plainCitation":"(E24–37)"},"citationItems":[{"id":1419,"uris":["http://zotero.org/users/1988472/items/JXTT6GJD"],"uri":["http://zotero.org/users/1988472/items/JXTT6GJD"],"itemData":{"id":1419,"type":"article-journal","title":"A meta-analysis of the effect of Bacille Calmette Guerin vaccination on tuberculin skin test measurements","container-title":"Thorax","page":"804–809","volume":"57","issue":"9","author":[{"family":"Wang","given":"L"},{"family":"Turner","given":"MO"},{"family":"Elwood","given":"RK"},{"family":"Schulzer","given":"M"},{"family":"FitzGerald","given":"JM"}],"issued":{"date-parts":[["2002"]]}}},{"id":586,"uris":["http://zotero.org/users/1988472/items/2AQRUFVX"],"uri":["http://zotero.org/users/1988472/items/2AQRUFVX"],"itemData":{"id":586,"type":"article-journal","title":"Comparison of sensitivities of two commercial gamma interferon release assays for pulmonary tuberculosis","container-title":"Journal of clinical microbiology","page":"1935–1940","volume":"46","issue":"6","author":[{"family":"Chee","given":"Cynthia BE"},{"family":"Gan","given":"Suay H"},{"family":"KhinMar","given":"Kyi W"},{"family":"Barkham","given":"Timothy M"},{"family":"Koh","given":"Chwee K"},{"family":"Liang","given":"Shen"},{"family":"Wang","given":"Yee T"}],"issued":{"date-parts":[["2008"]]}}},{"id":726,"uris":["http://zotero.org/users/1988472/items/5DGU8JJG"],"uri":["http://zotero.org/users/1988472/items/5DGU8JJG"],"itemData":{"id":726,"type":"article-journal","title":"Comparison of the sensitivity and specificity of two whole blood interferon-gamma assays for M. tuberculosis infection","container-title":"Journal of Infection","page":"348–353","volume":"56","issue":"5","author":[{"family":"Harada","given":"Nobuyuki"},{"family":"Higuchi","given":"Kazue"},{"family":"Yoshiyama","given":"Takashi"},{"family":"Kawabe","given":"Yoshiko"},{"family":"Fujita","given":"Akira"},{"family":"Sasaki","given":"Yuka"},{"family":"Horiba","given":"Masahide"},{"family":"Mitarai","given":"Satoshi"},{"family":"Yonemaru","given":"Makoto"},{"family":"Ogata","given":"Hideo"},{"literal":"others"}],"issued":{"date-parts":[["2008"]]}}},{"id":1501,"uris":["http://zotero.org/users/1988472/items/MM9SIXGM"],"uri":["http://zotero.org/users/1988472/items/MM9SIXGM"],"itemData":{"id":1501,"type":"article-journal","title":"Comparison of two commercial interferon-γ assays for diagnosing Mycobacterium tuberculosis infection","container-title":"European Respiratory Journal","page":"24–30","volume":"28","issue":"1","author":[{"family":"Lee","given":"JY"},{"family":"Choi","given":"HJ"},{"family":"Park","given":"IN"},{"family":"Hong","given":"SB"},{"family":"Oh","given":"YM"},{"family":"Lim","given":"CM"},{"family":"Lee","given":"SD"},{"family":"Koh","given":"Y"},{"family":"Kim","given":"WS"},{"family":"Kim","given":"DS"},{"literal":"others"}],"issued":{"date-parts":[["2006"]]}}},{"id":1551,"uris":["http://zotero.org/users/1988472/items/NFEDQ93T"],"uri":["http://zotero.org/users/1988472/items/NFEDQ93T"],"itemData":{"id":1551,"type":"article-journal","title":"Detection and prediction of active tuberculosis disease by a whole-blood interferon-γ release assay in HIV-1–infected individuals","container-title":"Clinical Infectious Diseases","page":"954–962","volume":"48","issue":"7","author":[{"family":"Aichelburg","given":"Maximilian C"},{"family":"Rieger","given":"Armin"},{"family":"Breitenecker","given":"Florian"},{"family":"Pfistershammer","given":"Katharina"},{"family":"Tittes","given":"Julia"},{"family":"Eltz","given":"Stephanie"},{"family":"Aichelburg","given":"Alexander C"},{"family":"Stingl","given":"Georg"},{"family":"Makristathis","given":"Athanasios"},{"family":"Kohrgruber","given":"Norbert"}],"issued":{"date-parts":[["2009"]]}}},{"id":1524,"uris":["http://zotero.org/users/1988472/items/N4GPR5F5"],"uri":["http://zotero.org/users/1988472/items/N4GPR5F5"],"itemData":{"id":1524,"type":"article-journal","title":"Evaluating the potential of IP-10 and MCP-2 as biomarkers for the diagnosis of tuberculosis","container-title":"European Respiratory Journal","page":"1607–1615","volume":"32","issue":"6","author":[{"family":"Ruhwald","given":"Morten"},{"family":"Bodmer","given":"Thomas"},{"family":"Maier","given":"Claudia"},{"family":"Jepsen","given":"Micha"},{"family":"Haaland","given":"MB"},{"family":"Eugen-Olsen","given":"Jesper"},{"family":"Ravn","given":"Pernille"},{"literal":"others"}],"issued":{"date-parts":[["2008"]]}}},{"id":866,"uris":["http://zotero.org/users/1988472/items/85I99SWV"],"uri":["http://zotero.org/users/1988472/items/85I99SWV"],"itemData":{"id":866,"type":"article-journal","title":"In-house bulk and single cell antigen-specific whole blood Interferon-gamma assays for surveillance of M. tuberculosis infection","container-title":"Clinical and Vaccine Immunology","author":[{"family":"Palazzo","given":"Raffaella"},{"family":"Spensieri","given":"Fabiana"},{"family":"Massari","given":"Marco"},{"family":"Fedele","given":"Giorgio"},{"family":"Frasca","given":"Loredana"},{"family":"Carrara","given":"Stefania"},{"family":"Goletti","given":"Delia"},{"family":"Ausiello","given":"Clara M"}],"issued":{"date-parts":[["2007"]]}}},{"id":681,"uris":["http://zotero.org/users/1988472/items/4FMZ4MF4"],"uri":["http://zotero.org/users/1988472/items/4FMZ4MF4"],"itemData":{"id":681,"type":"article-journal","title":"Interferon-gamma release assays and TB screening in high-income countries: a cost-effectiveness analysis","container-title":"The International Journal of Tuberculosis and Lung Disease","page":"16–26","volume":"11","issue":"1","author":[{"family":"Oxlade","given":"O"},{"family":"Schwartzman","given":"K"},{"family":"Menzies","given":"D"}],"issued":{"date-parts":[["2007"]]}}},{"id":1435,"uris":["http://zotero.org/users/1988472/items/KCGP7PKV"],"uri":["http://zotero.org/users/1988472/items/KCGP7PKV"],"itemData":{"id":1435,"type":"article-journal","title":"Interferon-γ release assays for the diagnosis of latent Mycobacterium tuberculosis infection: a systematic review and meta-analysis","container-title":"European Respiratory Journal","page":"88-99","volume":"37","issue":"1","source":"erj.ersjournals.com","abstract":"We conducted a systematic review and meta-analysis to compare the accuracy of the QuantiFERON-TB® Gold In-Tube (QFT-G-IT) and the T-SPOT®.TB assays with the tuberculin skin test (TST) for the diagnosis of latent Mycobacterium tuberculosis infection (LTBI).\nThe Medline, Embase and Cochrane databases were explored for relevant articles in November 2009. Specificities, and negative (NPV) and positive (PPV) predictive values of interferon-γ release assays (IGRAs) and the TST, and the exposure gradient influences on test results among bacille Calmette–Guérin (BCG) vaccinees were evaluated.\nSpecificity of IGRAs varied 98–100%. In immunocompetent adults, NPV for progression to tuberculosis within 2 yrs were 97.8% for T-SPOT®.TB and 99.8% for QFT-G-IT. When test performance of an immunodiagnostic test was not restricted to prior positivity of another test, progression rates to tuberculosis among IGRA-positive individuals followed for 19–24 months varied 8–15%, exceeding those reported for the TST (2–3%). In multivariate analyses, the odd ratios for TST positivity following BCG vaccination varied 3–25, whereas IGRA results remained uninfluenced and IGRA positivity was clearly associated with exposure to contagious tuberculosis cases.\nIGRAs may have a relative advantage over the TST in detecting LTBI and allow the exclusion of M. tuberculosis infection with higher reliability.","DOI":"10.1183/09031936.00115110","ISSN":"0903-1936, 1399-3003","note":"PMID: 21030451","shortTitle":"Interferon-γ release assays for the diagnosis of latent Mycobacterium tuberculosis infection","journalAbbreviation":"Eur Respir J","language":"en","author":[{"family":"Diel","given":"R."},{"family":"Goletti","given":"D."},{"family":"Ferrara","given":"G."},{"family":"Bothamley","given":"G."},{"family":"Cirillo","given":"D."},{"family":"Kampmann","given":"B."},{"family":"Lange","given":"C."},{"family":"Losi","given":"M."},{"family":"Markova","given":"R."},{"family":"Migliori","given":"G. B."},{"family":"Nienhaus","given":"A."},{"family":"Ruhwald","given":"M."},{"family":"Wagner","given":"D."},{"family":"Zellweger","given":"J. P."},{"family":"Huitric","given":"E."},{"family":"Sandgren","given":"A."},{"family":"Manissero","given":"D."}],"issued":{"date-parts":[["2011",1,1]]},"PMID":"21030451"}},{"id":754,"uris":["http://zotero.org/users/1988472/items/5VB72UEX"],"uri":["http://zotero.org/users/1988472/items/5VB72UEX"],"itemData":{"id":754,"type":"article-journal","title":"Interferon-γ release assays improve the diagnosis of tuberculosis and nontuberculous mycobacterial disease in children in a country with a low incidence of tuberculosis","container-title":"Clinical Infectious Diseases","page":"322–328","volume":"45","issue":"3","author":[{"family":"Detjen","given":"AK"},{"family":"Keil","given":"T"},{"family":"Roll","given":"S"},{"family":"Hauer","given":"B"},{"family":"Mauch","given":"H"},{"family":"Wahn","given":"U"},{"family":"Magdorf","given":"K"}],"issued":{"date-parts":[["2007"]]}}},{"id":1883,"uris":["http://zotero.org/users/1988472/items/V4CZSU7M"],"uri":["http://zotero.org/users/1988472/items/V4CZSU7M"],"itemData":{"id":1883,"type":"article-journal","title":"QuantiFERON®-TB Gold in the diagnosis of active tuberculosis","container-title":"Journal of International Medical Research","page":"434–437","volume":"36","issue":"3","author":[{"family":"Bartu","given":"V"},{"family":"Havelkova","given":"M"},{"family":"Kopecka","given":"E"}],"issued":{"date-parts":[["2008"]]}}},{"id":1073,"uris":["http://zotero.org/users/1988472/items/CK5DJRB6"],"uri":["http://zotero.org/users/1988472/items/CK5DJRB6"],"itemData":{"id":1073,"type":"article-journal","title":"Sensitivity analysis and potential uses of a novel gamma interferon release assay for diagnosis of tuberculosis","container-title":"Journal of clinical microbiology","page":"2844–2850","volume":"44","issue":"8","author":[{"family":"Tsiouris","given":"Simon J"},{"family":"Coetzee","given":"David"},{"family":"Toro","given":"Patricia L"},{"family":"Austin","given":"Judy"},{"family":"Stein","given":"Zena"},{"family":"El-Sadr","given":"Wafaa"}],"issued":{"date-parts":[["2006"]]}}},{"id":1112,"uris":["http://zotero.org/users/1988472/items/DKSIJ47F"],"uri":["http://zotero.org/users/1988472/items/DKSIJ47F"],"itemData":{"id":1112,"type":"article-journal","title":"Systematic review: T-cell–based assays for the diagnosis of latent tuberculosis infection: an update","container-title":"Annals of internal medicine","page":"177–184","volume":"149","issue":"3","author":[{"family":"Pai","given":"Madhukar"},{"family":"Zwerling","given":"Alice"},{"family":"Menzies","given":"Dick"}],"issued":{"date-parts":[["2008"]]}}},{"id":1819,"uris":["http://zotero.org/users/1988472/items/TTWPSDHI"],"uri":["http://zotero.org/users/1988472/items/TTWPSDHI"],"itemData":{"id":1819,"type":"article-journal","title":"Updated guidelines for using interferon gamma release assays to detect Mycobacterium tuberculosis infection, United States, 2010","author":[{"family":"Mazurek","given":"Gerald H"},{"family":"Jereb","given":"John A"},{"family":"Vernon","given":"Andrew"},{"family":"LoBue","given":"Philip"},{"family":"Goldberg","given":"Stefan"},{"family":"Castro","given":"Kenneth G"},{"family":"Committee","given":"IGRA Expert"},{"family":"Control","given":"Centers for Disease"},{"family":"(CDC)","given":"Prevention"},{"literal":"others"}],"issued":{"date-parts":[["2010"]]}}}],"schema":"https://github.com/citation-style-language/schema/raw/master/csl-citation.json"} </w:instrText>
            </w:r>
            <w:r>
              <w:rPr>
                <w:rFonts w:ascii="Arial" w:eastAsia="Times New Roman" w:hAnsi="Arial"/>
                <w:sz w:val="15"/>
                <w:szCs w:val="20"/>
              </w:rPr>
              <w:fldChar w:fldCharType="separate"/>
            </w:r>
            <w:r w:rsidR="00201160" w:rsidRPr="00201160">
              <w:rPr>
                <w:rFonts w:ascii="Arial" w:eastAsia="Times New Roman" w:hAnsi="Arial"/>
                <w:sz w:val="15"/>
              </w:rPr>
              <w:t>(E24–37)</w:t>
            </w:r>
            <w:r>
              <w:rPr>
                <w:rFonts w:ascii="Arial" w:eastAsia="Times New Roman" w:hAnsi="Arial"/>
                <w:sz w:val="15"/>
                <w:szCs w:val="20"/>
              </w:rPr>
              <w:fldChar w:fldCharType="end"/>
            </w:r>
          </w:p>
        </w:tc>
      </w:tr>
      <w:tr w:rsidR="00436146" w14:paraId="1A932326" w14:textId="77777777" w:rsidTr="001B215D">
        <w:tc>
          <w:tcPr>
            <w:tcW w:w="1038" w:type="dxa"/>
            <w:vAlign w:val="bottom"/>
          </w:tcPr>
          <w:p w14:paraId="11164641" w14:textId="77777777" w:rsidR="00436146" w:rsidRDefault="00436146" w:rsidP="001B215D">
            <w:pPr>
              <w:spacing w:line="276" w:lineRule="auto"/>
            </w:pPr>
            <w:r w:rsidRPr="00B60548">
              <w:rPr>
                <w:rFonts w:ascii="Arial" w:eastAsia="Times New Roman" w:hAnsi="Arial"/>
                <w:sz w:val="15"/>
                <w:szCs w:val="20"/>
              </w:rPr>
              <w:t xml:space="preserve">HIV TST </w:t>
            </w:r>
          </w:p>
        </w:tc>
        <w:tc>
          <w:tcPr>
            <w:tcW w:w="1039" w:type="dxa"/>
            <w:vAlign w:val="center"/>
          </w:tcPr>
          <w:p w14:paraId="1E91DD25" w14:textId="77777777" w:rsidR="00436146" w:rsidRDefault="00436146" w:rsidP="001B215D">
            <w:pPr>
              <w:spacing w:line="276" w:lineRule="auto"/>
            </w:pPr>
            <w:r w:rsidRPr="00516FD7">
              <w:rPr>
                <w:rFonts w:ascii="Arial" w:eastAsia="Times New Roman" w:hAnsi="Arial"/>
                <w:sz w:val="15"/>
                <w:szCs w:val="20"/>
              </w:rPr>
              <w:t>0.75</w:t>
            </w:r>
          </w:p>
        </w:tc>
        <w:tc>
          <w:tcPr>
            <w:tcW w:w="1039" w:type="dxa"/>
            <w:vAlign w:val="bottom"/>
          </w:tcPr>
          <w:p w14:paraId="5CDD8A63" w14:textId="77777777" w:rsidR="00436146" w:rsidRDefault="00436146" w:rsidP="001B215D">
            <w:pPr>
              <w:spacing w:line="276" w:lineRule="auto"/>
            </w:pPr>
            <w:r w:rsidRPr="00516FD7">
              <w:rPr>
                <w:rFonts w:ascii="Arial" w:eastAsia="Times New Roman" w:hAnsi="Arial"/>
                <w:sz w:val="15"/>
                <w:szCs w:val="20"/>
              </w:rPr>
              <w:t>0.68</w:t>
            </w:r>
          </w:p>
        </w:tc>
        <w:tc>
          <w:tcPr>
            <w:tcW w:w="1039" w:type="dxa"/>
            <w:vAlign w:val="bottom"/>
          </w:tcPr>
          <w:p w14:paraId="3A12EFC7" w14:textId="77777777" w:rsidR="00436146" w:rsidRDefault="00436146" w:rsidP="001B215D">
            <w:pPr>
              <w:spacing w:line="276" w:lineRule="auto"/>
            </w:pPr>
            <w:r w:rsidRPr="00516FD7">
              <w:rPr>
                <w:rFonts w:ascii="Arial" w:eastAsia="Times New Roman" w:hAnsi="Arial"/>
                <w:sz w:val="15"/>
                <w:szCs w:val="20"/>
              </w:rPr>
              <w:t>0.83</w:t>
            </w:r>
          </w:p>
        </w:tc>
        <w:tc>
          <w:tcPr>
            <w:tcW w:w="1039" w:type="dxa"/>
          </w:tcPr>
          <w:p w14:paraId="038569C8" w14:textId="1BF1D437"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x1Z4odgz","properties":{"formattedCitation":"(E38)","plainCitation":"(E38)"},"citationItems":[{"id":1963,"uris":["http://zotero.org/users/1988472/items/WJTF86PW"],"uri":["http://zotero.org/users/1988472/items/WJTF86PW"],"itemData":{"id":1963,"type":"article-journal","title":"Interferon-γ release assays for the diagnosis of tuberculosis and tuberculosis infection in HIV-infected adults: a systematic review and meta-analysis","container-title":"PloS one","page":"e32482","volume":"7","issue":"3","author":[{"family":"Santin","given":"Miguel"},{"family":"Munoz","given":"Laura"},{"family":"Rigau","given":"David"}],"issued":{"date-parts":[["2012"]]}}}],"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(E38)</w:t>
            </w:r>
            <w:r>
              <w:rPr>
                <w:rFonts w:ascii="Arial" w:eastAsia="Times New Roman" w:hAnsi="Arial"/>
                <w:sz w:val="15"/>
                <w:szCs w:val="20"/>
              </w:rPr>
              <w:fldChar w:fldCharType="end"/>
            </w:r>
          </w:p>
        </w:tc>
        <w:tc>
          <w:tcPr>
            <w:tcW w:w="1039" w:type="dxa"/>
            <w:vAlign w:val="center"/>
          </w:tcPr>
          <w:p w14:paraId="3037D1E2" w14:textId="77777777" w:rsidR="00436146" w:rsidRDefault="00436146" w:rsidP="001B215D">
            <w:pPr>
              <w:spacing w:line="276" w:lineRule="auto"/>
            </w:pPr>
            <w:r w:rsidRPr="00516FD7">
              <w:rPr>
                <w:rFonts w:ascii="Arial" w:eastAsia="Times New Roman" w:hAnsi="Arial"/>
                <w:sz w:val="15"/>
                <w:szCs w:val="20"/>
              </w:rPr>
              <w:t>0.64</w:t>
            </w:r>
          </w:p>
        </w:tc>
        <w:tc>
          <w:tcPr>
            <w:tcW w:w="1039" w:type="dxa"/>
            <w:vAlign w:val="bottom"/>
          </w:tcPr>
          <w:p w14:paraId="687B95BA" w14:textId="77777777" w:rsidR="00436146" w:rsidRDefault="00436146" w:rsidP="001B215D">
            <w:pPr>
              <w:spacing w:line="276" w:lineRule="auto"/>
            </w:pPr>
            <w:r w:rsidRPr="00516FD7">
              <w:rPr>
                <w:rFonts w:ascii="Arial" w:eastAsia="Times New Roman" w:hAnsi="Arial"/>
                <w:sz w:val="15"/>
                <w:szCs w:val="20"/>
              </w:rPr>
              <w:t>0.58</w:t>
            </w:r>
          </w:p>
        </w:tc>
        <w:tc>
          <w:tcPr>
            <w:tcW w:w="1039" w:type="dxa"/>
            <w:vAlign w:val="bottom"/>
          </w:tcPr>
          <w:p w14:paraId="682BFD79"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center"/>
          </w:tcPr>
          <w:p w14:paraId="7AA8034A" w14:textId="77777777" w:rsidR="00436146" w:rsidRDefault="00436146" w:rsidP="001B215D">
            <w:pPr>
              <w:spacing w:line="276" w:lineRule="auto"/>
            </w:pPr>
            <w:r>
              <w:rPr>
                <w:rFonts w:ascii="Arial" w:eastAsia="Times New Roman" w:hAnsi="Arial"/>
                <w:bCs/>
                <w:i/>
                <w:iCs/>
                <w:sz w:val="15"/>
                <w:szCs w:val="20"/>
              </w:rPr>
              <w:t>Assumed</w:t>
            </w:r>
          </w:p>
        </w:tc>
      </w:tr>
      <w:tr w:rsidR="00436146" w14:paraId="57631D70" w14:textId="77777777" w:rsidTr="001B215D">
        <w:tc>
          <w:tcPr>
            <w:tcW w:w="1038" w:type="dxa"/>
            <w:vAlign w:val="bottom"/>
          </w:tcPr>
          <w:p w14:paraId="19B826A0" w14:textId="77777777" w:rsidR="00436146" w:rsidRDefault="00436146" w:rsidP="001B215D">
            <w:pPr>
              <w:spacing w:line="276" w:lineRule="auto"/>
            </w:pPr>
            <w:r w:rsidRPr="00B60548">
              <w:rPr>
                <w:rFonts w:ascii="Arial" w:eastAsia="Times New Roman" w:hAnsi="Arial"/>
                <w:sz w:val="15"/>
                <w:szCs w:val="20"/>
              </w:rPr>
              <w:t xml:space="preserve">HIV QFT </w:t>
            </w:r>
          </w:p>
        </w:tc>
        <w:tc>
          <w:tcPr>
            <w:tcW w:w="1039" w:type="dxa"/>
            <w:vAlign w:val="center"/>
          </w:tcPr>
          <w:p w14:paraId="48AE75FB" w14:textId="77777777" w:rsidR="00436146" w:rsidRDefault="00436146" w:rsidP="001B215D">
            <w:pPr>
              <w:spacing w:line="276" w:lineRule="auto"/>
            </w:pPr>
            <w:r w:rsidRPr="00516FD7">
              <w:rPr>
                <w:rFonts w:ascii="Arial" w:eastAsia="Times New Roman" w:hAnsi="Arial"/>
                <w:sz w:val="15"/>
                <w:szCs w:val="20"/>
              </w:rPr>
              <w:t>0.59</w:t>
            </w:r>
          </w:p>
        </w:tc>
        <w:tc>
          <w:tcPr>
            <w:tcW w:w="1039" w:type="dxa"/>
            <w:vAlign w:val="bottom"/>
          </w:tcPr>
          <w:p w14:paraId="67F0FE51" w14:textId="77777777" w:rsidR="00436146" w:rsidRDefault="00436146" w:rsidP="001B215D">
            <w:pPr>
              <w:spacing w:line="276" w:lineRule="auto"/>
            </w:pPr>
            <w:r w:rsidRPr="00516FD7">
              <w:rPr>
                <w:rFonts w:ascii="Arial" w:eastAsia="Times New Roman" w:hAnsi="Arial"/>
                <w:sz w:val="15"/>
                <w:szCs w:val="20"/>
              </w:rPr>
              <w:t>0.53</w:t>
            </w:r>
          </w:p>
        </w:tc>
        <w:tc>
          <w:tcPr>
            <w:tcW w:w="1039" w:type="dxa"/>
            <w:vAlign w:val="bottom"/>
          </w:tcPr>
          <w:p w14:paraId="235944FD" w14:textId="77777777" w:rsidR="00436146" w:rsidRDefault="00436146" w:rsidP="001B215D">
            <w:pPr>
              <w:spacing w:line="276" w:lineRule="auto"/>
            </w:pPr>
            <w:r w:rsidRPr="00516FD7">
              <w:rPr>
                <w:rFonts w:ascii="Arial" w:eastAsia="Times New Roman" w:hAnsi="Arial"/>
                <w:sz w:val="15"/>
                <w:szCs w:val="20"/>
              </w:rPr>
              <w:t>0.65</w:t>
            </w:r>
          </w:p>
        </w:tc>
        <w:tc>
          <w:tcPr>
            <w:tcW w:w="1039" w:type="dxa"/>
          </w:tcPr>
          <w:p w14:paraId="32B87667" w14:textId="77EF905C"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p8Rx6Xao","properties":{"formattedCitation":"(E38)","plainCitation":"(E38)"},"citationItems":[{"id":1963,"uris":["http://zotero.org/users/1988472/items/WJTF86PW"],"uri":["http://zotero.org/users/1988472/items/WJTF86PW"],"itemData":{"id":1963,"type":"article-journal","title":"Interferon-γ release assays for the diagnosis of tuberculosis and tuberculosis infection in HIV-infected adults: a systematic review and meta-analysis","container-title":"PloS one","page":"e32482","volume":"7","issue":"3","author":[{"family":"Santin","given":"Miguel"},{"family":"Munoz","given":"Laura"},{"family":"Rigau","given":"David"}],"issued":{"date-parts":[["2012"]]}}}],"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(E38)</w:t>
            </w:r>
            <w:r>
              <w:rPr>
                <w:rFonts w:ascii="Arial" w:eastAsia="Times New Roman" w:hAnsi="Arial"/>
                <w:sz w:val="15"/>
                <w:szCs w:val="20"/>
              </w:rPr>
              <w:fldChar w:fldCharType="end"/>
            </w:r>
          </w:p>
        </w:tc>
        <w:tc>
          <w:tcPr>
            <w:tcW w:w="1039" w:type="dxa"/>
            <w:vAlign w:val="center"/>
          </w:tcPr>
          <w:p w14:paraId="69A314BF" w14:textId="77777777" w:rsidR="00436146" w:rsidRDefault="00436146" w:rsidP="001B215D">
            <w:pPr>
              <w:spacing w:line="276" w:lineRule="auto"/>
            </w:pPr>
            <w:r w:rsidRPr="00516FD7">
              <w:rPr>
                <w:rFonts w:ascii="Arial" w:eastAsia="Times New Roman" w:hAnsi="Arial"/>
                <w:sz w:val="15"/>
                <w:szCs w:val="20"/>
              </w:rPr>
              <w:t>0.89</w:t>
            </w:r>
          </w:p>
        </w:tc>
        <w:tc>
          <w:tcPr>
            <w:tcW w:w="1039" w:type="dxa"/>
            <w:vAlign w:val="bottom"/>
          </w:tcPr>
          <w:p w14:paraId="305FE098" w14:textId="77777777" w:rsidR="00436146" w:rsidRDefault="00436146" w:rsidP="001B215D">
            <w:pPr>
              <w:spacing w:line="276" w:lineRule="auto"/>
            </w:pPr>
            <w:r w:rsidRPr="00516FD7">
              <w:rPr>
                <w:rFonts w:ascii="Arial" w:eastAsia="Times New Roman" w:hAnsi="Arial"/>
                <w:sz w:val="15"/>
                <w:szCs w:val="20"/>
              </w:rPr>
              <w:t>0.80</w:t>
            </w:r>
          </w:p>
        </w:tc>
        <w:tc>
          <w:tcPr>
            <w:tcW w:w="1039" w:type="dxa"/>
            <w:vAlign w:val="bottom"/>
          </w:tcPr>
          <w:p w14:paraId="6937EEB3"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center"/>
          </w:tcPr>
          <w:p w14:paraId="21CD2DCF" w14:textId="08CBBA8E"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efFYNr18","properties":{"formattedCitation":"(E38)","plainCitation":"(E38)"},"citationItems":[{"id":1963,"uris":["http://zotero.org/users/1988472/items/WJTF86PW"],"uri":["http://zotero.org/users/1988472/items/WJTF86PW"],"itemData":{"id":1963,"type":"article-journal","title":"Interferon-γ release assays for the diagnosis of tuberculosis and tuberculosis infection in HIV-infected adults: a systematic review and meta-analysis","container-title":"PloS one","page":"e32482","volume":"7","issue":"3","author":[{"family":"Santin","given":"Miguel"},{"family":"Munoz","given":"Laura"},{"family":"Rigau","given":"David"}],"issued":{"date-parts":[["2012"]]}}}],"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(E38)</w:t>
            </w:r>
            <w:r>
              <w:rPr>
                <w:rFonts w:ascii="Arial" w:eastAsia="Times New Roman" w:hAnsi="Arial"/>
                <w:sz w:val="15"/>
                <w:szCs w:val="20"/>
              </w:rPr>
              <w:fldChar w:fldCharType="end"/>
            </w:r>
          </w:p>
        </w:tc>
      </w:tr>
      <w:tr w:rsidR="00436146" w14:paraId="724257C1" w14:textId="77777777" w:rsidTr="001B215D">
        <w:tc>
          <w:tcPr>
            <w:tcW w:w="1038" w:type="dxa"/>
            <w:vAlign w:val="bottom"/>
          </w:tcPr>
          <w:p w14:paraId="106D3738" w14:textId="77777777" w:rsidR="00436146" w:rsidRDefault="00436146" w:rsidP="001B215D">
            <w:pPr>
              <w:spacing w:line="276" w:lineRule="auto"/>
            </w:pPr>
            <w:r w:rsidRPr="00B60548">
              <w:rPr>
                <w:rFonts w:ascii="Arial" w:eastAsia="Times New Roman" w:hAnsi="Arial"/>
                <w:sz w:val="15"/>
                <w:szCs w:val="20"/>
              </w:rPr>
              <w:t xml:space="preserve">HIV TSPOT </w:t>
            </w:r>
          </w:p>
        </w:tc>
        <w:tc>
          <w:tcPr>
            <w:tcW w:w="1039" w:type="dxa"/>
            <w:vAlign w:val="center"/>
          </w:tcPr>
          <w:p w14:paraId="48EC178A" w14:textId="77777777" w:rsidR="00436146" w:rsidRDefault="00436146" w:rsidP="001B215D">
            <w:pPr>
              <w:spacing w:line="276" w:lineRule="auto"/>
            </w:pPr>
            <w:r w:rsidRPr="00516FD7">
              <w:rPr>
                <w:rFonts w:ascii="Arial" w:eastAsia="Times New Roman" w:hAnsi="Arial"/>
                <w:sz w:val="15"/>
                <w:szCs w:val="20"/>
              </w:rPr>
              <w:t>0.59</w:t>
            </w:r>
          </w:p>
        </w:tc>
        <w:tc>
          <w:tcPr>
            <w:tcW w:w="1039" w:type="dxa"/>
            <w:vAlign w:val="bottom"/>
          </w:tcPr>
          <w:p w14:paraId="244FEBD1" w14:textId="77777777" w:rsidR="00436146" w:rsidRDefault="00436146" w:rsidP="001B215D">
            <w:pPr>
              <w:spacing w:line="276" w:lineRule="auto"/>
            </w:pPr>
            <w:r w:rsidRPr="00516FD7">
              <w:rPr>
                <w:rFonts w:ascii="Arial" w:eastAsia="Times New Roman" w:hAnsi="Arial"/>
                <w:sz w:val="15"/>
                <w:szCs w:val="20"/>
              </w:rPr>
              <w:t>0.53</w:t>
            </w:r>
          </w:p>
        </w:tc>
        <w:tc>
          <w:tcPr>
            <w:tcW w:w="1039" w:type="dxa"/>
            <w:vAlign w:val="bottom"/>
          </w:tcPr>
          <w:p w14:paraId="29166CDF" w14:textId="77777777" w:rsidR="00436146" w:rsidRDefault="00436146" w:rsidP="001B215D">
            <w:pPr>
              <w:spacing w:line="276" w:lineRule="auto"/>
            </w:pPr>
            <w:r w:rsidRPr="00516FD7">
              <w:rPr>
                <w:rFonts w:ascii="Arial" w:eastAsia="Times New Roman" w:hAnsi="Arial"/>
                <w:sz w:val="15"/>
                <w:szCs w:val="20"/>
              </w:rPr>
              <w:t>0.65</w:t>
            </w:r>
          </w:p>
        </w:tc>
        <w:tc>
          <w:tcPr>
            <w:tcW w:w="1039" w:type="dxa"/>
          </w:tcPr>
          <w:p w14:paraId="5C5B6679" w14:textId="77777777" w:rsidR="00436146" w:rsidRDefault="00436146" w:rsidP="001B215D">
            <w:pPr>
              <w:spacing w:line="276" w:lineRule="auto"/>
            </w:pPr>
            <w:r>
              <w:rPr>
                <w:rFonts w:ascii="Arial" w:eastAsia="Times New Roman" w:hAnsi="Arial"/>
                <w:sz w:val="15"/>
                <w:szCs w:val="20"/>
              </w:rPr>
              <w:t>Assumed</w:t>
            </w:r>
          </w:p>
        </w:tc>
        <w:tc>
          <w:tcPr>
            <w:tcW w:w="1039" w:type="dxa"/>
            <w:vAlign w:val="center"/>
          </w:tcPr>
          <w:p w14:paraId="39772A64" w14:textId="77777777" w:rsidR="00436146" w:rsidRDefault="00436146" w:rsidP="001B215D">
            <w:pPr>
              <w:spacing w:line="276" w:lineRule="auto"/>
            </w:pPr>
            <w:r w:rsidRPr="00516FD7">
              <w:rPr>
                <w:rFonts w:ascii="Arial" w:eastAsia="Times New Roman" w:hAnsi="Arial"/>
                <w:sz w:val="15"/>
                <w:szCs w:val="20"/>
              </w:rPr>
              <w:t>0.89</w:t>
            </w:r>
          </w:p>
        </w:tc>
        <w:tc>
          <w:tcPr>
            <w:tcW w:w="1039" w:type="dxa"/>
            <w:vAlign w:val="bottom"/>
          </w:tcPr>
          <w:p w14:paraId="2BA21087" w14:textId="77777777" w:rsidR="00436146" w:rsidRDefault="00436146" w:rsidP="001B215D">
            <w:pPr>
              <w:spacing w:line="276" w:lineRule="auto"/>
            </w:pPr>
            <w:r w:rsidRPr="00516FD7">
              <w:rPr>
                <w:rFonts w:ascii="Arial" w:eastAsia="Times New Roman" w:hAnsi="Arial"/>
                <w:sz w:val="15"/>
                <w:szCs w:val="20"/>
              </w:rPr>
              <w:t>0.80</w:t>
            </w:r>
          </w:p>
        </w:tc>
        <w:tc>
          <w:tcPr>
            <w:tcW w:w="1039" w:type="dxa"/>
            <w:vAlign w:val="bottom"/>
          </w:tcPr>
          <w:p w14:paraId="0360C87D" w14:textId="77777777" w:rsidR="00436146" w:rsidRDefault="00436146" w:rsidP="001B215D">
            <w:pPr>
              <w:spacing w:line="276" w:lineRule="auto"/>
            </w:pPr>
            <w:r w:rsidRPr="00516FD7">
              <w:rPr>
                <w:rFonts w:ascii="Arial" w:eastAsia="Times New Roman" w:hAnsi="Arial"/>
                <w:sz w:val="15"/>
                <w:szCs w:val="20"/>
              </w:rPr>
              <w:t>0.98</w:t>
            </w:r>
          </w:p>
        </w:tc>
        <w:tc>
          <w:tcPr>
            <w:tcW w:w="1039" w:type="dxa"/>
            <w:vAlign w:val="center"/>
          </w:tcPr>
          <w:p w14:paraId="32F814CA" w14:textId="77777777" w:rsidR="00436146" w:rsidRDefault="00436146" w:rsidP="001B215D">
            <w:pPr>
              <w:spacing w:line="276" w:lineRule="auto"/>
            </w:pPr>
            <w:r>
              <w:rPr>
                <w:rFonts w:ascii="Arial" w:eastAsia="Times New Roman" w:hAnsi="Arial"/>
                <w:sz w:val="15"/>
                <w:szCs w:val="20"/>
              </w:rPr>
              <w:t>Assumed</w:t>
            </w:r>
          </w:p>
        </w:tc>
      </w:tr>
      <w:tr w:rsidR="00436146" w14:paraId="668EA091" w14:textId="77777777" w:rsidTr="001B215D">
        <w:tc>
          <w:tcPr>
            <w:tcW w:w="1038" w:type="dxa"/>
            <w:vAlign w:val="bottom"/>
          </w:tcPr>
          <w:p w14:paraId="762D872A" w14:textId="77777777" w:rsidR="00436146" w:rsidRDefault="00436146" w:rsidP="001B215D">
            <w:pPr>
              <w:spacing w:line="276" w:lineRule="auto"/>
            </w:pPr>
            <w:r w:rsidRPr="00B60548">
              <w:rPr>
                <w:rFonts w:ascii="Arial" w:eastAsia="Times New Roman" w:hAnsi="Arial"/>
                <w:sz w:val="15"/>
                <w:szCs w:val="20"/>
              </w:rPr>
              <w:t xml:space="preserve">ESRD TST </w:t>
            </w:r>
          </w:p>
        </w:tc>
        <w:tc>
          <w:tcPr>
            <w:tcW w:w="1039" w:type="dxa"/>
          </w:tcPr>
          <w:p w14:paraId="4BA7406E" w14:textId="77777777" w:rsidR="00436146" w:rsidRDefault="00436146" w:rsidP="001B215D">
            <w:pPr>
              <w:spacing w:line="276" w:lineRule="auto"/>
            </w:pPr>
            <w:r w:rsidRPr="00516FD7">
              <w:rPr>
                <w:rFonts w:ascii="Arial" w:eastAsia="Times New Roman" w:hAnsi="Arial"/>
                <w:sz w:val="15"/>
                <w:szCs w:val="20"/>
              </w:rPr>
              <w:t>0.51</w:t>
            </w:r>
          </w:p>
        </w:tc>
        <w:tc>
          <w:tcPr>
            <w:tcW w:w="1039" w:type="dxa"/>
            <w:vAlign w:val="bottom"/>
          </w:tcPr>
          <w:p w14:paraId="6A5FA4A2" w14:textId="77777777" w:rsidR="00436146" w:rsidRDefault="00436146" w:rsidP="001B215D">
            <w:pPr>
              <w:spacing w:line="276" w:lineRule="auto"/>
            </w:pPr>
            <w:r w:rsidRPr="00516FD7">
              <w:rPr>
                <w:rFonts w:ascii="Arial" w:eastAsia="Times New Roman" w:hAnsi="Arial"/>
                <w:sz w:val="15"/>
                <w:szCs w:val="20"/>
              </w:rPr>
              <w:t>0.46</w:t>
            </w:r>
          </w:p>
        </w:tc>
        <w:tc>
          <w:tcPr>
            <w:tcW w:w="1039" w:type="dxa"/>
            <w:vAlign w:val="bottom"/>
          </w:tcPr>
          <w:p w14:paraId="723BD189" w14:textId="77777777" w:rsidR="00436146" w:rsidRDefault="00436146" w:rsidP="001B215D">
            <w:pPr>
              <w:spacing w:line="276" w:lineRule="auto"/>
            </w:pPr>
            <w:r w:rsidRPr="00516FD7">
              <w:rPr>
                <w:rFonts w:ascii="Arial" w:eastAsia="Times New Roman" w:hAnsi="Arial"/>
                <w:sz w:val="15"/>
                <w:szCs w:val="20"/>
              </w:rPr>
              <w:t>0.56</w:t>
            </w:r>
          </w:p>
        </w:tc>
        <w:tc>
          <w:tcPr>
            <w:tcW w:w="1039" w:type="dxa"/>
          </w:tcPr>
          <w:p w14:paraId="7BE26A2E" w14:textId="4E393632"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uvOOru8l","properties":{"formattedCitation":"(E39)","plainCitation":"(E39)"},"citationItems":[{"id":916,"uris":["http://zotero.org/users/1988472/items/95IXT57S"],"uri":["http://zotero.org/users/1988472/items/95IXT57S"],"itemData":{"id":916,"type":"article-journal","title":"Improved efficiency in detecting cellular immunity towards M. tuberculosis in patients receiving immunosuppressive drug therapy","container-title":"Nephrology Dialysis Transplantation","page":"3258–3268","volume":"21","issue":"11","author":[{"family":"Sester","given":"Urban"},{"family":"Junker","given":"Heike"},{"family":"Hodapp","given":"Tobias"},{"family":"Schütz","given":"Alexandra"},{"family":"Thiele","given":"Bernhard"},{"family":"Meyerhans","given":"Andreas"},{"family":"Köhler","given":"Hans"},{"family":"Sester","given":"Martina"}],"issued":{"date-parts":[["2006"]]}}}],"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(E39)</w:t>
            </w:r>
            <w:r>
              <w:rPr>
                <w:rFonts w:ascii="Arial" w:eastAsia="Times New Roman" w:hAnsi="Arial"/>
                <w:sz w:val="15"/>
                <w:szCs w:val="20"/>
              </w:rPr>
              <w:fldChar w:fldCharType="end"/>
            </w:r>
          </w:p>
        </w:tc>
        <w:tc>
          <w:tcPr>
            <w:tcW w:w="1039" w:type="dxa"/>
            <w:vAlign w:val="bottom"/>
          </w:tcPr>
          <w:p w14:paraId="381058D4" w14:textId="77777777" w:rsidR="00436146" w:rsidRDefault="00436146" w:rsidP="001B215D">
            <w:pPr>
              <w:spacing w:line="276" w:lineRule="auto"/>
            </w:pPr>
            <w:r w:rsidRPr="00516FD7">
              <w:rPr>
                <w:rFonts w:ascii="Arial" w:eastAsia="Times New Roman" w:hAnsi="Arial"/>
                <w:sz w:val="15"/>
                <w:szCs w:val="20"/>
              </w:rPr>
              <w:t>0.64</w:t>
            </w:r>
          </w:p>
        </w:tc>
        <w:tc>
          <w:tcPr>
            <w:tcW w:w="1039" w:type="dxa"/>
            <w:vAlign w:val="bottom"/>
          </w:tcPr>
          <w:p w14:paraId="662C8911" w14:textId="77777777" w:rsidR="00436146" w:rsidRDefault="00436146" w:rsidP="001B215D">
            <w:pPr>
              <w:spacing w:line="276" w:lineRule="auto"/>
            </w:pPr>
            <w:r w:rsidRPr="00516FD7">
              <w:rPr>
                <w:rFonts w:ascii="Arial" w:eastAsia="Times New Roman" w:hAnsi="Arial"/>
                <w:sz w:val="15"/>
                <w:szCs w:val="20"/>
              </w:rPr>
              <w:t>0.58</w:t>
            </w:r>
          </w:p>
        </w:tc>
        <w:tc>
          <w:tcPr>
            <w:tcW w:w="1039" w:type="dxa"/>
            <w:vAlign w:val="bottom"/>
          </w:tcPr>
          <w:p w14:paraId="55933907" w14:textId="77777777" w:rsidR="00436146" w:rsidRDefault="00436146" w:rsidP="001B215D">
            <w:pPr>
              <w:spacing w:line="276" w:lineRule="auto"/>
            </w:pPr>
            <w:r w:rsidRPr="00516FD7">
              <w:rPr>
                <w:rFonts w:ascii="Arial" w:eastAsia="Times New Roman" w:hAnsi="Arial"/>
                <w:sz w:val="15"/>
                <w:szCs w:val="20"/>
              </w:rPr>
              <w:t>0.70</w:t>
            </w:r>
          </w:p>
        </w:tc>
        <w:tc>
          <w:tcPr>
            <w:tcW w:w="1039" w:type="dxa"/>
            <w:vAlign w:val="center"/>
          </w:tcPr>
          <w:p w14:paraId="0BFF91F2" w14:textId="33BBD022"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YeQZgmED","properties":{"formattedCitation":"(E39)","plainCitation":"(E39)"},"citationItems":[{"id":916,"uris":["http://zotero.org/users/1988472/items/95IXT57S"],"uri":["http://zotero.org/users/1988472/items/95IXT57S"],"itemData":{"id":916,"type":"article-journal","title":"Improved efficiency in detecting cellular immunity towards M. tuberculosis in patients receiving immunosuppressive drug therapy","container-title":"Nephrology Dialysis Transplantation","page":"3258–3268","volume":"21","issue":"11","author":[{"family":"Sester","given":"Urban"},{"family":"Junker","given":"Heike"},{"family":"Hodapp","given":"Tobias"},{"family":"Schütz","given":"Alexandra"},{"family":"Thiele","given":"Bernhard"},{"family":"Meyerhans","given":"Andreas"},{"family":"Köhler","given":"Hans"},{"family":"Sester","given":"Martina"}],"issued":{"date-parts":[["2006"]]}}}],"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(E39)</w:t>
            </w:r>
            <w:r>
              <w:rPr>
                <w:rFonts w:ascii="Arial" w:eastAsia="Times New Roman" w:hAnsi="Arial"/>
                <w:sz w:val="15"/>
                <w:szCs w:val="20"/>
              </w:rPr>
              <w:fldChar w:fldCharType="end"/>
            </w:r>
          </w:p>
        </w:tc>
      </w:tr>
      <w:tr w:rsidR="00436146" w14:paraId="1B54E88B" w14:textId="77777777" w:rsidTr="001B215D">
        <w:tc>
          <w:tcPr>
            <w:tcW w:w="1038" w:type="dxa"/>
            <w:vAlign w:val="bottom"/>
          </w:tcPr>
          <w:p w14:paraId="08B2C899" w14:textId="77777777" w:rsidR="00436146" w:rsidRDefault="00436146" w:rsidP="001B215D">
            <w:pPr>
              <w:spacing w:line="276" w:lineRule="auto"/>
            </w:pPr>
            <w:r w:rsidRPr="00B60548">
              <w:rPr>
                <w:rFonts w:ascii="Arial" w:eastAsia="Times New Roman" w:hAnsi="Arial"/>
                <w:sz w:val="15"/>
                <w:szCs w:val="20"/>
              </w:rPr>
              <w:t xml:space="preserve">ESRD QFT </w:t>
            </w:r>
          </w:p>
        </w:tc>
        <w:tc>
          <w:tcPr>
            <w:tcW w:w="1039" w:type="dxa"/>
            <w:vAlign w:val="bottom"/>
          </w:tcPr>
          <w:p w14:paraId="4DC65AF7" w14:textId="77777777" w:rsidR="00436146" w:rsidRDefault="00436146" w:rsidP="001B215D">
            <w:pPr>
              <w:spacing w:line="276" w:lineRule="auto"/>
            </w:pPr>
            <w:r w:rsidRPr="00516FD7">
              <w:rPr>
                <w:rFonts w:ascii="Arial" w:eastAsia="Times New Roman" w:hAnsi="Arial"/>
                <w:sz w:val="15"/>
                <w:szCs w:val="20"/>
              </w:rPr>
              <w:t>0.53</w:t>
            </w:r>
          </w:p>
        </w:tc>
        <w:tc>
          <w:tcPr>
            <w:tcW w:w="1039" w:type="dxa"/>
            <w:vAlign w:val="bottom"/>
          </w:tcPr>
          <w:p w14:paraId="4D9C9736" w14:textId="77777777" w:rsidR="00436146" w:rsidRDefault="00436146" w:rsidP="001B215D">
            <w:pPr>
              <w:spacing w:line="276" w:lineRule="auto"/>
            </w:pPr>
            <w:r w:rsidRPr="00516FD7">
              <w:rPr>
                <w:rFonts w:ascii="Arial" w:eastAsia="Times New Roman" w:hAnsi="Arial"/>
                <w:sz w:val="15"/>
                <w:szCs w:val="20"/>
              </w:rPr>
              <w:t>0.48</w:t>
            </w:r>
          </w:p>
        </w:tc>
        <w:tc>
          <w:tcPr>
            <w:tcW w:w="1039" w:type="dxa"/>
            <w:vAlign w:val="bottom"/>
          </w:tcPr>
          <w:p w14:paraId="0B61D886" w14:textId="77777777" w:rsidR="00436146" w:rsidRDefault="00436146" w:rsidP="001B215D">
            <w:pPr>
              <w:spacing w:line="276" w:lineRule="auto"/>
            </w:pPr>
            <w:r w:rsidRPr="00516FD7">
              <w:rPr>
                <w:rFonts w:ascii="Arial" w:eastAsia="Times New Roman" w:hAnsi="Arial"/>
                <w:sz w:val="15"/>
                <w:szCs w:val="20"/>
              </w:rPr>
              <w:t>0.58</w:t>
            </w:r>
          </w:p>
        </w:tc>
        <w:tc>
          <w:tcPr>
            <w:tcW w:w="1039" w:type="dxa"/>
          </w:tcPr>
          <w:p w14:paraId="43BC415B" w14:textId="1B0E55FC"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WgAUnMxv","properties":{"formattedCitation":"(E39)","plainCitation":"(E39)"},"citationItems":[{"id":916,"uris":["http://zotero.org/users/1988472/items/95IXT57S"],"uri":["http://zotero.org/users/1988472/items/95IXT57S"],"itemData":{"id":916,"type":"article-journal","title":"Improved efficiency in detecting cellular immunity towards M. tuberculosis in patients receiving immunosuppressive drug therapy","container-title":"Nephrology Dialysis Transplantation","page":"3258–3268","volume":"21","issue":"11","author":[{"family":"Sester","given":"Urban"},{"family":"Junker","given":"Heike"},{"family":"Hodapp","given":"Tobias"},{"family":"Schütz","given":"Alexandra"},{"family":"Thiele","given":"Bernhard"},{"family":"Meyerhans","given":"Andreas"},{"family":"Köhler","given":"Hans"},{"family":"Sester","given":"Martina"}],"issued":{"date-parts":[["2006"]]}}}],"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(E39)</w:t>
            </w:r>
            <w:r>
              <w:rPr>
                <w:rFonts w:ascii="Arial" w:eastAsia="Times New Roman" w:hAnsi="Arial"/>
                <w:sz w:val="15"/>
                <w:szCs w:val="20"/>
              </w:rPr>
              <w:fldChar w:fldCharType="end"/>
            </w:r>
          </w:p>
        </w:tc>
        <w:tc>
          <w:tcPr>
            <w:tcW w:w="1039" w:type="dxa"/>
            <w:vAlign w:val="bottom"/>
          </w:tcPr>
          <w:p w14:paraId="28240E23" w14:textId="77777777" w:rsidR="00436146" w:rsidRDefault="00436146" w:rsidP="001B215D">
            <w:pPr>
              <w:spacing w:line="276" w:lineRule="auto"/>
            </w:pPr>
            <w:r w:rsidRPr="00516FD7">
              <w:rPr>
                <w:rFonts w:ascii="Arial" w:eastAsia="Times New Roman" w:hAnsi="Arial"/>
                <w:sz w:val="15"/>
                <w:szCs w:val="20"/>
              </w:rPr>
              <w:t>0.69</w:t>
            </w:r>
          </w:p>
        </w:tc>
        <w:tc>
          <w:tcPr>
            <w:tcW w:w="1039" w:type="dxa"/>
            <w:vAlign w:val="bottom"/>
          </w:tcPr>
          <w:p w14:paraId="0A3F1289" w14:textId="77777777" w:rsidR="00436146" w:rsidRDefault="00436146" w:rsidP="001B215D">
            <w:pPr>
              <w:spacing w:line="276" w:lineRule="auto"/>
            </w:pPr>
            <w:r w:rsidRPr="00516FD7">
              <w:rPr>
                <w:rFonts w:ascii="Arial" w:eastAsia="Times New Roman" w:hAnsi="Arial"/>
                <w:bCs/>
                <w:iCs/>
                <w:sz w:val="15"/>
                <w:szCs w:val="20"/>
              </w:rPr>
              <w:t>0.62</w:t>
            </w:r>
          </w:p>
        </w:tc>
        <w:tc>
          <w:tcPr>
            <w:tcW w:w="1039" w:type="dxa"/>
            <w:vAlign w:val="bottom"/>
          </w:tcPr>
          <w:p w14:paraId="30B6BFA0" w14:textId="77777777" w:rsidR="00436146" w:rsidRDefault="00436146" w:rsidP="001B215D">
            <w:pPr>
              <w:spacing w:line="276" w:lineRule="auto"/>
            </w:pPr>
            <w:r w:rsidRPr="00516FD7">
              <w:rPr>
                <w:rFonts w:ascii="Arial" w:eastAsia="Times New Roman" w:hAnsi="Arial"/>
                <w:bCs/>
                <w:iCs/>
                <w:sz w:val="15"/>
                <w:szCs w:val="20"/>
              </w:rPr>
              <w:t>0.76</w:t>
            </w:r>
          </w:p>
        </w:tc>
        <w:tc>
          <w:tcPr>
            <w:tcW w:w="1039" w:type="dxa"/>
            <w:vAlign w:val="center"/>
          </w:tcPr>
          <w:p w14:paraId="6DE23D41" w14:textId="0D931135" w:rsidR="00436146" w:rsidRDefault="00436146" w:rsidP="001B215D">
            <w:pPr>
              <w:spacing w:line="276" w:lineRule="auto"/>
            </w:pPr>
            <w:r>
              <w:rPr>
                <w:rFonts w:ascii="Arial" w:eastAsia="Times New Roman" w:hAnsi="Arial"/>
                <w:sz w:val="15"/>
                <w:szCs w:val="20"/>
              </w:rPr>
              <w:fldChar w:fldCharType="begin"/>
            </w:r>
            <w:r w:rsidR="00201160">
              <w:rPr>
                <w:rFonts w:ascii="Arial" w:eastAsia="Times New Roman" w:hAnsi="Arial"/>
                <w:sz w:val="15"/>
                <w:szCs w:val="20"/>
              </w:rPr>
              <w:instrText xml:space="preserve"> ADDIN ZOTERO_ITEM CSL_CITATION {"citationID":"cJ68se33","properties":{"formattedCitation":"(E39)","plainCitation":"(E39)"},"citationItems":[{"id":916,"uris":["http://zotero.org/users/1988472/items/95IXT57S"],"uri":["http://zotero.org/users/1988472/items/95IXT57S"],"itemData":{"id":916,"type":"article-journal","title":"Improved efficiency in detecting cellular immunity towards M. tuberculosis in patients receiving immunosuppressive drug therapy","container-title":"Nephrology Dialysis Transplantation","page":"3258–3268","volume":"21","issue":"11","author":[{"family":"Sester","given":"Urban"},{"family":"Junker","given":"Heike"},{"family":"Hodapp","given":"Tobias"},{"family":"Schütz","given":"Alexandra"},{"family":"Thiele","given":"Bernhard"},{"family":"Meyerhans","given":"Andreas"},{"family":"Köhler","given":"Hans"},{"family":"Sester","given":"Martina"}],"issued":{"date-parts":[["2006"]]}}}],"schema":"https://github.com/citation-style-language/schema/raw/master/csl-citation.json"} </w:instrText>
            </w:r>
            <w:r>
              <w:rPr>
                <w:rFonts w:ascii="Arial" w:eastAsia="Times New Roman" w:hAnsi="Arial"/>
                <w:sz w:val="15"/>
                <w:szCs w:val="20"/>
              </w:rPr>
              <w:fldChar w:fldCharType="separate"/>
            </w:r>
            <w:r w:rsidR="00201160">
              <w:rPr>
                <w:rFonts w:ascii="Arial" w:eastAsia="Times New Roman" w:hAnsi="Arial"/>
                <w:noProof/>
                <w:sz w:val="15"/>
                <w:szCs w:val="20"/>
              </w:rPr>
              <w:t>(E39)</w:t>
            </w:r>
            <w:r>
              <w:rPr>
                <w:rFonts w:ascii="Arial" w:eastAsia="Times New Roman" w:hAnsi="Arial"/>
                <w:sz w:val="15"/>
                <w:szCs w:val="20"/>
              </w:rPr>
              <w:fldChar w:fldCharType="end"/>
            </w:r>
          </w:p>
        </w:tc>
      </w:tr>
      <w:tr w:rsidR="00436146" w14:paraId="69FAF1A6" w14:textId="77777777" w:rsidTr="001B215D">
        <w:tc>
          <w:tcPr>
            <w:tcW w:w="1038" w:type="dxa"/>
            <w:vAlign w:val="bottom"/>
          </w:tcPr>
          <w:p w14:paraId="2369CEC6" w14:textId="77777777" w:rsidR="00436146" w:rsidRPr="00B60548" w:rsidRDefault="00436146" w:rsidP="001B215D">
            <w:pPr>
              <w:spacing w:line="276" w:lineRule="auto"/>
              <w:rPr>
                <w:rFonts w:ascii="Arial" w:eastAsia="Times New Roman" w:hAnsi="Arial"/>
                <w:sz w:val="15"/>
                <w:szCs w:val="20"/>
              </w:rPr>
            </w:pPr>
            <w:r w:rsidRPr="00B60548">
              <w:rPr>
                <w:rFonts w:ascii="Arial" w:eastAsia="Times New Roman" w:hAnsi="Arial"/>
                <w:sz w:val="15"/>
                <w:szCs w:val="20"/>
              </w:rPr>
              <w:t>ESRD TSPOT</w:t>
            </w:r>
          </w:p>
        </w:tc>
        <w:tc>
          <w:tcPr>
            <w:tcW w:w="1039" w:type="dxa"/>
            <w:vAlign w:val="bottom"/>
          </w:tcPr>
          <w:p w14:paraId="2D2E5733" w14:textId="77777777" w:rsidR="00436146" w:rsidRDefault="00436146" w:rsidP="001B215D">
            <w:pPr>
              <w:spacing w:line="276" w:lineRule="auto"/>
            </w:pPr>
            <w:r w:rsidRPr="00516FD7">
              <w:rPr>
                <w:rFonts w:ascii="Arial" w:eastAsia="Times New Roman" w:hAnsi="Arial"/>
                <w:sz w:val="15"/>
                <w:szCs w:val="20"/>
              </w:rPr>
              <w:t>0.53</w:t>
            </w:r>
          </w:p>
        </w:tc>
        <w:tc>
          <w:tcPr>
            <w:tcW w:w="1039" w:type="dxa"/>
            <w:vAlign w:val="bottom"/>
          </w:tcPr>
          <w:p w14:paraId="65D40E20" w14:textId="77777777" w:rsidR="00436146" w:rsidRDefault="00436146" w:rsidP="001B215D">
            <w:pPr>
              <w:spacing w:line="276" w:lineRule="auto"/>
            </w:pPr>
            <w:r w:rsidRPr="00516FD7">
              <w:rPr>
                <w:rFonts w:ascii="Arial" w:eastAsia="Times New Roman" w:hAnsi="Arial"/>
                <w:sz w:val="15"/>
                <w:szCs w:val="20"/>
              </w:rPr>
              <w:t>0.48</w:t>
            </w:r>
          </w:p>
        </w:tc>
        <w:tc>
          <w:tcPr>
            <w:tcW w:w="1039" w:type="dxa"/>
            <w:vAlign w:val="bottom"/>
          </w:tcPr>
          <w:p w14:paraId="132ED039" w14:textId="77777777" w:rsidR="00436146" w:rsidRDefault="00436146" w:rsidP="001B215D">
            <w:pPr>
              <w:spacing w:line="276" w:lineRule="auto"/>
            </w:pPr>
            <w:r w:rsidRPr="00516FD7">
              <w:rPr>
                <w:rFonts w:ascii="Arial" w:eastAsia="Times New Roman" w:hAnsi="Arial"/>
                <w:sz w:val="15"/>
                <w:szCs w:val="20"/>
              </w:rPr>
              <w:t>0.58</w:t>
            </w:r>
          </w:p>
        </w:tc>
        <w:tc>
          <w:tcPr>
            <w:tcW w:w="1039" w:type="dxa"/>
          </w:tcPr>
          <w:p w14:paraId="05F6D215" w14:textId="77777777" w:rsidR="00436146" w:rsidRDefault="00436146" w:rsidP="001B215D">
            <w:pPr>
              <w:spacing w:line="276" w:lineRule="auto"/>
            </w:pPr>
            <w:r>
              <w:rPr>
                <w:rFonts w:ascii="Arial" w:eastAsia="Times New Roman" w:hAnsi="Arial"/>
                <w:sz w:val="15"/>
                <w:szCs w:val="20"/>
              </w:rPr>
              <w:t>Assumed</w:t>
            </w:r>
          </w:p>
        </w:tc>
        <w:tc>
          <w:tcPr>
            <w:tcW w:w="1039" w:type="dxa"/>
            <w:vAlign w:val="bottom"/>
          </w:tcPr>
          <w:p w14:paraId="68E62C05" w14:textId="77777777" w:rsidR="00436146" w:rsidRDefault="00436146" w:rsidP="001B215D">
            <w:pPr>
              <w:spacing w:line="276" w:lineRule="auto"/>
            </w:pPr>
            <w:r w:rsidRPr="00516FD7">
              <w:rPr>
                <w:rFonts w:ascii="Arial" w:eastAsia="Times New Roman" w:hAnsi="Arial"/>
                <w:sz w:val="15"/>
                <w:szCs w:val="20"/>
              </w:rPr>
              <w:t>0.69</w:t>
            </w:r>
          </w:p>
        </w:tc>
        <w:tc>
          <w:tcPr>
            <w:tcW w:w="1039" w:type="dxa"/>
            <w:vAlign w:val="bottom"/>
          </w:tcPr>
          <w:p w14:paraId="6133A517" w14:textId="77777777" w:rsidR="00436146" w:rsidRDefault="00436146" w:rsidP="001B215D">
            <w:pPr>
              <w:spacing w:line="276" w:lineRule="auto"/>
            </w:pPr>
            <w:r w:rsidRPr="00516FD7">
              <w:rPr>
                <w:rFonts w:ascii="Arial" w:eastAsia="Times New Roman" w:hAnsi="Arial"/>
                <w:bCs/>
                <w:iCs/>
                <w:sz w:val="15"/>
                <w:szCs w:val="20"/>
              </w:rPr>
              <w:t>0.62</w:t>
            </w:r>
          </w:p>
        </w:tc>
        <w:tc>
          <w:tcPr>
            <w:tcW w:w="1039" w:type="dxa"/>
            <w:vAlign w:val="bottom"/>
          </w:tcPr>
          <w:p w14:paraId="15514511" w14:textId="77777777" w:rsidR="00436146" w:rsidRDefault="00436146" w:rsidP="001B215D">
            <w:pPr>
              <w:spacing w:line="276" w:lineRule="auto"/>
            </w:pPr>
            <w:r w:rsidRPr="00516FD7">
              <w:rPr>
                <w:rFonts w:ascii="Arial" w:eastAsia="Times New Roman" w:hAnsi="Arial"/>
                <w:bCs/>
                <w:iCs/>
                <w:sz w:val="15"/>
                <w:szCs w:val="20"/>
              </w:rPr>
              <w:t>0.76</w:t>
            </w:r>
          </w:p>
        </w:tc>
        <w:tc>
          <w:tcPr>
            <w:tcW w:w="1039" w:type="dxa"/>
            <w:vAlign w:val="center"/>
          </w:tcPr>
          <w:p w14:paraId="69D34B41" w14:textId="77777777" w:rsidR="00436146" w:rsidRDefault="00436146" w:rsidP="001B215D">
            <w:pPr>
              <w:spacing w:line="276" w:lineRule="auto"/>
            </w:pPr>
            <w:r>
              <w:rPr>
                <w:rFonts w:ascii="Arial" w:eastAsia="Times New Roman" w:hAnsi="Arial"/>
                <w:sz w:val="15"/>
                <w:szCs w:val="20"/>
              </w:rPr>
              <w:t>Assumed</w:t>
            </w:r>
          </w:p>
        </w:tc>
      </w:tr>
    </w:tbl>
    <w:p w14:paraId="5B1562DE" w14:textId="77777777" w:rsidR="00436146" w:rsidRDefault="00436146" w:rsidP="00436146">
      <w:pPr>
        <w:rPr>
          <w:rFonts w:ascii="Arial" w:hAnsi="Arial"/>
          <w:b/>
        </w:rPr>
      </w:pPr>
    </w:p>
    <w:p w14:paraId="5E7EB843" w14:textId="77777777" w:rsidR="00436146" w:rsidRDefault="00436146" w:rsidP="00436146">
      <w:pPr>
        <w:spacing w:line="240" w:lineRule="auto"/>
        <w:rPr>
          <w:rFonts w:ascii="Arial" w:hAnsi="Arial"/>
          <w:b/>
        </w:rPr>
      </w:pPr>
      <w:r>
        <w:rPr>
          <w:rFonts w:ascii="Arial" w:hAnsi="Arial"/>
          <w:b/>
        </w:rPr>
        <w:br w:type="page"/>
      </w:r>
    </w:p>
    <w:p w14:paraId="3E6FC578" w14:textId="0BCBA1DF" w:rsidR="00436146" w:rsidRDefault="009E145E" w:rsidP="00436146">
      <w:pPr>
        <w:rPr>
          <w:rFonts w:ascii="Arial" w:hAnsi="Arial"/>
        </w:rPr>
      </w:pPr>
      <w:r>
        <w:rPr>
          <w:rFonts w:ascii="Arial" w:hAnsi="Arial"/>
          <w:b/>
        </w:rPr>
        <w:lastRenderedPageBreak/>
        <w:t>S</w:t>
      </w:r>
      <w:r w:rsidR="00436146">
        <w:rPr>
          <w:rFonts w:ascii="Arial" w:hAnsi="Arial"/>
          <w:b/>
        </w:rPr>
        <w:t>4</w:t>
      </w:r>
      <w:r>
        <w:rPr>
          <w:rFonts w:ascii="Arial" w:hAnsi="Arial"/>
          <w:b/>
        </w:rPr>
        <w:t xml:space="preserve"> Table.</w:t>
      </w:r>
      <w:r w:rsidR="00436146">
        <w:rPr>
          <w:rFonts w:ascii="Arial" w:hAnsi="Arial"/>
        </w:rPr>
        <w:t xml:space="preserve"> Relative risk (RR)</w:t>
      </w:r>
      <w:r w:rsidR="00436146" w:rsidRPr="001E40F5">
        <w:rPr>
          <w:rFonts w:ascii="Arial" w:hAnsi="Arial"/>
        </w:rPr>
        <w:t xml:space="preserve"> for progression</w:t>
      </w:r>
      <w:r w:rsidR="00436146">
        <w:rPr>
          <w:rFonts w:ascii="Arial" w:hAnsi="Arial"/>
        </w:rPr>
        <w:t xml:space="preserve"> to active disease</w:t>
      </w:r>
      <w:r w:rsidR="00436146" w:rsidRPr="001E40F5">
        <w:rPr>
          <w:rFonts w:ascii="Arial" w:hAnsi="Arial"/>
        </w:rPr>
        <w:t xml:space="preserve">, prevalence, </w:t>
      </w:r>
      <w:r w:rsidR="00436146">
        <w:rPr>
          <w:rFonts w:ascii="Arial" w:hAnsi="Arial"/>
        </w:rPr>
        <w:t xml:space="preserve">2014 cases in individuals with those risk factors, </w:t>
      </w:r>
      <w:r w:rsidR="00436146" w:rsidRPr="001E40F5">
        <w:rPr>
          <w:rFonts w:ascii="Arial" w:hAnsi="Arial"/>
        </w:rPr>
        <w:t xml:space="preserve">and life expectancies </w:t>
      </w:r>
      <w:r w:rsidR="00436146">
        <w:rPr>
          <w:rFonts w:ascii="Arial" w:hAnsi="Arial"/>
        </w:rPr>
        <w:t>for medical risk factors</w:t>
      </w:r>
    </w:p>
    <w:tbl>
      <w:tblPr>
        <w:tblStyle w:val="TableGrid"/>
        <w:tblW w:w="0" w:type="auto"/>
        <w:tblLayout w:type="fixed"/>
        <w:tblLook w:val="04A0" w:firstRow="1" w:lastRow="0" w:firstColumn="1" w:lastColumn="0" w:noHBand="0" w:noVBand="1"/>
      </w:tblPr>
      <w:tblGrid>
        <w:gridCol w:w="959"/>
        <w:gridCol w:w="1151"/>
        <w:gridCol w:w="1008"/>
        <w:gridCol w:w="663"/>
        <w:gridCol w:w="1259"/>
        <w:gridCol w:w="1255"/>
        <w:gridCol w:w="1030"/>
        <w:gridCol w:w="1083"/>
        <w:gridCol w:w="942"/>
      </w:tblGrid>
      <w:tr w:rsidR="00436146" w:rsidRPr="0059473E" w14:paraId="22464078" w14:textId="77777777" w:rsidTr="001B215D">
        <w:trPr>
          <w:trHeight w:val="1016"/>
        </w:trPr>
        <w:tc>
          <w:tcPr>
            <w:tcW w:w="959" w:type="dxa"/>
            <w:vAlign w:val="center"/>
          </w:tcPr>
          <w:p w14:paraId="60F77258" w14:textId="77777777" w:rsidR="00436146" w:rsidRPr="0059473E" w:rsidRDefault="00436146" w:rsidP="001B215D">
            <w:pPr>
              <w:spacing w:line="240" w:lineRule="auto"/>
              <w:rPr>
                <w:rFonts w:ascii="Arial" w:hAnsi="Arial"/>
                <w:sz w:val="15"/>
              </w:rPr>
            </w:pPr>
            <w:r w:rsidRPr="0059473E">
              <w:rPr>
                <w:rFonts w:ascii="Arial" w:eastAsia="Times New Roman" w:hAnsi="Arial"/>
                <w:b/>
                <w:sz w:val="15"/>
                <w:szCs w:val="16"/>
              </w:rPr>
              <w:t>Risk group</w:t>
            </w:r>
          </w:p>
        </w:tc>
        <w:tc>
          <w:tcPr>
            <w:tcW w:w="1151" w:type="dxa"/>
            <w:vAlign w:val="center"/>
          </w:tcPr>
          <w:p w14:paraId="0FEA8D70" w14:textId="77777777" w:rsidR="00436146" w:rsidRPr="0059473E" w:rsidRDefault="00436146" w:rsidP="001B215D">
            <w:pPr>
              <w:spacing w:line="240" w:lineRule="auto"/>
              <w:rPr>
                <w:rFonts w:ascii="Arial" w:hAnsi="Arial"/>
                <w:sz w:val="15"/>
              </w:rPr>
            </w:pPr>
            <w:r w:rsidRPr="0059473E">
              <w:rPr>
                <w:rFonts w:ascii="Arial" w:eastAsia="Times New Roman" w:hAnsi="Arial"/>
                <w:b/>
                <w:sz w:val="15"/>
                <w:szCs w:val="16"/>
              </w:rPr>
              <w:t>Stratified by</w:t>
            </w:r>
          </w:p>
        </w:tc>
        <w:tc>
          <w:tcPr>
            <w:tcW w:w="1008" w:type="dxa"/>
            <w:vAlign w:val="center"/>
          </w:tcPr>
          <w:p w14:paraId="3440B1A5"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Modeled prevalence (%), 2014</w:t>
            </w:r>
          </w:p>
        </w:tc>
        <w:tc>
          <w:tcPr>
            <w:tcW w:w="663" w:type="dxa"/>
            <w:vAlign w:val="center"/>
          </w:tcPr>
          <w:p w14:paraId="30EBC402"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Cases in 2014 (%)</w:t>
            </w:r>
          </w:p>
        </w:tc>
        <w:tc>
          <w:tcPr>
            <w:tcW w:w="1259" w:type="dxa"/>
            <w:vAlign w:val="center"/>
          </w:tcPr>
          <w:p w14:paraId="5FCB5BFD"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Reference for stratified prevalence estimate</w:t>
            </w:r>
          </w:p>
        </w:tc>
        <w:tc>
          <w:tcPr>
            <w:tcW w:w="1255" w:type="dxa"/>
            <w:vAlign w:val="center"/>
          </w:tcPr>
          <w:p w14:paraId="1794DBE5"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Calibrated trends 2001-2011 using</w:t>
            </w:r>
          </w:p>
        </w:tc>
        <w:tc>
          <w:tcPr>
            <w:tcW w:w="1030" w:type="dxa"/>
            <w:vAlign w:val="center"/>
          </w:tcPr>
          <w:p w14:paraId="44C491A5"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RR progression (pre- calibration)</w:t>
            </w:r>
          </w:p>
        </w:tc>
        <w:tc>
          <w:tcPr>
            <w:tcW w:w="1083" w:type="dxa"/>
            <w:vAlign w:val="center"/>
          </w:tcPr>
          <w:p w14:paraId="44143C49"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RR progression (post-calibration)</w:t>
            </w:r>
          </w:p>
        </w:tc>
        <w:tc>
          <w:tcPr>
            <w:tcW w:w="942" w:type="dxa"/>
            <w:vAlign w:val="center"/>
          </w:tcPr>
          <w:p w14:paraId="57599216"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b/>
                <w:sz w:val="15"/>
                <w:szCs w:val="16"/>
              </w:rPr>
              <w:t>Reference for RR</w:t>
            </w:r>
          </w:p>
        </w:tc>
      </w:tr>
      <w:tr w:rsidR="00436146" w:rsidRPr="0059473E" w14:paraId="55D42096" w14:textId="77777777" w:rsidTr="001B215D">
        <w:trPr>
          <w:trHeight w:val="720"/>
        </w:trPr>
        <w:tc>
          <w:tcPr>
            <w:tcW w:w="959" w:type="dxa"/>
            <w:vAlign w:val="center"/>
          </w:tcPr>
          <w:p w14:paraId="7C23F356"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Diabetes</w:t>
            </w:r>
          </w:p>
        </w:tc>
        <w:tc>
          <w:tcPr>
            <w:tcW w:w="1151" w:type="dxa"/>
            <w:vAlign w:val="center"/>
          </w:tcPr>
          <w:p w14:paraId="0A3B2FD8"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Age, sex, race/ethnicity, nativity</w:t>
            </w:r>
          </w:p>
        </w:tc>
        <w:tc>
          <w:tcPr>
            <w:tcW w:w="1008" w:type="dxa"/>
            <w:vAlign w:val="center"/>
          </w:tcPr>
          <w:p w14:paraId="1BA71FDA"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8.9</w:t>
            </w:r>
          </w:p>
        </w:tc>
        <w:tc>
          <w:tcPr>
            <w:tcW w:w="663" w:type="dxa"/>
            <w:vAlign w:val="center"/>
          </w:tcPr>
          <w:p w14:paraId="757DB261"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25</w:t>
            </w:r>
          </w:p>
        </w:tc>
        <w:tc>
          <w:tcPr>
            <w:tcW w:w="1259" w:type="dxa"/>
            <w:vAlign w:val="center"/>
          </w:tcPr>
          <w:p w14:paraId="72311850" w14:textId="2A2316EA"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NNVXQ4dH","properties":{"formattedCitation":"(E40)","plainCitation":"(E40)"},"citationItems":[{"id":1927,"uris":["http://zotero.org/users/1988472/items/VTRW6IZT"],"uri":["http://zotero.org/users/1988472/items/VTRW6IZT"],"itemData":{"id":1927,"type":"book","title":"CHIS 2001, 2003, 2007, 2011, 2014 Adult Public Use File. [computer file].","publisher":"UCLA Center for Health Policy Research","publisher-place":"Los Angeles, CA","event-place":"Los Angeles, CA","author":[{"family":"California Health Interveiw Survey","given":""}],"issued":{"date-parts":[["2015",6]]}}}],"schema":"https://github.com/citation-style-language/schema/raw/master/csl-citation.json"}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(E40)</w:t>
            </w:r>
            <w:r w:rsidRPr="0059473E">
              <w:rPr>
                <w:rFonts w:ascii="Arial" w:eastAsia="Times New Roman" w:hAnsi="Arial"/>
                <w:sz w:val="15"/>
                <w:szCs w:val="16"/>
              </w:rPr>
              <w:fldChar w:fldCharType="end"/>
            </w:r>
          </w:p>
        </w:tc>
        <w:tc>
          <w:tcPr>
            <w:tcW w:w="1255" w:type="dxa"/>
            <w:vAlign w:val="center"/>
          </w:tcPr>
          <w:p w14:paraId="607EB69D" w14:textId="36F93BA1" w:rsidR="00436146" w:rsidRPr="0059473E" w:rsidRDefault="00436146" w:rsidP="001B215D">
            <w:pPr>
              <w:spacing w:line="240" w:lineRule="auto"/>
              <w:jc w:val="center"/>
              <w:rPr>
                <w:rFonts w:ascii="Arial" w:hAnsi="Arial"/>
                <w:sz w:val="15"/>
              </w:rPr>
            </w:pPr>
            <w:r w:rsidRPr="0059473E">
              <w:rPr>
                <w:rFonts w:ascii="Arial" w:hAnsi="Arial"/>
                <w:sz w:val="15"/>
                <w:szCs w:val="16"/>
              </w:rPr>
              <w:fldChar w:fldCharType="begin"/>
            </w:r>
            <w:r w:rsidR="00201160">
              <w:rPr>
                <w:rFonts w:ascii="Arial" w:hAnsi="Arial"/>
                <w:sz w:val="15"/>
                <w:szCs w:val="16"/>
              </w:rPr>
              <w:instrText xml:space="preserve"> ADDIN ZOTERO_ITEM CSL_CITATION {"citationID":"AdZBUgww","properties":{"formattedCitation":"(E41)","plainCitation":"(E41)"},"citationItems":[{"id":876,"uris":["http://zotero.org/users/1988472/items/8AK2FJCW"],"uri":["http://zotero.org/users/1988472/items/8AK2FJCW"],"itemData":{"id":876,"type":"report","title":"Behavioral Risk Factor Surveillance System Survey Data","publisher":"Department of Health and Human Services","publisher-place":"Atlanta, GA","event-place":"Atlanta, GA","URL":"https://www.cdc.gov/brfss/","author":[{"family":"Centers for Disease Control and Prevention","given":""}],"issued":{"date-parts":[["2001"]],"season":"2014"},"accessed":{"date-parts":[["2016",3,2]]}}}],"schema":"https://github.com/citation-style-language/schema/raw/master/csl-citation.json"} </w:instrText>
            </w:r>
            <w:r w:rsidRPr="0059473E">
              <w:rPr>
                <w:rFonts w:ascii="Arial" w:hAnsi="Arial"/>
                <w:sz w:val="15"/>
                <w:szCs w:val="16"/>
              </w:rPr>
              <w:fldChar w:fldCharType="separate"/>
            </w:r>
            <w:r w:rsidR="00201160">
              <w:rPr>
                <w:rFonts w:ascii="Arial" w:hAnsi="Arial"/>
                <w:noProof/>
                <w:sz w:val="15"/>
                <w:szCs w:val="16"/>
              </w:rPr>
              <w:t>(E41)</w:t>
            </w:r>
            <w:r w:rsidRPr="0059473E">
              <w:rPr>
                <w:rFonts w:ascii="Arial" w:hAnsi="Arial"/>
                <w:sz w:val="15"/>
                <w:szCs w:val="16"/>
              </w:rPr>
              <w:fldChar w:fldCharType="end"/>
            </w:r>
          </w:p>
        </w:tc>
        <w:tc>
          <w:tcPr>
            <w:tcW w:w="1030" w:type="dxa"/>
            <w:vAlign w:val="center"/>
          </w:tcPr>
          <w:p w14:paraId="7830811E" w14:textId="77777777" w:rsidR="00436146" w:rsidRDefault="00436146" w:rsidP="001B215D">
            <w:pPr>
              <w:spacing w:line="240" w:lineRule="auto"/>
              <w:jc w:val="center"/>
              <w:rPr>
                <w:rFonts w:ascii="Arial" w:eastAsia="Times New Roman" w:hAnsi="Arial"/>
                <w:sz w:val="15"/>
                <w:szCs w:val="16"/>
              </w:rPr>
            </w:pPr>
            <w:r w:rsidRPr="0059473E">
              <w:rPr>
                <w:rFonts w:ascii="Arial" w:eastAsia="Times New Roman" w:hAnsi="Arial"/>
                <w:sz w:val="15"/>
                <w:szCs w:val="16"/>
              </w:rPr>
              <w:t xml:space="preserve">1.6 </w:t>
            </w:r>
          </w:p>
          <w:p w14:paraId="77D6652A"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(1.3-3.60)</w:t>
            </w:r>
          </w:p>
        </w:tc>
        <w:tc>
          <w:tcPr>
            <w:tcW w:w="1083" w:type="dxa"/>
            <w:vAlign w:val="center"/>
          </w:tcPr>
          <w:p w14:paraId="76F3F377"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1.6</w:t>
            </w:r>
          </w:p>
        </w:tc>
        <w:tc>
          <w:tcPr>
            <w:tcW w:w="942" w:type="dxa"/>
            <w:vAlign w:val="center"/>
          </w:tcPr>
          <w:p w14:paraId="07D01C23" w14:textId="1BD7FFA0"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ge3bvqan9","properties":{"formattedCitation":"(E42)","plainCitation":"(E42)"},"citationItems":[{"id":723,"uris":["http://zotero.org/users/1988472/items/5C4TVS22"],"uri":["http://zotero.org/users/1988472/items/5C4TVS22"],"itemData":{"id":723,"type":"article-journal","title":"Risk of tuberculosis among people with diabetes mellitus: an Australian nationwide cohort study","container-title":"BMJ open","page":"e000666","volume":"2","issue":"1","author":[{"family":"Dobler","given":"Claudia Caroline"},{"family":"Flack","given":"Jeffrey Ronald"},{"family":"Marks","given":"Guy Barrington"}],"issued":{"date-parts":[["2012"]]}}}],"schema":"https://github.com/citation-style-language/schema/raw/master/csl-citation.json"}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(E42)</w:t>
            </w:r>
            <w:r w:rsidRPr="0059473E">
              <w:rPr>
                <w:rFonts w:ascii="Arial" w:eastAsia="Times New Roman" w:hAnsi="Arial"/>
                <w:sz w:val="15"/>
                <w:szCs w:val="16"/>
              </w:rPr>
              <w:fldChar w:fldCharType="end"/>
            </w:r>
          </w:p>
        </w:tc>
      </w:tr>
      <w:tr w:rsidR="00436146" w:rsidRPr="0059473E" w14:paraId="0341ED97" w14:textId="77777777" w:rsidTr="001B215D">
        <w:trPr>
          <w:trHeight w:val="720"/>
        </w:trPr>
        <w:tc>
          <w:tcPr>
            <w:tcW w:w="959" w:type="dxa"/>
            <w:vAlign w:val="center"/>
          </w:tcPr>
          <w:p w14:paraId="45F30B56"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Smoking</w:t>
            </w:r>
          </w:p>
        </w:tc>
        <w:tc>
          <w:tcPr>
            <w:tcW w:w="1151" w:type="dxa"/>
            <w:vAlign w:val="center"/>
          </w:tcPr>
          <w:p w14:paraId="1806AADA"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Age, sex, race/ethnicity, nativity</w:t>
            </w:r>
          </w:p>
        </w:tc>
        <w:tc>
          <w:tcPr>
            <w:tcW w:w="1008" w:type="dxa"/>
            <w:vAlign w:val="center"/>
          </w:tcPr>
          <w:p w14:paraId="52D5210B"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12.7</w:t>
            </w:r>
          </w:p>
        </w:tc>
        <w:tc>
          <w:tcPr>
            <w:tcW w:w="663" w:type="dxa"/>
            <w:vAlign w:val="center"/>
          </w:tcPr>
          <w:p w14:paraId="55619782"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13</w:t>
            </w:r>
          </w:p>
        </w:tc>
        <w:tc>
          <w:tcPr>
            <w:tcW w:w="1259" w:type="dxa"/>
            <w:vAlign w:val="center"/>
          </w:tcPr>
          <w:p w14:paraId="1BFE4160" w14:textId="062AEC6E"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mSNHQh0i","properties":{"formattedCitation":"(E40)","plainCitation":"(E40)"},"citationItems":[{"id":1927,"uris":["http://zotero.org/users/1988472/items/VTRW6IZT"],"uri":["http://zotero.org/users/1988472/items/VTRW6IZT"],"itemData":{"id":1927,"type":"book","title":"CHIS 2001, 2003, 2007, 2011, 2014 Adult Public Use File. [computer file].","publisher":"UCLA Center for Health Policy Research","publisher-place":"Los Angeles, CA","event-place":"Los Angeles, CA","author":[{"family":"California Health Interveiw Survey","given":""}],"issued":{"date-parts":[["2015",6]]}}}],"schema":"https://github.com/citation-style-language/schema/raw/master/csl-citation.json"}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(E40)</w:t>
            </w:r>
            <w:r w:rsidRPr="0059473E">
              <w:rPr>
                <w:rFonts w:ascii="Arial" w:eastAsia="Times New Roman" w:hAnsi="Arial"/>
                <w:sz w:val="15"/>
                <w:szCs w:val="16"/>
              </w:rPr>
              <w:fldChar w:fldCharType="end"/>
            </w:r>
          </w:p>
        </w:tc>
        <w:tc>
          <w:tcPr>
            <w:tcW w:w="1255" w:type="dxa"/>
            <w:vAlign w:val="center"/>
          </w:tcPr>
          <w:p w14:paraId="041ECFFA" w14:textId="2255DEF5" w:rsidR="00436146" w:rsidRPr="0059473E" w:rsidRDefault="00436146" w:rsidP="001B215D">
            <w:pPr>
              <w:spacing w:line="240" w:lineRule="auto"/>
              <w:jc w:val="center"/>
              <w:rPr>
                <w:rFonts w:ascii="Arial" w:hAnsi="Arial"/>
                <w:sz w:val="15"/>
              </w:rPr>
            </w:pPr>
            <w:r w:rsidRPr="0059473E">
              <w:rPr>
                <w:rFonts w:ascii="Arial" w:hAnsi="Arial"/>
                <w:sz w:val="15"/>
                <w:szCs w:val="16"/>
              </w:rPr>
              <w:fldChar w:fldCharType="begin"/>
            </w:r>
            <w:r w:rsidR="00201160">
              <w:rPr>
                <w:rFonts w:ascii="Arial" w:hAnsi="Arial"/>
                <w:sz w:val="15"/>
                <w:szCs w:val="16"/>
              </w:rPr>
              <w:instrText xml:space="preserve"> ADDIN ZOTERO_ITEM CSL_CITATION {"citationID":"6Dt57Yzl","properties":{"formattedCitation":"(E41)","plainCitation":"(E41)"},"citationItems":[{"id":876,"uris":["http://zotero.org/users/1988472/items/8AK2FJCW"],"uri":["http://zotero.org/users/1988472/items/8AK2FJCW"],"itemData":{"id":876,"type":"report","title":"Behavioral Risk Factor Surveillance System Survey Data","publisher":"Department of Health and Human Services","publisher-place":"Atlanta, GA","event-place":"Atlanta, GA","URL":"https://www.cdc.gov/brfss/","author":[{"family":"Centers for Disease Control and Prevention","given":""}],"issued":{"date-parts":[["2001"]],"season":"2014"},"accessed":{"date-parts":[["2016",3,2]]}}}],"schema":"https://github.com/citation-style-language/schema/raw/master/csl-citation.json"} </w:instrText>
            </w:r>
            <w:r w:rsidRPr="0059473E">
              <w:rPr>
                <w:rFonts w:ascii="Arial" w:hAnsi="Arial"/>
                <w:sz w:val="15"/>
                <w:szCs w:val="16"/>
              </w:rPr>
              <w:fldChar w:fldCharType="separate"/>
            </w:r>
            <w:r w:rsidR="00201160">
              <w:rPr>
                <w:rFonts w:ascii="Arial" w:hAnsi="Arial"/>
                <w:noProof/>
                <w:sz w:val="15"/>
                <w:szCs w:val="16"/>
              </w:rPr>
              <w:t>(E41)</w:t>
            </w:r>
            <w:r w:rsidRPr="0059473E">
              <w:rPr>
                <w:rFonts w:ascii="Arial" w:hAnsi="Arial"/>
                <w:sz w:val="15"/>
                <w:szCs w:val="16"/>
              </w:rPr>
              <w:fldChar w:fldCharType="end"/>
            </w:r>
          </w:p>
        </w:tc>
        <w:tc>
          <w:tcPr>
            <w:tcW w:w="1030" w:type="dxa"/>
            <w:vAlign w:val="center"/>
          </w:tcPr>
          <w:p w14:paraId="2D1D63F7" w14:textId="77777777" w:rsidR="00436146" w:rsidRDefault="00436146" w:rsidP="001B215D">
            <w:pPr>
              <w:spacing w:line="240" w:lineRule="auto"/>
              <w:jc w:val="center"/>
              <w:rPr>
                <w:rFonts w:ascii="Arial" w:eastAsia="Times New Roman" w:hAnsi="Arial"/>
                <w:sz w:val="15"/>
                <w:szCs w:val="16"/>
              </w:rPr>
            </w:pPr>
            <w:r w:rsidRPr="0059473E">
              <w:rPr>
                <w:rFonts w:ascii="Arial" w:eastAsia="Times New Roman" w:hAnsi="Arial"/>
                <w:sz w:val="15"/>
                <w:szCs w:val="16"/>
              </w:rPr>
              <w:t xml:space="preserve">2.5 </w:t>
            </w:r>
          </w:p>
          <w:p w14:paraId="5B90D2C5"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(1-4)</w:t>
            </w:r>
          </w:p>
        </w:tc>
        <w:tc>
          <w:tcPr>
            <w:tcW w:w="1083" w:type="dxa"/>
            <w:vAlign w:val="center"/>
          </w:tcPr>
          <w:p w14:paraId="5DF2B9D0"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2.5</w:t>
            </w:r>
          </w:p>
        </w:tc>
        <w:tc>
          <w:tcPr>
            <w:tcW w:w="942" w:type="dxa"/>
            <w:vAlign w:val="center"/>
          </w:tcPr>
          <w:p w14:paraId="43CF5021" w14:textId="1AD08676"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2gtcfbji7f","properties":{"formattedCitation":"(E43)","plainCitation":"(E43)"},"citationItems":[{"id":582,"uris":["http://zotero.org/users/1988472/items/28VQK5M7"],"uri":["http://zotero.org/users/1988472/items/28VQK5M7"],"itemData":{"id":582,"type":"article-journal","title":"Cigarette smoking and pulmonary tuberculosis in northern California","container-title":"Journal of epidemiology and community health","page":"568–573","volume":"69","issue":"6","author":[{"family":"Smith","given":"Geneé S"},{"family":"Van Den Eeden","given":"Stephen K"},{"family":"Baxter","given":"Roger"},{"family":"Shan","given":"Jun"},{"family":"Van Rie","given":"Annelies"},{"family":"Herring","given":"Amy H"},{"family":"Richardson","given":"David B"},{"family":"Emch","given":"Michael"},{"family":"Gammon","given":"Marilie D"}],"issued":{"date-parts":[["2015"]]}}}],"schema":"https://github.com/citation-style-language/schema/raw/master/csl-citation.json"}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(E43)</w:t>
            </w:r>
            <w:r w:rsidRPr="0059473E">
              <w:rPr>
                <w:rFonts w:ascii="Arial" w:eastAsia="Times New Roman" w:hAnsi="Arial"/>
                <w:sz w:val="15"/>
                <w:szCs w:val="16"/>
              </w:rPr>
              <w:fldChar w:fldCharType="end"/>
            </w:r>
          </w:p>
        </w:tc>
      </w:tr>
      <w:tr w:rsidR="00436146" w:rsidRPr="0059473E" w14:paraId="3F82311E" w14:textId="77777777" w:rsidTr="001B215D">
        <w:trPr>
          <w:trHeight w:val="720"/>
        </w:trPr>
        <w:tc>
          <w:tcPr>
            <w:tcW w:w="959" w:type="dxa"/>
            <w:vAlign w:val="center"/>
          </w:tcPr>
          <w:p w14:paraId="1344670A"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HIV</w:t>
            </w:r>
          </w:p>
        </w:tc>
        <w:tc>
          <w:tcPr>
            <w:tcW w:w="1151" w:type="dxa"/>
            <w:vAlign w:val="center"/>
          </w:tcPr>
          <w:p w14:paraId="4231B26B"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Age, sex, race/ethnicity</w:t>
            </w:r>
          </w:p>
        </w:tc>
        <w:tc>
          <w:tcPr>
            <w:tcW w:w="1008" w:type="dxa"/>
            <w:vAlign w:val="center"/>
          </w:tcPr>
          <w:p w14:paraId="07967DCE"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0.41</w:t>
            </w:r>
          </w:p>
        </w:tc>
        <w:tc>
          <w:tcPr>
            <w:tcW w:w="663" w:type="dxa"/>
            <w:vAlign w:val="center"/>
          </w:tcPr>
          <w:p w14:paraId="3364ED87"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4.2</w:t>
            </w:r>
          </w:p>
        </w:tc>
        <w:tc>
          <w:tcPr>
            <w:tcW w:w="1259" w:type="dxa"/>
            <w:vAlign w:val="center"/>
          </w:tcPr>
          <w:p w14:paraId="41F91588" w14:textId="77777777" w:rsidR="00436146" w:rsidRPr="0059473E" w:rsidRDefault="00436146" w:rsidP="001B215D">
            <w:pPr>
              <w:spacing w:line="240" w:lineRule="auto"/>
              <w:jc w:val="center"/>
              <w:rPr>
                <w:rFonts w:ascii="Arial" w:hAnsi="Arial"/>
                <w:sz w:val="15"/>
              </w:rPr>
            </w:pPr>
            <w:r>
              <w:rPr>
                <w:rFonts w:ascii="Arial" w:eastAsia="Times New Roman" w:hAnsi="Arial"/>
                <w:sz w:val="15"/>
                <w:szCs w:val="16"/>
              </w:rPr>
              <w:t xml:space="preserve">Unpublished data, CA Department </w:t>
            </w:r>
            <w:r w:rsidRPr="0059473E">
              <w:rPr>
                <w:rFonts w:ascii="Arial" w:eastAsia="Times New Roman" w:hAnsi="Arial"/>
                <w:sz w:val="15"/>
                <w:szCs w:val="16"/>
              </w:rPr>
              <w:t>of AIDS</w:t>
            </w:r>
          </w:p>
        </w:tc>
        <w:tc>
          <w:tcPr>
            <w:tcW w:w="1255" w:type="dxa"/>
            <w:vAlign w:val="center"/>
          </w:tcPr>
          <w:p w14:paraId="0BBBD2CF" w14:textId="7CBB7B40" w:rsidR="00436146" w:rsidRPr="0059473E" w:rsidRDefault="00436146" w:rsidP="001B215D">
            <w:pPr>
              <w:spacing w:line="240" w:lineRule="auto"/>
              <w:jc w:val="center"/>
              <w:rPr>
                <w:rFonts w:ascii="Arial" w:hAnsi="Arial"/>
                <w:sz w:val="15"/>
              </w:rPr>
            </w:pPr>
            <w:r w:rsidRPr="0059473E">
              <w:rPr>
                <w:rFonts w:ascii="Arial" w:hAnsi="Arial"/>
                <w:sz w:val="15"/>
                <w:szCs w:val="16"/>
              </w:rPr>
              <w:fldChar w:fldCharType="begin"/>
            </w:r>
            <w:r w:rsidR="00201160">
              <w:rPr>
                <w:rFonts w:ascii="Arial" w:hAnsi="Arial"/>
                <w:sz w:val="15"/>
                <w:szCs w:val="16"/>
              </w:rPr>
              <w:instrText xml:space="preserve"> ADDIN ZOTERO_ITEM CSL_CITATION {"citationID":"o6PsUEtk","properties":{"formattedCitation":"(E44)","plainCitation":"(E44)"},"citationItems":[{"id":1295,"uris":["http://zotero.org/users/1988472/items/HFWP96GN"],"uri":["http://zotero.org/users/1988472/items/HFWP96GN"],"itemData":{"id":1295,"type":"article-journal","title":"Prevalence of diagnosed and undiagnosed HIV infection-United States, 2008–2012","container-title":"MMWR Morbid Mortal Wkly Rep","page":"657–62","volume":"64","issue":"24","author":[{"family":"Hall","given":"H Irene"},{"family":"An","given":"Qian"},{"family":"Tang","given":"Tian"},{"family":"Song","given":"Ruiguang"},{"family":"Chen","given":"Mi"},{"family":"Green","given":"Timothy"},{"family":"Kang","given":"Jian"}],"issued":{"date-parts":[["2015"]]}}}],"schema":"https://github.com/citation-style-language/schema/raw/master/csl-citation.json"} </w:instrText>
            </w:r>
            <w:r w:rsidRPr="0059473E">
              <w:rPr>
                <w:rFonts w:ascii="Arial" w:hAnsi="Arial"/>
                <w:sz w:val="15"/>
                <w:szCs w:val="16"/>
              </w:rPr>
              <w:fldChar w:fldCharType="separate"/>
            </w:r>
            <w:r w:rsidR="00201160">
              <w:rPr>
                <w:rFonts w:ascii="Arial" w:hAnsi="Arial"/>
                <w:noProof/>
                <w:sz w:val="15"/>
                <w:szCs w:val="16"/>
              </w:rPr>
              <w:t>(E44)</w:t>
            </w:r>
            <w:r w:rsidRPr="0059473E">
              <w:rPr>
                <w:rFonts w:ascii="Arial" w:hAnsi="Arial"/>
                <w:sz w:val="15"/>
                <w:szCs w:val="16"/>
              </w:rPr>
              <w:fldChar w:fldCharType="end"/>
            </w:r>
          </w:p>
        </w:tc>
        <w:tc>
          <w:tcPr>
            <w:tcW w:w="1030" w:type="dxa"/>
            <w:vAlign w:val="center"/>
          </w:tcPr>
          <w:p w14:paraId="3F92FEDB" w14:textId="77777777" w:rsidR="00436146" w:rsidRDefault="00436146" w:rsidP="001B215D">
            <w:pPr>
              <w:spacing w:line="240" w:lineRule="auto"/>
              <w:jc w:val="center"/>
              <w:rPr>
                <w:rFonts w:ascii="Arial" w:eastAsia="Times New Roman" w:hAnsi="Arial"/>
                <w:sz w:val="15"/>
                <w:szCs w:val="16"/>
              </w:rPr>
            </w:pPr>
            <w:r w:rsidRPr="0059473E">
              <w:rPr>
                <w:rFonts w:ascii="Arial" w:eastAsia="Times New Roman" w:hAnsi="Arial"/>
                <w:sz w:val="15"/>
                <w:szCs w:val="16"/>
              </w:rPr>
              <w:t xml:space="preserve">12 </w:t>
            </w:r>
          </w:p>
          <w:p w14:paraId="0547DF1E"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(2.9-22)</w:t>
            </w:r>
          </w:p>
        </w:tc>
        <w:tc>
          <w:tcPr>
            <w:tcW w:w="1083" w:type="dxa"/>
            <w:vAlign w:val="center"/>
          </w:tcPr>
          <w:p w14:paraId="31474749"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5.4</w:t>
            </w:r>
          </w:p>
        </w:tc>
        <w:tc>
          <w:tcPr>
            <w:tcW w:w="942" w:type="dxa"/>
            <w:vAlign w:val="center"/>
          </w:tcPr>
          <w:p w14:paraId="168676A4" w14:textId="3E6CA4F2"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2b008ko1fc","properties":{"formattedCitation":"(E45)","plainCitation":"(E45)"},"citationItems":[{"id":1998,"uris":["http://zotero.org/users/1988472/items/XFTDMA4W"],"uri":["http://zotero.org/users/1988472/items/XFTDMA4W"],"itemData":{"id":1998,"type":"article-journal","title":"HIV and tuberculosis infection in San Francisco's homeless adults: prevalence and risk factors in a representative sample","container-title":"Jama","page":"455–461","volume":"272","issue":"6","author":[{"family":"Zolopa","given":"Andrew R"},{"family":"Hahn","given":"Judith A"},{"family":"Gorter","given":"Robert"},{"family":"Miranda","given":"Jeanne"},{"family":"Wlodarczyk","given":"Dan"},{"family":"Peterson","given":"Jacqueline"},{"family":"Pilote","given":"Louise"},{"family":"Moss","given":"Andrew R"}],"issued":{"date-parts":[["1994"]]}}}],"schema":"https://github.com/citation-style-language/schema/raw/master/csl-citation.json"}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(E45)</w:t>
            </w:r>
            <w:r w:rsidRPr="0059473E">
              <w:rPr>
                <w:rFonts w:ascii="Arial" w:eastAsia="Times New Roman" w:hAnsi="Arial"/>
                <w:sz w:val="15"/>
                <w:szCs w:val="16"/>
              </w:rPr>
              <w:fldChar w:fldCharType="end"/>
            </w:r>
          </w:p>
        </w:tc>
      </w:tr>
      <w:tr w:rsidR="00436146" w:rsidRPr="0059473E" w14:paraId="0F93BA68" w14:textId="77777777" w:rsidTr="001B215D">
        <w:trPr>
          <w:trHeight w:val="720"/>
        </w:trPr>
        <w:tc>
          <w:tcPr>
            <w:tcW w:w="959" w:type="dxa"/>
            <w:vAlign w:val="center"/>
          </w:tcPr>
          <w:p w14:paraId="00A326F1"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TNF-alpha</w:t>
            </w:r>
          </w:p>
        </w:tc>
        <w:tc>
          <w:tcPr>
            <w:tcW w:w="1151" w:type="dxa"/>
            <w:vAlign w:val="center"/>
          </w:tcPr>
          <w:p w14:paraId="0E199344"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Age, sex</w:t>
            </w:r>
          </w:p>
        </w:tc>
        <w:tc>
          <w:tcPr>
            <w:tcW w:w="1008" w:type="dxa"/>
            <w:vAlign w:val="center"/>
          </w:tcPr>
          <w:p w14:paraId="06335586" w14:textId="77777777" w:rsidR="00436146" w:rsidRPr="0059473E" w:rsidRDefault="00436146" w:rsidP="001B215D">
            <w:pPr>
              <w:spacing w:line="240" w:lineRule="auto"/>
              <w:jc w:val="center"/>
              <w:rPr>
                <w:rFonts w:ascii="Arial" w:hAnsi="Arial"/>
                <w:sz w:val="15"/>
              </w:rPr>
            </w:pPr>
            <w:r w:rsidRPr="007F648A">
              <w:rPr>
                <w:rFonts w:ascii="Arial" w:eastAsia="Times New Roman" w:hAnsi="Arial"/>
                <w:sz w:val="15"/>
                <w:szCs w:val="16"/>
              </w:rPr>
              <w:t>0.80</w:t>
            </w:r>
          </w:p>
        </w:tc>
        <w:tc>
          <w:tcPr>
            <w:tcW w:w="663" w:type="dxa"/>
            <w:vAlign w:val="center"/>
          </w:tcPr>
          <w:p w14:paraId="7A64AF09"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0.98</w:t>
            </w:r>
          </w:p>
        </w:tc>
        <w:tc>
          <w:tcPr>
            <w:tcW w:w="1259" w:type="dxa"/>
            <w:vAlign w:val="center"/>
          </w:tcPr>
          <w:p w14:paraId="039BDB0E" w14:textId="12A03D62" w:rsidR="00436146" w:rsidRPr="0059473E" w:rsidRDefault="00436146" w:rsidP="001B215D">
            <w:pPr>
              <w:spacing w:line="240" w:lineRule="auto"/>
              <w:jc w:val="center"/>
              <w:rPr>
                <w:rFonts w:ascii="Arial" w:hAnsi="Arial"/>
                <w:sz w:val="15"/>
              </w:rPr>
            </w:pPr>
            <w:r>
              <w:rPr>
                <w:rFonts w:ascii="Arial" w:eastAsia="Times New Roman" w:hAnsi="Arial"/>
                <w:sz w:val="15"/>
                <w:szCs w:val="16"/>
              </w:rPr>
              <w:t>Expert opinion,</w:t>
            </w:r>
            <w:r w:rsidRPr="0059473E">
              <w:rPr>
                <w:rFonts w:ascii="Arial" w:eastAsia="Times New Roman" w:hAnsi="Arial"/>
                <w:sz w:val="15"/>
                <w:szCs w:val="16"/>
              </w:rPr>
              <w:t xml:space="preserve"> Derived from  </w:t>
            </w: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{"citationID":"wic3YkM1","properties":{"formattedCitation":"{\\rtf (E46\\uc0\\u8211{}51)}","plainCitation":"(E46–51)"},"citationItems":[{"id":682,"uris":["http://zotero.org/users/1988472/items/4GPX5RPP"],"uri":["http://zotero.org/users/1988472/items/4GPX5RPP"],"itemData":{"id":682,"type":"article-journal","title":"The prevalence and geographic distribution of Crohn’s disease and ulcerative colitis in the United States","container-title":"Clinical Gastroenterology and Hepatology","page":"1424–1429","volume":"5","issue":"12","author":[{"family":"Kappelman","given":"Michael D"},{"family":"Rifas–Shiman","given":"Sheryl L"},{"family":"Kleinman","given":"Ken"},{"family":"Ollendorf","given":"Dan"},{"family":"Bousvaros","given":"Athos"},{"family":"Grand","given":"Richard J"},{"family":"Finkelstein","given":"Jonathan A"}],"issued":{"date-parts":[["2007"]]}}},{"id":1721,"uris":["http://zotero.org/users/1988472/items/RXJVCGVC"],"uri":["http://zotero.org/users/1988472/items/RXJVCGVC"],"itemData":{"id":1721,"type":"article-journal","title":"Direct health care costs of Crohn's disease and ulcerative colitis in US children and adults","container-title":"Gastroenterology","page":"1907–1913","volume":"135","issue":"6","author":[{"family":"Kappelman","given":"Michael D"},{"family":"Rifas–Shiman","given":"Sheryl L"},{"family":"Porter","given":"Carol Q"},{"family":"Ollendorf","given":"Daniel A"},{"family":"Sandler","given":"Robert S"},{"family":"Galanko","given":"Joseph A"},{"family":"Finkelstein","given":"Jonathan A"}],"issued":{"date-parts":[["2008"]]}}},{"id":1789,"uris":["http://zotero.org/users/1988472/items/T8NMEJ7T"],"uri":["http://zotero.org/users/1988472/items/T8NMEJ7T"],"itemData":{"id":1789,"type":"article-journal","title":"Healthcare utilization and comorbidity burden among children and young adults in the United States with systemic lupus erythematosus or inflammatory bowel disease","container-title":"The Journal of pediatrics","page":"662–670","volume":"161","issue":"4","author":[{"family":"Karve","given":"Sudeep"},{"family":"Candrilli","given":"Sean"},{"family":"Kappelman","given":"Michael D"},{"family":"Tolleson-Rinehart","given":"Sue"},{"family":"Tennis","given":"Patricia"},{"family":"Andrews","given":"Elizabeth"}],"issued":{"date-parts":[["2012"]]}}},{"id":1731,"uris":["http://zotero.org/users/1988472/items/S59GZ2QW"],"uri":["http://zotero.org/users/1988472/items/S59GZ2QW"],"itemData":{"id":1731,"type":"article-journal","title":"Trends in the use of biologic agents among rheumatoid arthritis patients enrolled in the US Medicare program","container-title":"Arthritis care &amp; research","page":"1743–1751","volume":"65","issue":"11","author":[{"family":"Zhang","given":"Jie"},{"family":"Xie","given":"Fenglong"},{"family":"Delzell","given":"Elizabeth"},{"family":"Chen","given":"Lang"},{"family":"Kilgore","given":"Meredith L"},{"family":"Yun","given":"Huifeng"},{"family":"Saag","given":"Kenneth G"},{"family":"Lewis","given":"James D"},{"family":"Curtis","given":"Jeffrey R"}],"issued":{"date-parts":[["2013"]]}}},{"id":1428,"uris":["http://zotero.org/users/1988472/items/K7UC9ZN2"],"uri":["http://zotero.org/users/1988472/items/K7UC9ZN2"],"itemData":{"id":1428,"type":"article-journal","title":"Prevalence of rheumatoid arthritis in persons 60 years of age and older in the United States: effect of different methods of case classification","container-title":"Arthritis &amp; Rheumatism","page":"917–926","volume":"48","issue":"4","author":[{"family":"Rasch","given":"Elizabeth K"},{"family":"Hirsch","given":"Rosemarie"},{"family":"Paulose-Ram","given":"Ryne"},{"family":"Hochberg","given":"Marc C"}],"issued":{"date-parts":[["2003"]]}}},{"id":1188,"uris":["http://zotero.org/users/1988472/items/F9V6CQWP"],"uri":["http://zotero.org/users/1988472/items/F9V6CQWP"],"itemData":{"id":1188,"type":"article-journal","title":"The global burden of rheumatoid arthritis: estimates from the Global Burden of Disease 2010 study","container-title":"Annals of the rheumatic diseases","page":"1316–1322","volume":"73","issue":"7","author":[{"family":"Cross","given":"Marita"},{"family":"Smith","given":"Emma"},{"family":"Hoy","given":"Damian"},{"family":"Carmona","given":"Loreto"},{"family":"Wolfe","given":"Frederick"},{"family":"Vos","given":"Theo"},{"family":"Williams","given":"Benjamin"},{"family":"Gabriel","given":"Sherine"},{"family":"Lassere","given":"Marissa"},{"family":"Johns","given":"Nicole"},{"literal":"others"}],"issued":{"date-parts":[["2014"]]}}}],"schema":"https://github.com/citation-style-language/schema/raw/master/csl-citation.json"} </w:instrText>
            </w:r>
            <w:r w:rsidRPr="0059473E">
              <w:rPr>
                <w:rFonts w:ascii="Arial" w:eastAsia="Times New Roman" w:hAnsi="Arial"/>
                <w:sz w:val="15"/>
                <w:szCs w:val="16"/>
              </w:rPr>
              <w:fldChar w:fldCharType="separate"/>
            </w:r>
            <w:r w:rsidR="00201160" w:rsidRPr="00201160">
              <w:rPr>
                <w:rFonts w:ascii="Arial" w:eastAsia="Times New Roman" w:hAnsi="Arial"/>
                <w:sz w:val="15"/>
              </w:rPr>
              <w:t>(E46–51)</w:t>
            </w:r>
            <w:r w:rsidRPr="0059473E">
              <w:rPr>
                <w:rFonts w:ascii="Arial" w:eastAsia="Times New Roman" w:hAnsi="Arial"/>
                <w:sz w:val="15"/>
                <w:szCs w:val="16"/>
              </w:rPr>
              <w:fldChar w:fldCharType="end"/>
            </w:r>
          </w:p>
        </w:tc>
        <w:tc>
          <w:tcPr>
            <w:tcW w:w="1255" w:type="dxa"/>
            <w:vAlign w:val="center"/>
          </w:tcPr>
          <w:p w14:paraId="0D2F5DD0" w14:textId="0B5B6E3D"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Constant as</w:t>
            </w:r>
            <w:r>
              <w:rPr>
                <w:rFonts w:ascii="Arial" w:eastAsia="Times New Roman" w:hAnsi="Arial"/>
                <w:sz w:val="15"/>
                <w:szCs w:val="16"/>
              </w:rPr>
              <w:t xml:space="preserve"> a proportion of the population </w:t>
            </w:r>
            <w:r>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6lt1nii7t","properties":{"formattedCitation":"(E18)","plainCitation":"(E18)"},"citationItems":[{"id":958,"uris":["http://zotero.org/users/1988472/items/9XZFCVPV"],"uri":["http://zotero.org/users/1988472/items/9XZFCVPV"],"itemData":{"id":958,"type":"thesis","title":"Priorities for Targeted Testing for Latent Tuberculosis Infection among Foreign</w:instrText>
            </w:r>
            <w:r w:rsidR="00201160">
              <w:rPr>
                <w:rFonts w:ascii="Calibri" w:eastAsia="Calibri" w:hAnsi="Calibri" w:cs="Calibri"/>
                <w:sz w:val="15"/>
                <w:szCs w:val="16"/>
              </w:rPr>
              <w:instrText>‐</w:instrText>
            </w:r>
            <w:r w:rsidR="00201160">
              <w:rPr>
                <w:rFonts w:ascii="Arial" w:eastAsia="Times New Roman" w:hAnsi="Arial"/>
                <w:sz w:val="15"/>
                <w:szCs w:val="16"/>
              </w:rPr>
              <w:instrText xml:space="preserve">Born Adults in the United States","publisher":"RAND Corporation","URL":"http://www.rand.org/pubs/rgs_dissertations/RGSD356.html","author":[{"family":"Yeats","given":"Jessica"},{"literal":"Baker, Brian"},{"literal":"Basurto-Davila, Ricardo"}],"issued":{"date-parts":[["2015"]]},"accessed":{"date-parts":[["2016",1,1]]}}}],"schema":"https://github.com/citation-style-language/schema/raw/master/csl-citation.json"} </w:instrText>
            </w:r>
            <w:r>
              <w:rPr>
                <w:rFonts w:ascii="Arial" w:eastAsia="Times New Roman" w:hAnsi="Arial"/>
                <w:sz w:val="15"/>
                <w:szCs w:val="16"/>
              </w:rPr>
              <w:fldChar w:fldCharType="separate"/>
            </w:r>
            <w:r w:rsidR="00201160">
              <w:rPr>
                <w:rFonts w:ascii="Arial" w:eastAsia="Times New Roman" w:hAnsi="Arial"/>
                <w:noProof/>
                <w:sz w:val="15"/>
                <w:szCs w:val="16"/>
              </w:rPr>
              <w:t>(E18)</w:t>
            </w:r>
            <w:r>
              <w:rPr>
                <w:rFonts w:ascii="Arial" w:eastAsia="Times New Roman" w:hAnsi="Arial"/>
                <w:sz w:val="15"/>
                <w:szCs w:val="16"/>
              </w:rPr>
              <w:fldChar w:fldCharType="end"/>
            </w:r>
          </w:p>
        </w:tc>
        <w:tc>
          <w:tcPr>
            <w:tcW w:w="1030" w:type="dxa"/>
            <w:vAlign w:val="center"/>
          </w:tcPr>
          <w:p w14:paraId="6D2EB11A" w14:textId="77777777" w:rsidR="00436146" w:rsidRDefault="00436146" w:rsidP="001B215D">
            <w:pPr>
              <w:spacing w:line="240" w:lineRule="auto"/>
              <w:jc w:val="center"/>
              <w:rPr>
                <w:rFonts w:ascii="Arial" w:eastAsia="Times New Roman" w:hAnsi="Arial"/>
                <w:sz w:val="15"/>
                <w:szCs w:val="16"/>
              </w:rPr>
            </w:pPr>
            <w:r w:rsidRPr="0059473E">
              <w:rPr>
                <w:rFonts w:ascii="Arial" w:eastAsia="Times New Roman" w:hAnsi="Arial"/>
                <w:sz w:val="15"/>
                <w:szCs w:val="16"/>
              </w:rPr>
              <w:t>4</w:t>
            </w:r>
            <w:r>
              <w:rPr>
                <w:rFonts w:ascii="Arial" w:eastAsia="Times New Roman" w:hAnsi="Arial"/>
                <w:sz w:val="15"/>
                <w:szCs w:val="16"/>
              </w:rPr>
              <w:t>.7</w:t>
            </w:r>
          </w:p>
          <w:p w14:paraId="334D29A8"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(2.5-5.3)</w:t>
            </w:r>
          </w:p>
        </w:tc>
        <w:tc>
          <w:tcPr>
            <w:tcW w:w="1083" w:type="dxa"/>
            <w:vAlign w:val="center"/>
          </w:tcPr>
          <w:p w14:paraId="3243EB92"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4.7</w:t>
            </w:r>
          </w:p>
        </w:tc>
        <w:tc>
          <w:tcPr>
            <w:tcW w:w="942" w:type="dxa"/>
            <w:vAlign w:val="center"/>
          </w:tcPr>
          <w:p w14:paraId="72B11C33" w14:textId="2C18B100"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2bnbp1dnvs","properties":{"formattedCitation":"(E18)","plainCitation":"(E18)"},"citationItems":[{"id":958,"uris":["http://zotero.org/users/1988472/items/9XZFCVPV"],"uri":["http://zotero.org/users/1988472/items/9XZFCVPV"],"itemData":{"id":958,"type":"thesis","title":"Priorities for Targeted Testing for Latent Tuberculosis Infection among Foreign</w:instrText>
            </w:r>
            <w:r w:rsidR="00201160">
              <w:rPr>
                <w:rFonts w:ascii="Calibri" w:eastAsia="Calibri" w:hAnsi="Calibri" w:cs="Calibri"/>
                <w:sz w:val="15"/>
                <w:szCs w:val="16"/>
              </w:rPr>
              <w:instrText>‐</w:instrText>
            </w:r>
            <w:r w:rsidR="00201160">
              <w:rPr>
                <w:rFonts w:ascii="Arial" w:eastAsia="Times New Roman" w:hAnsi="Arial"/>
                <w:sz w:val="15"/>
                <w:szCs w:val="16"/>
              </w:rPr>
              <w:instrText xml:space="preserve">Born Adults in the United States","publisher":"RAND Corporation","URL":"http://www.rand.org/pubs/rgs_dissertations/RGSD356.html","author":[{"family":"Yeats","given":"Jessica"},{"literal":"Baker, Brian"},{"literal":"Basurto-Davila, Ricardo"}],"issued":{"date-parts":[["2015"]]},"accessed":{"date-parts":[["2016",1,1]]}}}],"schema":"https://github.com/citation-style-language/schema/raw/master/csl-citation.json"}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(E18)</w:t>
            </w:r>
            <w:r w:rsidRPr="0059473E">
              <w:rPr>
                <w:rFonts w:ascii="Arial" w:eastAsia="Times New Roman" w:hAnsi="Arial"/>
                <w:sz w:val="15"/>
                <w:szCs w:val="16"/>
              </w:rPr>
              <w:fldChar w:fldCharType="end"/>
            </w:r>
          </w:p>
        </w:tc>
      </w:tr>
      <w:tr w:rsidR="00436146" w:rsidRPr="0059473E" w14:paraId="2C985FD7" w14:textId="77777777" w:rsidTr="001B215D">
        <w:trPr>
          <w:trHeight w:val="720"/>
        </w:trPr>
        <w:tc>
          <w:tcPr>
            <w:tcW w:w="959" w:type="dxa"/>
            <w:vAlign w:val="center"/>
          </w:tcPr>
          <w:p w14:paraId="3162CE38"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Solid-organ transplants</w:t>
            </w:r>
          </w:p>
        </w:tc>
        <w:tc>
          <w:tcPr>
            <w:tcW w:w="1151" w:type="dxa"/>
            <w:vAlign w:val="center"/>
          </w:tcPr>
          <w:p w14:paraId="368E1B27"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Age, sex,</w:t>
            </w:r>
          </w:p>
        </w:tc>
        <w:tc>
          <w:tcPr>
            <w:tcW w:w="1008" w:type="dxa"/>
            <w:vAlign w:val="center"/>
          </w:tcPr>
          <w:p w14:paraId="04B474B9"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0.17</w:t>
            </w:r>
          </w:p>
        </w:tc>
        <w:tc>
          <w:tcPr>
            <w:tcW w:w="663" w:type="dxa"/>
            <w:vAlign w:val="center"/>
          </w:tcPr>
          <w:p w14:paraId="19EE909C"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1.1</w:t>
            </w:r>
          </w:p>
        </w:tc>
        <w:tc>
          <w:tcPr>
            <w:tcW w:w="1259" w:type="dxa"/>
            <w:vAlign w:val="center"/>
          </w:tcPr>
          <w:p w14:paraId="702E7B5F" w14:textId="6DCBAB3E" w:rsidR="00436146" w:rsidRPr="0059473E" w:rsidRDefault="00436146" w:rsidP="001B215D">
            <w:pPr>
              <w:spacing w:line="240" w:lineRule="auto"/>
              <w:jc w:val="center"/>
              <w:rPr>
                <w:rFonts w:ascii="Arial" w:hAnsi="Arial"/>
                <w:sz w:val="15"/>
              </w:rPr>
            </w:pPr>
            <w:r>
              <w:rPr>
                <w:rFonts w:ascii="Arial" w:hAnsi="Arial"/>
                <w:sz w:val="15"/>
              </w:rPr>
              <w:fldChar w:fldCharType="begin"/>
            </w:r>
            <w:r w:rsidR="00201160">
              <w:rPr>
                <w:rFonts w:ascii="Arial" w:hAnsi="Arial"/>
                <w:sz w:val="15"/>
              </w:rPr>
              <w:instrText xml:space="preserve"> ADDIN ZOTERO_ITEM CSL_CITATION {"citationID":"2ioosg2m0h","properties":{"formattedCitation":"(E52)","plainCitation":"(E52)"},"citationItems":[{"id":1568,"uris":["http://zotero.org/users/1988472/items/NXU6UMB3"],"uri":["http://zotero.org/users/1988472/items/NXU6UMB3"],"itemData":{"id":1568,"type":"article-journal","title":"Organ procurement and transplantation network","container-title":"Organ Procurement and Transplantation Network","author":[{"family":"US Department of Health and Human Services","given":""}],"issued":{"date-parts":[["2014"]]}}}],"schema":"https://github.com/citation-style-language/schema/raw/master/csl-citation.json"} </w:instrText>
            </w:r>
            <w:r>
              <w:rPr>
                <w:rFonts w:ascii="Arial" w:hAnsi="Arial"/>
                <w:sz w:val="15"/>
              </w:rPr>
              <w:fldChar w:fldCharType="separate"/>
            </w:r>
            <w:r w:rsidR="00201160">
              <w:rPr>
                <w:rFonts w:ascii="Arial" w:hAnsi="Arial"/>
                <w:noProof/>
                <w:sz w:val="15"/>
              </w:rPr>
              <w:t>(E52)</w:t>
            </w:r>
            <w:r>
              <w:rPr>
                <w:rFonts w:ascii="Arial" w:hAnsi="Arial"/>
                <w:sz w:val="15"/>
              </w:rPr>
              <w:fldChar w:fldCharType="end"/>
            </w:r>
          </w:p>
        </w:tc>
        <w:tc>
          <w:tcPr>
            <w:tcW w:w="1255" w:type="dxa"/>
            <w:vAlign w:val="center"/>
          </w:tcPr>
          <w:p w14:paraId="423FEF63"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Constant as a proportion of the population</w:t>
            </w:r>
          </w:p>
        </w:tc>
        <w:tc>
          <w:tcPr>
            <w:tcW w:w="1030" w:type="dxa"/>
            <w:vAlign w:val="center"/>
          </w:tcPr>
          <w:p w14:paraId="29CF76D1" w14:textId="77777777" w:rsidR="00436146" w:rsidRDefault="00436146" w:rsidP="001B215D">
            <w:pPr>
              <w:spacing w:line="240" w:lineRule="auto"/>
              <w:jc w:val="center"/>
              <w:rPr>
                <w:rFonts w:ascii="Arial" w:eastAsia="Times New Roman" w:hAnsi="Arial"/>
                <w:sz w:val="15"/>
                <w:szCs w:val="16"/>
              </w:rPr>
            </w:pPr>
            <w:r>
              <w:rPr>
                <w:rFonts w:ascii="Arial" w:eastAsia="Times New Roman" w:hAnsi="Arial"/>
                <w:sz w:val="15"/>
                <w:szCs w:val="16"/>
              </w:rPr>
              <w:t>2.4</w:t>
            </w:r>
          </w:p>
          <w:p w14:paraId="170DFF34"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(1.7-18)</w:t>
            </w:r>
          </w:p>
        </w:tc>
        <w:tc>
          <w:tcPr>
            <w:tcW w:w="1083" w:type="dxa"/>
            <w:vAlign w:val="center"/>
          </w:tcPr>
          <w:p w14:paraId="0F04281D"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2.4</w:t>
            </w:r>
          </w:p>
        </w:tc>
        <w:tc>
          <w:tcPr>
            <w:tcW w:w="942" w:type="dxa"/>
            <w:vAlign w:val="center"/>
          </w:tcPr>
          <w:p w14:paraId="2D83992F" w14:textId="7EC0798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20h5age5u1","properties":{"formattedCitation":"(E53)","plainCitation":"(E53)"},"citationItems":[{"id":1119,"uris":["http://zotero.org/users/1988472/items/DPH8KXCN"],"uri":["http://zotero.org/users/1988472/items/DPH8KXCN"],"itemData":{"id":1119,"type":"article-journal","title":"Mycobacterium tuberculosis infection following renal transplantation in Taiwan","container-title":"Transplant Infectious Disease","page":"148–156","volume":"8","issue":"3","author":[{"family":"Chen","given":"C-H"},{"family":"Lian","given":"J-D"},{"family":"Cheng","given":"C-H"},{"family":"Wu","given":"M-J"},{"family":"Lee","given":"W-C"},{"family":"Shu","given":"K-H"}],"issued":{"date-parts":[["2006"]]}}}],"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(E53)</w:t>
            </w:r>
            <w:r w:rsidRPr="0059473E">
              <w:rPr>
                <w:rFonts w:ascii="Arial" w:eastAsia="Times New Roman" w:hAnsi="Arial"/>
                <w:sz w:val="15"/>
                <w:szCs w:val="16"/>
              </w:rPr>
              <w:fldChar w:fldCharType="end"/>
            </w:r>
          </w:p>
        </w:tc>
      </w:tr>
      <w:tr w:rsidR="00436146" w:rsidRPr="0059473E" w14:paraId="01D14D51" w14:textId="77777777" w:rsidTr="001B215D">
        <w:trPr>
          <w:trHeight w:val="720"/>
        </w:trPr>
        <w:tc>
          <w:tcPr>
            <w:tcW w:w="959" w:type="dxa"/>
            <w:vAlign w:val="center"/>
          </w:tcPr>
          <w:p w14:paraId="6CA184AF"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ESRD</w:t>
            </w:r>
          </w:p>
        </w:tc>
        <w:tc>
          <w:tcPr>
            <w:tcW w:w="1151" w:type="dxa"/>
            <w:vAlign w:val="center"/>
          </w:tcPr>
          <w:p w14:paraId="0B6C15A7" w14:textId="77777777" w:rsidR="00436146" w:rsidRPr="0059473E" w:rsidRDefault="00436146" w:rsidP="001B215D">
            <w:pPr>
              <w:spacing w:line="240" w:lineRule="auto"/>
              <w:rPr>
                <w:rFonts w:ascii="Arial" w:hAnsi="Arial"/>
                <w:sz w:val="15"/>
              </w:rPr>
            </w:pPr>
            <w:r w:rsidRPr="0059473E">
              <w:rPr>
                <w:rFonts w:ascii="Arial" w:eastAsia="Times New Roman" w:hAnsi="Arial"/>
                <w:sz w:val="15"/>
                <w:szCs w:val="16"/>
              </w:rPr>
              <w:t>Diabetes, age, sex, race/ethnicity</w:t>
            </w:r>
          </w:p>
        </w:tc>
        <w:tc>
          <w:tcPr>
            <w:tcW w:w="1008" w:type="dxa"/>
            <w:vAlign w:val="center"/>
          </w:tcPr>
          <w:p w14:paraId="4C8766AF"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0.30</w:t>
            </w:r>
          </w:p>
        </w:tc>
        <w:tc>
          <w:tcPr>
            <w:tcW w:w="663" w:type="dxa"/>
            <w:vAlign w:val="center"/>
          </w:tcPr>
          <w:p w14:paraId="017B1834"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4</w:t>
            </w:r>
          </w:p>
        </w:tc>
        <w:tc>
          <w:tcPr>
            <w:tcW w:w="1259" w:type="dxa"/>
            <w:vAlign w:val="center"/>
          </w:tcPr>
          <w:p w14:paraId="6A5C2116" w14:textId="354423CC"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CLDcZlr1","properties":{"formattedCitation":"(E54)","plainCitation":"(E54)"},"citationItems":[{"id":1040,"uris":["http://zotero.org/users/1988472/items/BUAARVBM"],"uri":["http://zotero.org/users/1988472/items/BUAARVBM"],"itemData":{"id":1040,"type":"article","title":"Online Query System","publisher":"National Institutes of Health, National Institute of Diabetes and Digestive and Kidney Diseases","URL":"https://www.usrds.org/","author":[{"family":"United States Renal Data System","given":""}],"issued":{"date-parts":[["2015"]]},"accessed":{"date-parts":[["2016",2,1]]}}}],"schema":"https://github.com/citation-style-language/schema/raw/master/csl-citation.json"}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(E54)</w:t>
            </w:r>
            <w:r w:rsidRPr="0059473E">
              <w:rPr>
                <w:rFonts w:ascii="Arial" w:eastAsia="Times New Roman" w:hAnsi="Arial"/>
                <w:sz w:val="15"/>
                <w:szCs w:val="16"/>
              </w:rPr>
              <w:fldChar w:fldCharType="end"/>
            </w:r>
          </w:p>
        </w:tc>
        <w:tc>
          <w:tcPr>
            <w:tcW w:w="1255" w:type="dxa"/>
            <w:vAlign w:val="center"/>
          </w:tcPr>
          <w:p w14:paraId="6B6E2A8C" w14:textId="4A576A0B" w:rsidR="00436146" w:rsidRPr="0059473E" w:rsidRDefault="00436146" w:rsidP="001B215D">
            <w:pPr>
              <w:spacing w:line="240" w:lineRule="auto"/>
              <w:jc w:val="center"/>
              <w:rPr>
                <w:rFonts w:ascii="Arial" w:hAnsi="Arial"/>
                <w:sz w:val="15"/>
              </w:rPr>
            </w:pPr>
            <w:r w:rsidRPr="0059473E">
              <w:rPr>
                <w:rFonts w:ascii="Arial" w:hAnsi="Arial"/>
                <w:i/>
                <w:sz w:val="15"/>
                <w:szCs w:val="16"/>
              </w:rPr>
              <w:fldChar w:fldCharType="begin"/>
            </w:r>
            <w:r w:rsidR="00201160">
              <w:rPr>
                <w:rFonts w:ascii="Arial" w:hAnsi="Arial"/>
                <w:i/>
                <w:sz w:val="15"/>
                <w:szCs w:val="16"/>
              </w:rPr>
              <w:instrText xml:space="preserve"> ADDIN ZOTERO_ITEM CSL_CITATION {"citationID":"4RiaysrW","properties":{"formattedCitation":"(E54)","plainCitation":"(E54)"},"citationItems":[{"id":1040,"uris":["http://zotero.org/users/1988472/items/BUAARVBM"],"uri":["http://zotero.org/users/1988472/items/BUAARVBM"],"itemData":{"id":1040,"type":"article","title":"Online Query System","publisher":"National Institutes of Health, National Institute of Diabetes and Digestive and Kidney Diseases","URL":"https://www.usrds.org/","author":[{"family":"United States Renal Data System","given":""}],"issued":{"date-parts":[["2015"]]},"accessed":{"date-parts":[["2016",2,1]]}}}],"schema":"https://github.com/citation-style-language/schema/raw/master/csl-citation.json"} </w:instrText>
            </w:r>
            <w:r w:rsidRPr="0059473E">
              <w:rPr>
                <w:rFonts w:ascii="Arial" w:hAnsi="Arial"/>
                <w:i/>
                <w:sz w:val="15"/>
                <w:szCs w:val="16"/>
              </w:rPr>
              <w:fldChar w:fldCharType="separate"/>
            </w:r>
            <w:r w:rsidR="00201160">
              <w:rPr>
                <w:rFonts w:ascii="Arial" w:hAnsi="Arial"/>
                <w:i/>
                <w:noProof/>
                <w:sz w:val="15"/>
                <w:szCs w:val="16"/>
              </w:rPr>
              <w:t>(E54)</w:t>
            </w:r>
            <w:r w:rsidRPr="0059473E">
              <w:rPr>
                <w:rFonts w:ascii="Arial" w:hAnsi="Arial"/>
                <w:i/>
                <w:sz w:val="15"/>
                <w:szCs w:val="16"/>
              </w:rPr>
              <w:fldChar w:fldCharType="end"/>
            </w:r>
          </w:p>
        </w:tc>
        <w:tc>
          <w:tcPr>
            <w:tcW w:w="1030" w:type="dxa"/>
            <w:vAlign w:val="center"/>
          </w:tcPr>
          <w:p w14:paraId="7C633531" w14:textId="77777777" w:rsidR="00436146" w:rsidRDefault="00436146" w:rsidP="001B215D">
            <w:pPr>
              <w:spacing w:line="240" w:lineRule="auto"/>
              <w:jc w:val="center"/>
              <w:rPr>
                <w:rFonts w:ascii="Arial" w:eastAsia="Times New Roman" w:hAnsi="Arial"/>
                <w:sz w:val="15"/>
                <w:szCs w:val="16"/>
              </w:rPr>
            </w:pPr>
            <w:r>
              <w:rPr>
                <w:rFonts w:ascii="Arial" w:eastAsia="Times New Roman" w:hAnsi="Arial"/>
                <w:sz w:val="15"/>
                <w:szCs w:val="16"/>
              </w:rPr>
              <w:t>11</w:t>
            </w:r>
          </w:p>
          <w:p w14:paraId="04FC8E38"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(2-20)</w:t>
            </w:r>
          </w:p>
        </w:tc>
        <w:tc>
          <w:tcPr>
            <w:tcW w:w="1083" w:type="dxa"/>
            <w:vAlign w:val="center"/>
          </w:tcPr>
          <w:p w14:paraId="67E89FBB" w14:textId="77777777"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t>10.4</w:t>
            </w:r>
          </w:p>
        </w:tc>
        <w:tc>
          <w:tcPr>
            <w:tcW w:w="942" w:type="dxa"/>
            <w:vAlign w:val="center"/>
          </w:tcPr>
          <w:p w14:paraId="6244BB46" w14:textId="6740A9B2" w:rsidR="00436146" w:rsidRPr="0059473E" w:rsidRDefault="00436146" w:rsidP="001B215D">
            <w:pPr>
              <w:spacing w:line="240" w:lineRule="auto"/>
              <w:jc w:val="center"/>
              <w:rPr>
                <w:rFonts w:ascii="Arial" w:hAnsi="Arial"/>
                <w:sz w:val="15"/>
              </w:rPr>
            </w:pPr>
            <w:r w:rsidRPr="0059473E">
              <w:rPr>
                <w:rFonts w:ascii="Arial" w:eastAsia="Times New Roman" w:hAnsi="Arial"/>
                <w:sz w:val="15"/>
                <w:szCs w:val="16"/>
              </w:rPr>
              <w:fldChar w:fldCharType="begin"/>
            </w:r>
            <w:r w:rsidR="00201160">
              <w:rPr>
                <w:rFonts w:ascii="Arial" w:eastAsia="Times New Roman" w:hAnsi="Arial"/>
                <w:sz w:val="15"/>
                <w:szCs w:val="16"/>
              </w:rPr>
              <w:instrText xml:space="preserve"> ADDIN ZOTERO_ITEM CSL_CITATION {"citationID":"nlhh030u8","properties":{"formattedCitation":"(E55)","plainCitation":"(E55)"},"citationItems":[{"id":622,"uris":["http://zotero.org/users/1988472/items/33ATJE4U"],"uri":["http://zotero.org/users/1988472/items/33ATJE4U"],"itemData":{"id":622,"type":"article-journal","title":"Tuberculosis in California dialysis patients","container-title":"The International Journal of Tuberculosis and Lung Disease","page":"341–345","volume":"8","issue":"3","author":[{"family":"Ahmed","given":"AT"},{"family":"Karter","given":"AJ"}],"issued":{"date-parts":[["2004"]]}}}],"schema":"https://github.com/citation-style-language/schema/raw/master/csl-citation.json"} </w:instrText>
            </w:r>
            <w:r w:rsidRPr="0059473E">
              <w:rPr>
                <w:rFonts w:ascii="Arial" w:eastAsia="Times New Roman" w:hAnsi="Arial"/>
                <w:sz w:val="15"/>
                <w:szCs w:val="16"/>
              </w:rPr>
              <w:fldChar w:fldCharType="separate"/>
            </w:r>
            <w:r w:rsidR="00201160">
              <w:rPr>
                <w:rFonts w:ascii="Arial" w:eastAsia="Times New Roman" w:hAnsi="Arial"/>
                <w:noProof/>
                <w:sz w:val="15"/>
                <w:szCs w:val="16"/>
              </w:rPr>
              <w:t>(E55)</w:t>
            </w:r>
            <w:r w:rsidRPr="0059473E">
              <w:rPr>
                <w:rFonts w:ascii="Arial" w:eastAsia="Times New Roman" w:hAnsi="Arial"/>
                <w:sz w:val="15"/>
                <w:szCs w:val="16"/>
              </w:rPr>
              <w:fldChar w:fldCharType="end"/>
            </w:r>
          </w:p>
        </w:tc>
      </w:tr>
    </w:tbl>
    <w:p w14:paraId="558FCA95" w14:textId="77777777" w:rsidR="00436146" w:rsidRPr="001E40F5" w:rsidRDefault="00436146" w:rsidP="00436146">
      <w:pPr>
        <w:rPr>
          <w:rFonts w:ascii="Arial" w:hAnsi="Arial"/>
        </w:rPr>
      </w:pPr>
    </w:p>
    <w:p w14:paraId="6C41418F" w14:textId="34CDB6CB" w:rsidR="001B215D" w:rsidRDefault="00436146" w:rsidP="001B215D">
      <w:pPr>
        <w:rPr>
          <w:rFonts w:ascii="Arial" w:hAnsi="Arial"/>
        </w:rPr>
      </w:pPr>
      <w:r>
        <w:rPr>
          <w:rFonts w:ascii="Arial" w:hAnsi="Arial"/>
          <w:b/>
          <w:sz w:val="24"/>
          <w:szCs w:val="24"/>
        </w:rPr>
        <w:br w:type="page"/>
      </w:r>
      <w:bookmarkStart w:id="1" w:name="_GoBack"/>
      <w:bookmarkEnd w:id="1"/>
      <w:r w:rsidR="009E145E">
        <w:rPr>
          <w:rFonts w:ascii="Arial" w:hAnsi="Arial"/>
          <w:b/>
        </w:rPr>
        <w:lastRenderedPageBreak/>
        <w:t xml:space="preserve"> S</w:t>
      </w:r>
      <w:r w:rsidR="001B215D">
        <w:rPr>
          <w:rFonts w:ascii="Arial" w:hAnsi="Arial"/>
          <w:b/>
        </w:rPr>
        <w:t>5</w:t>
      </w:r>
      <w:r w:rsidR="009E145E">
        <w:rPr>
          <w:rFonts w:ascii="Arial" w:hAnsi="Arial"/>
          <w:b/>
        </w:rPr>
        <w:t xml:space="preserve"> Table</w:t>
      </w:r>
      <w:r w:rsidR="001B215D" w:rsidRPr="001E40F5">
        <w:rPr>
          <w:rFonts w:ascii="Arial" w:hAnsi="Arial"/>
          <w:b/>
        </w:rPr>
        <w:t>.</w:t>
      </w:r>
      <w:r w:rsidR="001B215D">
        <w:rPr>
          <w:rFonts w:ascii="Arial" w:hAnsi="Arial"/>
        </w:rPr>
        <w:t xml:space="preserve"> Budget analysis, Year 1</w:t>
      </w:r>
    </w:p>
    <w:p w14:paraId="39B17B5F" w14:textId="3230555D" w:rsidR="001B215D" w:rsidRDefault="001B215D" w:rsidP="001B215D">
      <w:pPr>
        <w:rPr>
          <w:rFonts w:ascii="Arial" w:hAnsi="Arial"/>
        </w:rPr>
      </w:pPr>
      <w:r>
        <w:rPr>
          <w:rFonts w:ascii="Arial" w:hAnsi="Arial"/>
          <w:noProof/>
        </w:rPr>
        <w:drawing>
          <wp:inline distT="0" distB="0" distL="0" distR="0" wp14:anchorId="43DD6933" wp14:editId="28611F28">
            <wp:extent cx="6196545" cy="2847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9267" cy="2848889"/>
                    </a:xfrm>
                    <a:prstGeom prst="rect">
                      <a:avLst/>
                    </a:prstGeom>
                    <a:noFill/>
                    <a:ln>
                      <a:noFill/>
                    </a:ln>
                  </pic:spPr>
                </pic:pic>
              </a:graphicData>
            </a:graphic>
          </wp:inline>
        </w:drawing>
      </w:r>
    </w:p>
    <w:p w14:paraId="03B6AB77" w14:textId="77777777" w:rsidR="00201160" w:rsidRDefault="00201160" w:rsidP="00201160">
      <w:pPr>
        <w:pStyle w:val="Bibliography"/>
        <w:rPr>
          <w:rFonts w:ascii="Arial" w:hAnsi="Arial"/>
          <w:b/>
          <w:sz w:val="24"/>
          <w:szCs w:val="24"/>
        </w:rPr>
      </w:pPr>
    </w:p>
    <w:p w14:paraId="39D79A51" w14:textId="77777777" w:rsidR="001B215D" w:rsidRDefault="001B215D">
      <w:pPr>
        <w:spacing w:line="240" w:lineRule="auto"/>
        <w:rPr>
          <w:rFonts w:ascii="Arial" w:hAnsi="Arial"/>
          <w:b/>
          <w:sz w:val="24"/>
          <w:szCs w:val="24"/>
        </w:rPr>
      </w:pPr>
      <w:r>
        <w:rPr>
          <w:rFonts w:ascii="Arial" w:hAnsi="Arial"/>
          <w:b/>
          <w:sz w:val="24"/>
          <w:szCs w:val="24"/>
        </w:rPr>
        <w:br w:type="page"/>
      </w:r>
    </w:p>
    <w:p w14:paraId="58852326" w14:textId="1E7CEE88" w:rsidR="00201160" w:rsidRDefault="00201160" w:rsidP="00201160">
      <w:pPr>
        <w:pStyle w:val="Bibliography"/>
        <w:rPr>
          <w:rFonts w:ascii="Arial" w:hAnsi="Arial"/>
          <w:b/>
          <w:sz w:val="24"/>
          <w:szCs w:val="24"/>
        </w:rPr>
      </w:pPr>
      <w:r>
        <w:rPr>
          <w:rFonts w:ascii="Arial" w:hAnsi="Arial"/>
          <w:b/>
          <w:sz w:val="24"/>
          <w:szCs w:val="24"/>
        </w:rPr>
        <w:lastRenderedPageBreak/>
        <w:t>References</w:t>
      </w:r>
    </w:p>
    <w:p w14:paraId="06A258AD" w14:textId="77777777" w:rsidR="00201160" w:rsidRPr="00201160" w:rsidRDefault="00201160" w:rsidP="00201160"/>
    <w:p w14:paraId="78DC4E63" w14:textId="77777777" w:rsidR="00201160" w:rsidRPr="00201160" w:rsidRDefault="00201160" w:rsidP="00201160">
      <w:pPr>
        <w:pStyle w:val="Bibliography"/>
        <w:rPr>
          <w:color w:val="auto"/>
        </w:rPr>
      </w:pPr>
      <w:r>
        <w:rPr>
          <w:rFonts w:ascii="Arial" w:hAnsi="Arial"/>
          <w:b/>
          <w:sz w:val="24"/>
          <w:szCs w:val="24"/>
        </w:rPr>
        <w:fldChar w:fldCharType="begin"/>
      </w:r>
      <w:r>
        <w:rPr>
          <w:rFonts w:ascii="Arial" w:hAnsi="Arial"/>
          <w:b/>
          <w:sz w:val="24"/>
          <w:szCs w:val="24"/>
        </w:rPr>
        <w:instrText xml:space="preserve"> ADDIN ZOTERO_BIBL {"custom":[]} CSL_BIBLIOGRAPHY </w:instrText>
      </w:r>
      <w:r>
        <w:rPr>
          <w:rFonts w:ascii="Arial" w:hAnsi="Arial"/>
          <w:b/>
          <w:sz w:val="24"/>
          <w:szCs w:val="24"/>
        </w:rPr>
        <w:fldChar w:fldCharType="separate"/>
      </w:r>
      <w:r w:rsidRPr="00201160">
        <w:rPr>
          <w:color w:val="auto"/>
        </w:rPr>
        <w:t>1.</w:t>
      </w:r>
      <w:r w:rsidRPr="00201160">
        <w:rPr>
          <w:color w:val="auto"/>
        </w:rPr>
        <w:tab/>
        <w:t xml:space="preserve">Plateau B, Atif K. Stochastic automata network of modeling parallel systems. </w:t>
      </w:r>
      <w:r w:rsidRPr="00201160">
        <w:rPr>
          <w:i/>
          <w:iCs/>
          <w:color w:val="auto"/>
        </w:rPr>
        <w:t>Softw Eng IEEE Trans On</w:t>
      </w:r>
      <w:r w:rsidRPr="00201160">
        <w:rPr>
          <w:color w:val="auto"/>
        </w:rPr>
        <w:t xml:space="preserve"> 1991;17:1093–1108.</w:t>
      </w:r>
    </w:p>
    <w:p w14:paraId="36B8316A" w14:textId="77777777" w:rsidR="00201160" w:rsidRPr="00201160" w:rsidRDefault="00201160" w:rsidP="00201160">
      <w:pPr>
        <w:pStyle w:val="Bibliography"/>
        <w:rPr>
          <w:color w:val="auto"/>
        </w:rPr>
      </w:pPr>
      <w:r w:rsidRPr="00201160">
        <w:rPr>
          <w:color w:val="auto"/>
        </w:rPr>
        <w:t>2.</w:t>
      </w:r>
      <w:r w:rsidRPr="00201160">
        <w:rPr>
          <w:color w:val="auto"/>
        </w:rPr>
        <w:tab/>
        <w:t xml:space="preserve">Palmer AJ, Roze S, Valentine WJ, Minshall ME, Foos V, Lurati FM, Lammert M, Spinas GA. The CORE Diabetes Model: Projecting Long-term Clinical Outcomes, Costs and Costeffectiveness of Interventions in Diabetes Mellitus (Types 1 and 2) to Support Clinical and Reimbursement Decision-making. </w:t>
      </w:r>
      <w:r w:rsidRPr="00201160">
        <w:rPr>
          <w:i/>
          <w:iCs/>
          <w:color w:val="auto"/>
        </w:rPr>
        <w:t>Curr Med Res Opin</w:t>
      </w:r>
      <w:r w:rsidRPr="00201160">
        <w:rPr>
          <w:color w:val="auto"/>
        </w:rPr>
        <w:t xml:space="preserve"> 2004;20:S5–S26.</w:t>
      </w:r>
    </w:p>
    <w:p w14:paraId="534C7650" w14:textId="77777777" w:rsidR="00201160" w:rsidRPr="00201160" w:rsidRDefault="00201160" w:rsidP="00201160">
      <w:pPr>
        <w:pStyle w:val="Bibliography"/>
        <w:rPr>
          <w:color w:val="auto"/>
        </w:rPr>
      </w:pPr>
      <w:r w:rsidRPr="00201160">
        <w:rPr>
          <w:color w:val="auto"/>
        </w:rPr>
        <w:t>3.</w:t>
      </w:r>
      <w:r w:rsidRPr="00201160">
        <w:rPr>
          <w:color w:val="auto"/>
        </w:rPr>
        <w:tab/>
        <w:t xml:space="preserve">Liu W, Islamaj Dogan R, Kwon D, Marques H, Rinaldi F, Wilbur WJ, Comeau DC. BioC implementations in Go, Perl, Python and Ruby. </w:t>
      </w:r>
      <w:r w:rsidRPr="00201160">
        <w:rPr>
          <w:i/>
          <w:iCs/>
          <w:color w:val="auto"/>
        </w:rPr>
        <w:t>Database J Biol Databases Curation</w:t>
      </w:r>
      <w:r w:rsidRPr="00201160">
        <w:rPr>
          <w:color w:val="auto"/>
        </w:rPr>
        <w:t xml:space="preserve"> 2014;2014.:</w:t>
      </w:r>
    </w:p>
    <w:p w14:paraId="3763CDDA" w14:textId="77777777" w:rsidR="00201160" w:rsidRPr="00201160" w:rsidRDefault="00201160" w:rsidP="00201160">
      <w:pPr>
        <w:pStyle w:val="Bibliography"/>
        <w:rPr>
          <w:color w:val="auto"/>
        </w:rPr>
      </w:pPr>
      <w:r w:rsidRPr="00201160">
        <w:rPr>
          <w:color w:val="auto"/>
        </w:rPr>
        <w:t>4.</w:t>
      </w:r>
      <w:r w:rsidRPr="00201160">
        <w:rPr>
          <w:color w:val="auto"/>
        </w:rPr>
        <w:tab/>
        <w:t xml:space="preserve">California Department of Public Health. </w:t>
      </w:r>
      <w:r w:rsidRPr="00201160">
        <w:rPr>
          <w:i/>
          <w:iCs/>
          <w:color w:val="auto"/>
        </w:rPr>
        <w:t>Reports of Verified Cases of Tuberculosis Database (S6-RVCT database)</w:t>
      </w:r>
      <w:r w:rsidRPr="00201160">
        <w:rPr>
          <w:color w:val="auto"/>
        </w:rPr>
        <w:t xml:space="preserve">. State of California; 2016. </w:t>
      </w:r>
    </w:p>
    <w:p w14:paraId="0ADD0887" w14:textId="77777777" w:rsidR="00201160" w:rsidRPr="00201160" w:rsidRDefault="00201160" w:rsidP="00201160">
      <w:pPr>
        <w:pStyle w:val="Bibliography"/>
        <w:rPr>
          <w:color w:val="auto"/>
        </w:rPr>
      </w:pPr>
      <w:r w:rsidRPr="00201160">
        <w:rPr>
          <w:color w:val="auto"/>
        </w:rPr>
        <w:t>5.</w:t>
      </w:r>
      <w:r w:rsidRPr="00201160">
        <w:rPr>
          <w:color w:val="auto"/>
        </w:rPr>
        <w:tab/>
        <w:t xml:space="preserve">Ruggles S, Genadek K, Goeken R, Grover J, Sobek M. </w:t>
      </w:r>
      <w:r w:rsidRPr="00201160">
        <w:rPr>
          <w:i/>
          <w:iCs/>
          <w:color w:val="auto"/>
        </w:rPr>
        <w:t>Integrated Public Use Microdata Series: Version 7.0 [dataset]</w:t>
      </w:r>
      <w:r w:rsidRPr="00201160">
        <w:rPr>
          <w:color w:val="auto"/>
        </w:rPr>
        <w:t>. Minneapolis: University of Minnesota; 2017. at &lt;https://doi.org/10.18128/D010.V7.0&gt;.</w:t>
      </w:r>
    </w:p>
    <w:p w14:paraId="5C9CDED6" w14:textId="77777777" w:rsidR="00201160" w:rsidRPr="00201160" w:rsidRDefault="00201160" w:rsidP="00201160">
      <w:pPr>
        <w:pStyle w:val="Bibliography"/>
        <w:rPr>
          <w:color w:val="auto"/>
        </w:rPr>
      </w:pPr>
      <w:r w:rsidRPr="00201160">
        <w:rPr>
          <w:color w:val="auto"/>
        </w:rPr>
        <w:t>6.</w:t>
      </w:r>
      <w:r w:rsidRPr="00201160">
        <w:rPr>
          <w:color w:val="auto"/>
        </w:rPr>
        <w:tab/>
        <w:t xml:space="preserve">WHO. </w:t>
      </w:r>
      <w:r w:rsidRPr="00201160">
        <w:rPr>
          <w:i/>
          <w:iCs/>
          <w:color w:val="auto"/>
        </w:rPr>
        <w:t>Global Tuberculosis Report 2014</w:t>
      </w:r>
      <w:r w:rsidRPr="00201160">
        <w:rPr>
          <w:color w:val="auto"/>
        </w:rPr>
        <w:t xml:space="preserve">. World Health Organization; 2014. </w:t>
      </w:r>
    </w:p>
    <w:p w14:paraId="091D8FA3" w14:textId="77777777" w:rsidR="00201160" w:rsidRPr="00201160" w:rsidRDefault="00201160" w:rsidP="00201160">
      <w:pPr>
        <w:pStyle w:val="Bibliography"/>
        <w:rPr>
          <w:color w:val="auto"/>
        </w:rPr>
      </w:pPr>
      <w:r w:rsidRPr="00201160">
        <w:rPr>
          <w:color w:val="auto"/>
        </w:rPr>
        <w:t>7.</w:t>
      </w:r>
      <w:r w:rsidRPr="00201160">
        <w:rPr>
          <w:color w:val="auto"/>
        </w:rPr>
        <w:tab/>
        <w:t xml:space="preserve">Social Security Administration. </w:t>
      </w:r>
      <w:r w:rsidRPr="00201160">
        <w:rPr>
          <w:i/>
          <w:iCs/>
          <w:color w:val="auto"/>
        </w:rPr>
        <w:t>Actuarial Life Table. Washington, DC: Social Security Administration</w:t>
      </w:r>
      <w:r w:rsidRPr="00201160">
        <w:rPr>
          <w:color w:val="auto"/>
        </w:rPr>
        <w:t xml:space="preserve">. Baltimore, MD: Social Security Administration; 2015. </w:t>
      </w:r>
    </w:p>
    <w:p w14:paraId="4E1C162A" w14:textId="77777777" w:rsidR="00201160" w:rsidRPr="00201160" w:rsidRDefault="00201160" w:rsidP="00201160">
      <w:pPr>
        <w:pStyle w:val="Bibliography"/>
        <w:rPr>
          <w:color w:val="auto"/>
        </w:rPr>
      </w:pPr>
      <w:r w:rsidRPr="00201160">
        <w:rPr>
          <w:color w:val="auto"/>
        </w:rPr>
        <w:t>8.</w:t>
      </w:r>
      <w:r w:rsidRPr="00201160">
        <w:rPr>
          <w:color w:val="auto"/>
        </w:rPr>
        <w:tab/>
        <w:t xml:space="preserve">Centers for Disease Control and Prevention, National Center for Health Statistics (NCHS). </w:t>
      </w:r>
      <w:r w:rsidRPr="00201160">
        <w:rPr>
          <w:i/>
          <w:iCs/>
          <w:color w:val="auto"/>
        </w:rPr>
        <w:t>National Health and Nutrition Examination Survey Data</w:t>
      </w:r>
      <w:r w:rsidRPr="00201160">
        <w:rPr>
          <w:color w:val="auto"/>
        </w:rPr>
        <w:t>. Hyattsville, MD: US Department of Health and Human Services; 2012. at &lt;https://www.cdc.gov/nchs/nhanes/index.htm&gt;.</w:t>
      </w:r>
    </w:p>
    <w:p w14:paraId="268B1AB5" w14:textId="77777777" w:rsidR="00201160" w:rsidRPr="00201160" w:rsidRDefault="00201160" w:rsidP="00201160">
      <w:pPr>
        <w:pStyle w:val="Bibliography"/>
        <w:rPr>
          <w:color w:val="auto"/>
        </w:rPr>
      </w:pPr>
      <w:r w:rsidRPr="00201160">
        <w:rPr>
          <w:color w:val="auto"/>
        </w:rPr>
        <w:t>9.</w:t>
      </w:r>
      <w:r w:rsidRPr="00201160">
        <w:rPr>
          <w:color w:val="auto"/>
        </w:rPr>
        <w:tab/>
        <w:t xml:space="preserve">Miramontes R, Hill AN, Woodruff RSY, Lambert LA, Navin TR, Castro KG, LoBue PA. Tuberculosis Infection in the United States: Prevalence Estimates from the National Health and Nutrition Examination Survey, 2011-2012. </w:t>
      </w:r>
      <w:r w:rsidRPr="00201160">
        <w:rPr>
          <w:i/>
          <w:iCs/>
          <w:color w:val="auto"/>
        </w:rPr>
        <w:t>PloS One</w:t>
      </w:r>
      <w:r w:rsidRPr="00201160">
        <w:rPr>
          <w:color w:val="auto"/>
        </w:rPr>
        <w:t xml:space="preserve"> 2015;10:e0140881.</w:t>
      </w:r>
    </w:p>
    <w:p w14:paraId="418C563D" w14:textId="77777777" w:rsidR="00201160" w:rsidRPr="00201160" w:rsidRDefault="00201160" w:rsidP="00201160">
      <w:pPr>
        <w:pStyle w:val="Bibliography"/>
        <w:rPr>
          <w:color w:val="auto"/>
        </w:rPr>
      </w:pPr>
      <w:r w:rsidRPr="00201160">
        <w:rPr>
          <w:color w:val="auto"/>
        </w:rPr>
        <w:t>10.</w:t>
      </w:r>
      <w:r w:rsidRPr="00201160">
        <w:rPr>
          <w:color w:val="auto"/>
        </w:rPr>
        <w:tab/>
        <w:t xml:space="preserve">Dye C, Scheele S, Dolin P, Pathania V, Raviglione MC, others. Global burden of tuberculosis: estimated incidence, prevalence, and mortality by country. </w:t>
      </w:r>
      <w:r w:rsidRPr="00201160">
        <w:rPr>
          <w:i/>
          <w:iCs/>
          <w:color w:val="auto"/>
        </w:rPr>
        <w:t>Jama</w:t>
      </w:r>
      <w:r w:rsidRPr="00201160">
        <w:rPr>
          <w:color w:val="auto"/>
        </w:rPr>
        <w:t xml:space="preserve"> 1999;282:677–686.</w:t>
      </w:r>
    </w:p>
    <w:p w14:paraId="3FD53CC0" w14:textId="77777777" w:rsidR="00201160" w:rsidRPr="00201160" w:rsidRDefault="00201160" w:rsidP="00201160">
      <w:pPr>
        <w:pStyle w:val="Bibliography"/>
        <w:rPr>
          <w:color w:val="auto"/>
        </w:rPr>
      </w:pPr>
      <w:r w:rsidRPr="00201160">
        <w:rPr>
          <w:color w:val="auto"/>
        </w:rPr>
        <w:t>11.</w:t>
      </w:r>
      <w:r w:rsidRPr="00201160">
        <w:rPr>
          <w:color w:val="auto"/>
        </w:rPr>
        <w:tab/>
        <w:t xml:space="preserve">Bennett DE, Courval JM, Onorato I, Agerton T, Gibson JD, Lambert L, McQuillan GM, Lewis B, Navin TR, Castro KG. Prevalence of tuberculosis infection in the United States population: the national health and nutrition examination survey, 1999–2000. </w:t>
      </w:r>
      <w:r w:rsidRPr="00201160">
        <w:rPr>
          <w:i/>
          <w:iCs/>
          <w:color w:val="auto"/>
        </w:rPr>
        <w:t>Am J Respir Crit Care Med</w:t>
      </w:r>
      <w:r w:rsidRPr="00201160">
        <w:rPr>
          <w:color w:val="auto"/>
        </w:rPr>
        <w:t xml:space="preserve"> 2008;177:348–355.</w:t>
      </w:r>
    </w:p>
    <w:p w14:paraId="72885C60" w14:textId="77777777" w:rsidR="00201160" w:rsidRPr="00201160" w:rsidRDefault="00201160" w:rsidP="00201160">
      <w:pPr>
        <w:pStyle w:val="Bibliography"/>
        <w:rPr>
          <w:color w:val="auto"/>
        </w:rPr>
      </w:pPr>
      <w:r w:rsidRPr="00201160">
        <w:rPr>
          <w:color w:val="auto"/>
        </w:rPr>
        <w:lastRenderedPageBreak/>
        <w:t>12.</w:t>
      </w:r>
      <w:r w:rsidRPr="00201160">
        <w:rPr>
          <w:color w:val="auto"/>
        </w:rPr>
        <w:tab/>
        <w:t xml:space="preserve">Dye C, Lönnroth K, Jaramillo E, Williams B, Raviglione M. Trends in tuberculosis incidence and their determinants in 134 countries. </w:t>
      </w:r>
      <w:r w:rsidRPr="00201160">
        <w:rPr>
          <w:i/>
          <w:iCs/>
          <w:color w:val="auto"/>
        </w:rPr>
        <w:t>Bull World Health Organ</w:t>
      </w:r>
      <w:r w:rsidRPr="00201160">
        <w:rPr>
          <w:color w:val="auto"/>
        </w:rPr>
        <w:t xml:space="preserve"> 2009;87:683–691.</w:t>
      </w:r>
    </w:p>
    <w:p w14:paraId="744CCBC7" w14:textId="77777777" w:rsidR="00201160" w:rsidRPr="00201160" w:rsidRDefault="00201160" w:rsidP="00201160">
      <w:pPr>
        <w:pStyle w:val="Bibliography"/>
        <w:rPr>
          <w:color w:val="auto"/>
        </w:rPr>
      </w:pPr>
      <w:r w:rsidRPr="00201160">
        <w:rPr>
          <w:color w:val="auto"/>
        </w:rPr>
        <w:t>13.</w:t>
      </w:r>
      <w:r w:rsidRPr="00201160">
        <w:rPr>
          <w:color w:val="auto"/>
        </w:rPr>
        <w:tab/>
        <w:t xml:space="preserve">Horsburgh CR, Goldberg S, Bethel J, Chen S, Colson PW, Hirsch-Moverman Y, Hughes S, Shrestha-Kuwahara R, Sterling TR, Wall K, others. Latent TB infection treatment acceptance and completion in the United States and Canada. </w:t>
      </w:r>
      <w:r w:rsidRPr="00201160">
        <w:rPr>
          <w:i/>
          <w:iCs/>
          <w:color w:val="auto"/>
        </w:rPr>
        <w:t>CHEST J</w:t>
      </w:r>
      <w:r w:rsidRPr="00201160">
        <w:rPr>
          <w:color w:val="auto"/>
        </w:rPr>
        <w:t xml:space="preserve"> 2010;137:401–409.</w:t>
      </w:r>
    </w:p>
    <w:p w14:paraId="413289B4" w14:textId="77777777" w:rsidR="00201160" w:rsidRPr="00201160" w:rsidRDefault="00201160" w:rsidP="00201160">
      <w:pPr>
        <w:pStyle w:val="Bibliography"/>
        <w:rPr>
          <w:color w:val="auto"/>
        </w:rPr>
      </w:pPr>
      <w:r w:rsidRPr="00201160">
        <w:rPr>
          <w:color w:val="auto"/>
        </w:rPr>
        <w:t>14.</w:t>
      </w:r>
      <w:r w:rsidRPr="00201160">
        <w:rPr>
          <w:color w:val="auto"/>
        </w:rPr>
        <w:tab/>
        <w:t xml:space="preserve">Menzies D, Long R, Trajman A, Dion M-J, Yang J, Al Jahdali H, Memish Z, Khan K, Gardam M, Hoeppner V, others. Adverse events with 4 months of rifampin therapy or 9 months of isoniazid therapy for latent tuberculosis infection: a randomized trial. </w:t>
      </w:r>
      <w:r w:rsidRPr="00201160">
        <w:rPr>
          <w:i/>
          <w:iCs/>
          <w:color w:val="auto"/>
        </w:rPr>
        <w:t>Ann Intern Med</w:t>
      </w:r>
      <w:r w:rsidRPr="00201160">
        <w:rPr>
          <w:color w:val="auto"/>
        </w:rPr>
        <w:t xml:space="preserve"> 2008;149:689–697.</w:t>
      </w:r>
    </w:p>
    <w:p w14:paraId="4AD99455" w14:textId="77777777" w:rsidR="00201160" w:rsidRPr="00201160" w:rsidRDefault="00201160" w:rsidP="00201160">
      <w:pPr>
        <w:pStyle w:val="Bibliography"/>
        <w:rPr>
          <w:color w:val="auto"/>
        </w:rPr>
      </w:pPr>
      <w:r w:rsidRPr="00201160">
        <w:rPr>
          <w:color w:val="auto"/>
        </w:rPr>
        <w:t>15.</w:t>
      </w:r>
      <w:r w:rsidRPr="00201160">
        <w:rPr>
          <w:color w:val="auto"/>
        </w:rPr>
        <w:tab/>
        <w:t xml:space="preserve">Sterling TR, Villarino ME, Borisov AS, Shang N, Gordin F, Bliven-Sizemore E, Hackman J, Hamilton CD, Menzies D, Kerrigan A, others. Three months of rifapentine and isoniazid for latent tuberculosis infection. </w:t>
      </w:r>
      <w:r w:rsidRPr="00201160">
        <w:rPr>
          <w:i/>
          <w:iCs/>
          <w:color w:val="auto"/>
        </w:rPr>
        <w:t>N Engl J Med</w:t>
      </w:r>
      <w:r w:rsidRPr="00201160">
        <w:rPr>
          <w:color w:val="auto"/>
        </w:rPr>
        <w:t xml:space="preserve"> 2011;365:2155–2166.</w:t>
      </w:r>
    </w:p>
    <w:p w14:paraId="181C67D5" w14:textId="77777777" w:rsidR="00201160" w:rsidRPr="00201160" w:rsidRDefault="00201160" w:rsidP="00201160">
      <w:pPr>
        <w:pStyle w:val="Bibliography"/>
        <w:rPr>
          <w:color w:val="auto"/>
        </w:rPr>
      </w:pPr>
      <w:r w:rsidRPr="00201160">
        <w:rPr>
          <w:color w:val="auto"/>
        </w:rPr>
        <w:t>16.</w:t>
      </w:r>
      <w:r w:rsidRPr="00201160">
        <w:rPr>
          <w:color w:val="auto"/>
        </w:rPr>
        <w:tab/>
        <w:t xml:space="preserve">Myers WP, Westenhouse JL, Flood J, Riley LW. An ecological study of tuberculosis transmission in California. </w:t>
      </w:r>
      <w:r w:rsidRPr="00201160">
        <w:rPr>
          <w:i/>
          <w:iCs/>
          <w:color w:val="auto"/>
        </w:rPr>
        <w:t>Am J Public Health</w:t>
      </w:r>
      <w:r w:rsidRPr="00201160">
        <w:rPr>
          <w:color w:val="auto"/>
        </w:rPr>
        <w:t xml:space="preserve"> 2006;96:685.</w:t>
      </w:r>
    </w:p>
    <w:p w14:paraId="14C81FE3" w14:textId="77777777" w:rsidR="00201160" w:rsidRPr="00201160" w:rsidRDefault="00201160" w:rsidP="00201160">
      <w:pPr>
        <w:pStyle w:val="Bibliography"/>
        <w:rPr>
          <w:color w:val="auto"/>
        </w:rPr>
      </w:pPr>
      <w:r w:rsidRPr="00201160">
        <w:rPr>
          <w:color w:val="auto"/>
        </w:rPr>
        <w:t>17.</w:t>
      </w:r>
      <w:r w:rsidRPr="00201160">
        <w:rPr>
          <w:color w:val="auto"/>
        </w:rPr>
        <w:tab/>
        <w:t xml:space="preserve">Siegel JE, Weinstein MC, Russell LB, Gold MR. Recommendations for reporting cost-effectiveness analyses. </w:t>
      </w:r>
      <w:r w:rsidRPr="00201160">
        <w:rPr>
          <w:i/>
          <w:iCs/>
          <w:color w:val="auto"/>
        </w:rPr>
        <w:t>Jama</w:t>
      </w:r>
      <w:r w:rsidRPr="00201160">
        <w:rPr>
          <w:color w:val="auto"/>
        </w:rPr>
        <w:t xml:space="preserve"> 1996;276:1339–1341.</w:t>
      </w:r>
    </w:p>
    <w:p w14:paraId="5C7C0235" w14:textId="77777777" w:rsidR="00201160" w:rsidRPr="00201160" w:rsidRDefault="00201160" w:rsidP="00201160">
      <w:pPr>
        <w:pStyle w:val="Bibliography"/>
        <w:rPr>
          <w:color w:val="auto"/>
        </w:rPr>
      </w:pPr>
      <w:r w:rsidRPr="00201160">
        <w:rPr>
          <w:color w:val="auto"/>
        </w:rPr>
        <w:t>18.</w:t>
      </w:r>
      <w:r w:rsidRPr="00201160">
        <w:rPr>
          <w:color w:val="auto"/>
        </w:rPr>
        <w:tab/>
        <w:t>Yeats J, Baker, Brian, Basurto-Davila, Ricardo. Priorities for Targeted Testing for Latent Tuberculosis Infection among Foreign</w:t>
      </w:r>
      <w:r w:rsidRPr="00201160">
        <w:rPr>
          <w:rFonts w:ascii="Calibri" w:eastAsia="Calibri" w:hAnsi="Calibri" w:cs="Calibri"/>
          <w:color w:val="auto"/>
        </w:rPr>
        <w:t>‐</w:t>
      </w:r>
      <w:r w:rsidRPr="00201160">
        <w:rPr>
          <w:color w:val="auto"/>
        </w:rPr>
        <w:t>Born Adults in the United States. 2015;at &lt;http://www.rand.org/pubs/rgs_dissertations/RGSD356.html&gt;.</w:t>
      </w:r>
    </w:p>
    <w:p w14:paraId="1C6D94AE" w14:textId="77777777" w:rsidR="00201160" w:rsidRPr="00201160" w:rsidRDefault="00201160" w:rsidP="00201160">
      <w:pPr>
        <w:pStyle w:val="Bibliography"/>
        <w:rPr>
          <w:color w:val="auto"/>
        </w:rPr>
      </w:pPr>
      <w:r w:rsidRPr="00201160">
        <w:rPr>
          <w:color w:val="auto"/>
        </w:rPr>
        <w:t>19.</w:t>
      </w:r>
      <w:r w:rsidRPr="00201160">
        <w:rPr>
          <w:color w:val="auto"/>
        </w:rPr>
        <w:tab/>
        <w:t xml:space="preserve">Demlow SE, Oh P, Barry PM. Increased risk of tuberculosis among foreign-born persons with diabetes in California, 2010–2012. </w:t>
      </w:r>
      <w:r w:rsidRPr="00201160">
        <w:rPr>
          <w:i/>
          <w:iCs/>
          <w:color w:val="auto"/>
        </w:rPr>
        <w:t>BMC Public Health</w:t>
      </w:r>
      <w:r w:rsidRPr="00201160">
        <w:rPr>
          <w:color w:val="auto"/>
        </w:rPr>
        <w:t xml:space="preserve"> 2015;15:263.</w:t>
      </w:r>
    </w:p>
    <w:p w14:paraId="32EDA07E" w14:textId="77777777" w:rsidR="00201160" w:rsidRPr="00201160" w:rsidRDefault="00201160" w:rsidP="00201160">
      <w:pPr>
        <w:pStyle w:val="Bibliography"/>
        <w:rPr>
          <w:color w:val="auto"/>
        </w:rPr>
      </w:pPr>
      <w:r w:rsidRPr="00201160">
        <w:rPr>
          <w:color w:val="auto"/>
        </w:rPr>
        <w:t>20.</w:t>
      </w:r>
      <w:r w:rsidRPr="00201160">
        <w:rPr>
          <w:color w:val="auto"/>
        </w:rPr>
        <w:tab/>
        <w:t xml:space="preserve">Centers for Disease Control and Prevention, others. Decrease in reported tuberculosis cases-United States, 2009. </w:t>
      </w:r>
      <w:r w:rsidRPr="00201160">
        <w:rPr>
          <w:i/>
          <w:iCs/>
          <w:color w:val="auto"/>
        </w:rPr>
        <w:t>MMWR Morb Mortal Wkly Rep</w:t>
      </w:r>
      <w:r w:rsidRPr="00201160">
        <w:rPr>
          <w:color w:val="auto"/>
        </w:rPr>
        <w:t xml:space="preserve"> 2010;59:289.</w:t>
      </w:r>
    </w:p>
    <w:p w14:paraId="6132CDF9" w14:textId="77777777" w:rsidR="00201160" w:rsidRPr="00201160" w:rsidRDefault="00201160" w:rsidP="00201160">
      <w:pPr>
        <w:pStyle w:val="Bibliography"/>
        <w:rPr>
          <w:color w:val="auto"/>
        </w:rPr>
      </w:pPr>
      <w:r w:rsidRPr="00201160">
        <w:rPr>
          <w:color w:val="auto"/>
        </w:rPr>
        <w:t>21.</w:t>
      </w:r>
      <w:r w:rsidRPr="00201160">
        <w:rPr>
          <w:color w:val="auto"/>
        </w:rPr>
        <w:tab/>
        <w:t xml:space="preserve">Dodd PJ, Gardiner E, Coghlan R, Seddon JA. Burden of childhood tuberculosis in 22 high-burden countries: a mathematical modelling study. </w:t>
      </w:r>
      <w:r w:rsidRPr="00201160">
        <w:rPr>
          <w:i/>
          <w:iCs/>
          <w:color w:val="auto"/>
        </w:rPr>
        <w:t>Lancet Glob Health</w:t>
      </w:r>
      <w:r w:rsidRPr="00201160">
        <w:rPr>
          <w:color w:val="auto"/>
        </w:rPr>
        <w:t xml:space="preserve"> 2014;2:e453–e459.</w:t>
      </w:r>
    </w:p>
    <w:p w14:paraId="7514BF3E" w14:textId="77777777" w:rsidR="00201160" w:rsidRPr="00201160" w:rsidRDefault="00201160" w:rsidP="00201160">
      <w:pPr>
        <w:pStyle w:val="Bibliography"/>
        <w:rPr>
          <w:color w:val="auto"/>
        </w:rPr>
      </w:pPr>
      <w:r w:rsidRPr="00201160">
        <w:rPr>
          <w:color w:val="auto"/>
        </w:rPr>
        <w:t>22.</w:t>
      </w:r>
      <w:r w:rsidRPr="00201160">
        <w:rPr>
          <w:color w:val="auto"/>
        </w:rPr>
        <w:tab/>
        <w:t xml:space="preserve">Stewart WJ. </w:t>
      </w:r>
      <w:r w:rsidRPr="00201160">
        <w:rPr>
          <w:i/>
          <w:iCs/>
          <w:color w:val="auto"/>
        </w:rPr>
        <w:t>Introduction to the numerical solution of Markov chains</w:t>
      </w:r>
      <w:r w:rsidRPr="00201160">
        <w:rPr>
          <w:color w:val="auto"/>
        </w:rPr>
        <w:t xml:space="preserve">. Princeton University Press Princeton; 1994. </w:t>
      </w:r>
    </w:p>
    <w:p w14:paraId="37F99C0B" w14:textId="77777777" w:rsidR="00201160" w:rsidRPr="00201160" w:rsidRDefault="00201160" w:rsidP="00201160">
      <w:pPr>
        <w:pStyle w:val="Bibliography"/>
        <w:rPr>
          <w:color w:val="auto"/>
        </w:rPr>
      </w:pPr>
      <w:r w:rsidRPr="00201160">
        <w:rPr>
          <w:color w:val="auto"/>
        </w:rPr>
        <w:t>23.</w:t>
      </w:r>
      <w:r w:rsidRPr="00201160">
        <w:rPr>
          <w:color w:val="auto"/>
        </w:rPr>
        <w:tab/>
        <w:t>Goussiatiner A. Godes: Open Source Library to Build Discrete Event Simulation Models in Go/Golang. 2018;at &lt;https://github.com/agoussia/godes&gt;.</w:t>
      </w:r>
    </w:p>
    <w:p w14:paraId="7DE428D6" w14:textId="77777777" w:rsidR="00201160" w:rsidRPr="00201160" w:rsidRDefault="00201160" w:rsidP="00201160">
      <w:pPr>
        <w:pStyle w:val="Bibliography"/>
        <w:rPr>
          <w:color w:val="auto"/>
        </w:rPr>
      </w:pPr>
      <w:r w:rsidRPr="00201160">
        <w:rPr>
          <w:color w:val="auto"/>
        </w:rPr>
        <w:lastRenderedPageBreak/>
        <w:t>24.</w:t>
      </w:r>
      <w:r w:rsidRPr="00201160">
        <w:rPr>
          <w:color w:val="auto"/>
        </w:rPr>
        <w:tab/>
        <w:t xml:space="preserve">Wang L, Turner M, Elwood R, Schulzer M, FitzGerald J. A meta-analysis of the effect of Bacille Calmette Guerin vaccination on tuberculin skin test measurements. </w:t>
      </w:r>
      <w:r w:rsidRPr="00201160">
        <w:rPr>
          <w:i/>
          <w:iCs/>
          <w:color w:val="auto"/>
        </w:rPr>
        <w:t>Thorax</w:t>
      </w:r>
      <w:r w:rsidRPr="00201160">
        <w:rPr>
          <w:color w:val="auto"/>
        </w:rPr>
        <w:t xml:space="preserve"> 2002;57:804–809.</w:t>
      </w:r>
    </w:p>
    <w:p w14:paraId="34FF8797" w14:textId="77777777" w:rsidR="00201160" w:rsidRPr="00201160" w:rsidRDefault="00201160" w:rsidP="00201160">
      <w:pPr>
        <w:pStyle w:val="Bibliography"/>
        <w:rPr>
          <w:color w:val="auto"/>
        </w:rPr>
      </w:pPr>
      <w:r w:rsidRPr="00201160">
        <w:rPr>
          <w:color w:val="auto"/>
        </w:rPr>
        <w:t>25.</w:t>
      </w:r>
      <w:r w:rsidRPr="00201160">
        <w:rPr>
          <w:color w:val="auto"/>
        </w:rPr>
        <w:tab/>
        <w:t xml:space="preserve">Chee CB, Gan SH, KhinMar KW, Barkham TM, Koh CK, Liang S, Wang YT. Comparison of sensitivities of two commercial gamma interferon release assays for pulmonary tuberculosis. </w:t>
      </w:r>
      <w:r w:rsidRPr="00201160">
        <w:rPr>
          <w:i/>
          <w:iCs/>
          <w:color w:val="auto"/>
        </w:rPr>
        <w:t>J Clin Microbiol</w:t>
      </w:r>
      <w:r w:rsidRPr="00201160">
        <w:rPr>
          <w:color w:val="auto"/>
        </w:rPr>
        <w:t xml:space="preserve"> 2008;46:1935–1940.</w:t>
      </w:r>
    </w:p>
    <w:p w14:paraId="4A016A6C" w14:textId="77777777" w:rsidR="00201160" w:rsidRPr="00201160" w:rsidRDefault="00201160" w:rsidP="00201160">
      <w:pPr>
        <w:pStyle w:val="Bibliography"/>
        <w:rPr>
          <w:color w:val="auto"/>
        </w:rPr>
      </w:pPr>
      <w:r w:rsidRPr="00201160">
        <w:rPr>
          <w:color w:val="auto"/>
        </w:rPr>
        <w:t>26.</w:t>
      </w:r>
      <w:r w:rsidRPr="00201160">
        <w:rPr>
          <w:color w:val="auto"/>
        </w:rPr>
        <w:tab/>
        <w:t xml:space="preserve">Harada N, Higuchi K, Yoshiyama T, Kawabe Y, Fujita A, Sasaki Y, Horiba M, Mitarai S, Yonemaru M, Ogata H, others. Comparison of the sensitivity and specificity of two whole blood interferon-gamma assays for M. tuberculosis infection. </w:t>
      </w:r>
      <w:r w:rsidRPr="00201160">
        <w:rPr>
          <w:i/>
          <w:iCs/>
          <w:color w:val="auto"/>
        </w:rPr>
        <w:t>J Infect</w:t>
      </w:r>
      <w:r w:rsidRPr="00201160">
        <w:rPr>
          <w:color w:val="auto"/>
        </w:rPr>
        <w:t xml:space="preserve"> 2008;56:348–353.</w:t>
      </w:r>
    </w:p>
    <w:p w14:paraId="335C7E69" w14:textId="77777777" w:rsidR="00201160" w:rsidRPr="00201160" w:rsidRDefault="00201160" w:rsidP="00201160">
      <w:pPr>
        <w:pStyle w:val="Bibliography"/>
        <w:rPr>
          <w:color w:val="auto"/>
        </w:rPr>
      </w:pPr>
      <w:r w:rsidRPr="00201160">
        <w:rPr>
          <w:color w:val="auto"/>
        </w:rPr>
        <w:t>27.</w:t>
      </w:r>
      <w:r w:rsidRPr="00201160">
        <w:rPr>
          <w:color w:val="auto"/>
        </w:rPr>
        <w:tab/>
        <w:t xml:space="preserve">Lee J, Choi H, Park I, Hong S, Oh Y, Lim C, Lee S, Koh Y, Kim W, Kim D, others. Comparison of two commercial interferon-γ assays for diagnosing Mycobacterium tuberculosis infection. </w:t>
      </w:r>
      <w:r w:rsidRPr="00201160">
        <w:rPr>
          <w:i/>
          <w:iCs/>
          <w:color w:val="auto"/>
        </w:rPr>
        <w:t>Eur Respir J</w:t>
      </w:r>
      <w:r w:rsidRPr="00201160">
        <w:rPr>
          <w:color w:val="auto"/>
        </w:rPr>
        <w:t xml:space="preserve"> 2006;28:24–30.</w:t>
      </w:r>
    </w:p>
    <w:p w14:paraId="7E6A5F6D" w14:textId="77777777" w:rsidR="00201160" w:rsidRPr="00201160" w:rsidRDefault="00201160" w:rsidP="00201160">
      <w:pPr>
        <w:pStyle w:val="Bibliography"/>
        <w:rPr>
          <w:color w:val="auto"/>
        </w:rPr>
      </w:pPr>
      <w:r w:rsidRPr="00201160">
        <w:rPr>
          <w:color w:val="auto"/>
        </w:rPr>
        <w:t>28.</w:t>
      </w:r>
      <w:r w:rsidRPr="00201160">
        <w:rPr>
          <w:color w:val="auto"/>
        </w:rPr>
        <w:tab/>
        <w:t xml:space="preserve">Aichelburg MC, Rieger A, Breitenecker F, Pfistershammer K, Tittes J, Eltz S, Aichelburg AC, Stingl G, Makristathis A, Kohrgruber N. Detection and prediction of active tuberculosis disease by a whole-blood interferon-γ release assay in HIV-1–infected individuals. </w:t>
      </w:r>
      <w:r w:rsidRPr="00201160">
        <w:rPr>
          <w:i/>
          <w:iCs/>
          <w:color w:val="auto"/>
        </w:rPr>
        <w:t>Clin Infect Dis</w:t>
      </w:r>
      <w:r w:rsidRPr="00201160">
        <w:rPr>
          <w:color w:val="auto"/>
        </w:rPr>
        <w:t xml:space="preserve"> 2009;48:954–962.</w:t>
      </w:r>
    </w:p>
    <w:p w14:paraId="51DBDE45" w14:textId="77777777" w:rsidR="00201160" w:rsidRPr="00201160" w:rsidRDefault="00201160" w:rsidP="00201160">
      <w:pPr>
        <w:pStyle w:val="Bibliography"/>
        <w:rPr>
          <w:color w:val="auto"/>
        </w:rPr>
      </w:pPr>
      <w:r w:rsidRPr="00201160">
        <w:rPr>
          <w:color w:val="auto"/>
        </w:rPr>
        <w:t>29.</w:t>
      </w:r>
      <w:r w:rsidRPr="00201160">
        <w:rPr>
          <w:color w:val="auto"/>
        </w:rPr>
        <w:tab/>
        <w:t xml:space="preserve">Ruhwald M, Bodmer T, Maier C, Jepsen M, Haaland M, Eugen-Olsen J, Ravn P, others. Evaluating the potential of IP-10 and MCP-2 as biomarkers for the diagnosis of tuberculosis. </w:t>
      </w:r>
      <w:r w:rsidRPr="00201160">
        <w:rPr>
          <w:i/>
          <w:iCs/>
          <w:color w:val="auto"/>
        </w:rPr>
        <w:t>Eur Respir J</w:t>
      </w:r>
      <w:r w:rsidRPr="00201160">
        <w:rPr>
          <w:color w:val="auto"/>
        </w:rPr>
        <w:t xml:space="preserve"> 2008;32:1607–1615.</w:t>
      </w:r>
    </w:p>
    <w:p w14:paraId="7AEAD8B3" w14:textId="77777777" w:rsidR="00201160" w:rsidRPr="00201160" w:rsidRDefault="00201160" w:rsidP="00201160">
      <w:pPr>
        <w:pStyle w:val="Bibliography"/>
        <w:rPr>
          <w:color w:val="auto"/>
        </w:rPr>
      </w:pPr>
      <w:r w:rsidRPr="00201160">
        <w:rPr>
          <w:color w:val="auto"/>
        </w:rPr>
        <w:t>30.</w:t>
      </w:r>
      <w:r w:rsidRPr="00201160">
        <w:rPr>
          <w:color w:val="auto"/>
        </w:rPr>
        <w:tab/>
        <w:t xml:space="preserve">Palazzo R, Spensieri F, Massari M, Fedele G, Frasca L, Carrara S, Goletti D, Ausiello CM. In-house bulk and single cell antigen-specific whole blood Interferon-gamma assays for surveillance of M. tuberculosis infection. </w:t>
      </w:r>
      <w:r w:rsidRPr="00201160">
        <w:rPr>
          <w:i/>
          <w:iCs/>
          <w:color w:val="auto"/>
        </w:rPr>
        <w:t>Clin Vaccine Immunol</w:t>
      </w:r>
      <w:r w:rsidRPr="00201160">
        <w:rPr>
          <w:color w:val="auto"/>
        </w:rPr>
        <w:t xml:space="preserve"> 2007;</w:t>
      </w:r>
    </w:p>
    <w:p w14:paraId="1E8850DA" w14:textId="77777777" w:rsidR="00201160" w:rsidRPr="00201160" w:rsidRDefault="00201160" w:rsidP="00201160">
      <w:pPr>
        <w:pStyle w:val="Bibliography"/>
        <w:rPr>
          <w:color w:val="auto"/>
        </w:rPr>
      </w:pPr>
      <w:r w:rsidRPr="00201160">
        <w:rPr>
          <w:color w:val="auto"/>
        </w:rPr>
        <w:t>31.</w:t>
      </w:r>
      <w:r w:rsidRPr="00201160">
        <w:rPr>
          <w:color w:val="auto"/>
        </w:rPr>
        <w:tab/>
        <w:t xml:space="preserve">Oxlade O, Schwartzman K, Menzies D. Interferon-gamma release assays and TB screening in high-income countries: a cost-effectiveness analysis. </w:t>
      </w:r>
      <w:r w:rsidRPr="00201160">
        <w:rPr>
          <w:i/>
          <w:iCs/>
          <w:color w:val="auto"/>
        </w:rPr>
        <w:t>Int J Tuberc Lung Dis</w:t>
      </w:r>
      <w:r w:rsidRPr="00201160">
        <w:rPr>
          <w:color w:val="auto"/>
        </w:rPr>
        <w:t xml:space="preserve"> 2007;11:16–26.</w:t>
      </w:r>
    </w:p>
    <w:p w14:paraId="6E927E8E" w14:textId="77777777" w:rsidR="00201160" w:rsidRPr="00201160" w:rsidRDefault="00201160" w:rsidP="00201160">
      <w:pPr>
        <w:pStyle w:val="Bibliography"/>
        <w:rPr>
          <w:color w:val="auto"/>
        </w:rPr>
      </w:pPr>
      <w:r w:rsidRPr="00201160">
        <w:rPr>
          <w:color w:val="auto"/>
        </w:rPr>
        <w:t>32.</w:t>
      </w:r>
      <w:r w:rsidRPr="00201160">
        <w:rPr>
          <w:color w:val="auto"/>
        </w:rPr>
        <w:tab/>
        <w:t xml:space="preserve">Diel R, Goletti D, Ferrara G, Bothamley G, Cirillo D, Kampmann B, Lange C, Losi M, Markova R, Migliori GB, Nienhaus A, Ruhwald M, Wagner D, Zellweger JP, Huitric E, Sandgren A, Manissero D. Interferon-γ release assays for the diagnosis of latent Mycobacterium tuberculosis infection: a systematic review and meta-analysis. </w:t>
      </w:r>
      <w:r w:rsidRPr="00201160">
        <w:rPr>
          <w:i/>
          <w:iCs/>
          <w:color w:val="auto"/>
        </w:rPr>
        <w:t>Eur Respir J</w:t>
      </w:r>
      <w:r w:rsidRPr="00201160">
        <w:rPr>
          <w:color w:val="auto"/>
        </w:rPr>
        <w:t xml:space="preserve"> 2011;37:88–99.</w:t>
      </w:r>
    </w:p>
    <w:p w14:paraId="050DF2BE" w14:textId="77777777" w:rsidR="00201160" w:rsidRPr="00201160" w:rsidRDefault="00201160" w:rsidP="00201160">
      <w:pPr>
        <w:pStyle w:val="Bibliography"/>
        <w:rPr>
          <w:color w:val="auto"/>
        </w:rPr>
      </w:pPr>
      <w:r w:rsidRPr="00201160">
        <w:rPr>
          <w:color w:val="auto"/>
        </w:rPr>
        <w:lastRenderedPageBreak/>
        <w:t>33.</w:t>
      </w:r>
      <w:r w:rsidRPr="00201160">
        <w:rPr>
          <w:color w:val="auto"/>
        </w:rPr>
        <w:tab/>
        <w:t xml:space="preserve">Detjen A, Keil T, Roll S, Hauer B, Mauch H, Wahn U, Magdorf K. Interferon-γ release assays improve the diagnosis of tuberculosis and nontuberculous mycobacterial disease in children in a country with a low incidence of tuberculosis. </w:t>
      </w:r>
      <w:r w:rsidRPr="00201160">
        <w:rPr>
          <w:i/>
          <w:iCs/>
          <w:color w:val="auto"/>
        </w:rPr>
        <w:t>Clin Infect Dis</w:t>
      </w:r>
      <w:r w:rsidRPr="00201160">
        <w:rPr>
          <w:color w:val="auto"/>
        </w:rPr>
        <w:t xml:space="preserve"> 2007;45:322–328.</w:t>
      </w:r>
    </w:p>
    <w:p w14:paraId="03261EE5" w14:textId="77777777" w:rsidR="00201160" w:rsidRPr="00201160" w:rsidRDefault="00201160" w:rsidP="00201160">
      <w:pPr>
        <w:pStyle w:val="Bibliography"/>
        <w:rPr>
          <w:color w:val="auto"/>
        </w:rPr>
      </w:pPr>
      <w:r w:rsidRPr="00201160">
        <w:rPr>
          <w:color w:val="auto"/>
        </w:rPr>
        <w:t>34.</w:t>
      </w:r>
      <w:r w:rsidRPr="00201160">
        <w:rPr>
          <w:color w:val="auto"/>
        </w:rPr>
        <w:tab/>
        <w:t xml:space="preserve">Bartu V, Havelkova M, Kopecka E. QuantiFERON®-TB Gold in the diagnosis of active tuberculosis. </w:t>
      </w:r>
      <w:r w:rsidRPr="00201160">
        <w:rPr>
          <w:i/>
          <w:iCs/>
          <w:color w:val="auto"/>
        </w:rPr>
        <w:t>J Int Med Res</w:t>
      </w:r>
      <w:r w:rsidRPr="00201160">
        <w:rPr>
          <w:color w:val="auto"/>
        </w:rPr>
        <w:t xml:space="preserve"> 2008;36:434–437.</w:t>
      </w:r>
    </w:p>
    <w:p w14:paraId="687BEFAF" w14:textId="77777777" w:rsidR="00201160" w:rsidRPr="00201160" w:rsidRDefault="00201160" w:rsidP="00201160">
      <w:pPr>
        <w:pStyle w:val="Bibliography"/>
        <w:rPr>
          <w:color w:val="auto"/>
        </w:rPr>
      </w:pPr>
      <w:r w:rsidRPr="00201160">
        <w:rPr>
          <w:color w:val="auto"/>
        </w:rPr>
        <w:t>35.</w:t>
      </w:r>
      <w:r w:rsidRPr="00201160">
        <w:rPr>
          <w:color w:val="auto"/>
        </w:rPr>
        <w:tab/>
        <w:t xml:space="preserve">Tsiouris SJ, Coetzee D, Toro PL, Austin J, Stein Z, El-Sadr W. Sensitivity analysis and potential uses of a novel gamma interferon release assay for diagnosis of tuberculosis. </w:t>
      </w:r>
      <w:r w:rsidRPr="00201160">
        <w:rPr>
          <w:i/>
          <w:iCs/>
          <w:color w:val="auto"/>
        </w:rPr>
        <w:t>J Clin Microbiol</w:t>
      </w:r>
      <w:r w:rsidRPr="00201160">
        <w:rPr>
          <w:color w:val="auto"/>
        </w:rPr>
        <w:t xml:space="preserve"> 2006;44:2844–2850.</w:t>
      </w:r>
    </w:p>
    <w:p w14:paraId="75A70B21" w14:textId="77777777" w:rsidR="00201160" w:rsidRPr="00201160" w:rsidRDefault="00201160" w:rsidP="00201160">
      <w:pPr>
        <w:pStyle w:val="Bibliography"/>
        <w:rPr>
          <w:color w:val="auto"/>
        </w:rPr>
      </w:pPr>
      <w:r w:rsidRPr="00201160">
        <w:rPr>
          <w:color w:val="auto"/>
        </w:rPr>
        <w:t>36.</w:t>
      </w:r>
      <w:r w:rsidRPr="00201160">
        <w:rPr>
          <w:color w:val="auto"/>
        </w:rPr>
        <w:tab/>
        <w:t xml:space="preserve">Pai M, Zwerling A, Menzies D. Systematic review: T-cell–based assays for the diagnosis of latent tuberculosis infection: an update. </w:t>
      </w:r>
      <w:r w:rsidRPr="00201160">
        <w:rPr>
          <w:i/>
          <w:iCs/>
          <w:color w:val="auto"/>
        </w:rPr>
        <w:t>Ann Intern Med</w:t>
      </w:r>
      <w:r w:rsidRPr="00201160">
        <w:rPr>
          <w:color w:val="auto"/>
        </w:rPr>
        <w:t xml:space="preserve"> 2008;149:177–184.</w:t>
      </w:r>
    </w:p>
    <w:p w14:paraId="2462D9D1" w14:textId="77777777" w:rsidR="00201160" w:rsidRPr="00201160" w:rsidRDefault="00201160" w:rsidP="00201160">
      <w:pPr>
        <w:pStyle w:val="Bibliography"/>
        <w:rPr>
          <w:color w:val="auto"/>
        </w:rPr>
      </w:pPr>
      <w:r w:rsidRPr="00201160">
        <w:rPr>
          <w:color w:val="auto"/>
        </w:rPr>
        <w:t>37.</w:t>
      </w:r>
      <w:r w:rsidRPr="00201160">
        <w:rPr>
          <w:color w:val="auto"/>
        </w:rPr>
        <w:tab/>
        <w:t>Mazurek GH, Jereb JA, Vernon A, LoBue P, Goldberg S, Castro KG, Committee IE, Control C for D, (CDC) P, others. Updated guidelines for using interferon gamma release assays to detect Mycobacterium tuberculosis infection, United States, 2010. 2010;</w:t>
      </w:r>
    </w:p>
    <w:p w14:paraId="7F4ADEE5" w14:textId="77777777" w:rsidR="00201160" w:rsidRPr="00201160" w:rsidRDefault="00201160" w:rsidP="00201160">
      <w:pPr>
        <w:pStyle w:val="Bibliography"/>
        <w:rPr>
          <w:color w:val="auto"/>
        </w:rPr>
      </w:pPr>
      <w:r w:rsidRPr="00201160">
        <w:rPr>
          <w:color w:val="auto"/>
        </w:rPr>
        <w:t>38.</w:t>
      </w:r>
      <w:r w:rsidRPr="00201160">
        <w:rPr>
          <w:color w:val="auto"/>
        </w:rPr>
        <w:tab/>
        <w:t xml:space="preserve">Santin M, Munoz L, Rigau D. Interferon-γ release assays for the diagnosis of tuberculosis and tuberculosis infection in HIV-infected adults: a systematic review and meta-analysis. </w:t>
      </w:r>
      <w:r w:rsidRPr="00201160">
        <w:rPr>
          <w:i/>
          <w:iCs/>
          <w:color w:val="auto"/>
        </w:rPr>
        <w:t>PloS One</w:t>
      </w:r>
      <w:r w:rsidRPr="00201160">
        <w:rPr>
          <w:color w:val="auto"/>
        </w:rPr>
        <w:t xml:space="preserve"> 2012;7:e32482.</w:t>
      </w:r>
    </w:p>
    <w:p w14:paraId="7655EB54" w14:textId="77777777" w:rsidR="00201160" w:rsidRPr="00201160" w:rsidRDefault="00201160" w:rsidP="00201160">
      <w:pPr>
        <w:pStyle w:val="Bibliography"/>
        <w:rPr>
          <w:color w:val="auto"/>
        </w:rPr>
      </w:pPr>
      <w:r w:rsidRPr="00201160">
        <w:rPr>
          <w:color w:val="auto"/>
        </w:rPr>
        <w:t>39.</w:t>
      </w:r>
      <w:r w:rsidRPr="00201160">
        <w:rPr>
          <w:color w:val="auto"/>
        </w:rPr>
        <w:tab/>
        <w:t xml:space="preserve">Sester U, Junker H, Hodapp T, Schütz A, Thiele B, Meyerhans A, Köhler H, Sester M. Improved efficiency in detecting cellular immunity towards M. tuberculosis in patients receiving immunosuppressive drug therapy. </w:t>
      </w:r>
      <w:r w:rsidRPr="00201160">
        <w:rPr>
          <w:i/>
          <w:iCs/>
          <w:color w:val="auto"/>
        </w:rPr>
        <w:t>Nephrol Dial Transplant</w:t>
      </w:r>
      <w:r w:rsidRPr="00201160">
        <w:rPr>
          <w:color w:val="auto"/>
        </w:rPr>
        <w:t xml:space="preserve"> 2006;21:3258–3268.</w:t>
      </w:r>
    </w:p>
    <w:p w14:paraId="5931E455" w14:textId="77777777" w:rsidR="00201160" w:rsidRPr="00201160" w:rsidRDefault="00201160" w:rsidP="00201160">
      <w:pPr>
        <w:pStyle w:val="Bibliography"/>
        <w:rPr>
          <w:color w:val="auto"/>
        </w:rPr>
      </w:pPr>
      <w:r w:rsidRPr="00201160">
        <w:rPr>
          <w:color w:val="auto"/>
        </w:rPr>
        <w:t>40.</w:t>
      </w:r>
      <w:r w:rsidRPr="00201160">
        <w:rPr>
          <w:color w:val="auto"/>
        </w:rPr>
        <w:tab/>
        <w:t xml:space="preserve">California Health Interveiw Survey. </w:t>
      </w:r>
      <w:r w:rsidRPr="00201160">
        <w:rPr>
          <w:i/>
          <w:iCs/>
          <w:color w:val="auto"/>
        </w:rPr>
        <w:t>CHIS 2001, 2003, 2007, 2011, 2014 Adult Public Use File. [computer file].</w:t>
      </w:r>
      <w:r w:rsidRPr="00201160">
        <w:rPr>
          <w:color w:val="auto"/>
        </w:rPr>
        <w:t xml:space="preserve"> Los Angeles, CA: UCLA Center for Health Policy Research; 2015. </w:t>
      </w:r>
    </w:p>
    <w:p w14:paraId="6A118398" w14:textId="77777777" w:rsidR="00201160" w:rsidRPr="00201160" w:rsidRDefault="00201160" w:rsidP="00201160">
      <w:pPr>
        <w:pStyle w:val="Bibliography"/>
        <w:rPr>
          <w:color w:val="auto"/>
        </w:rPr>
      </w:pPr>
      <w:r w:rsidRPr="00201160">
        <w:rPr>
          <w:color w:val="auto"/>
        </w:rPr>
        <w:t>41.</w:t>
      </w:r>
      <w:r w:rsidRPr="00201160">
        <w:rPr>
          <w:color w:val="auto"/>
        </w:rPr>
        <w:tab/>
        <w:t xml:space="preserve">Centers for Disease Control and Prevention. </w:t>
      </w:r>
      <w:r w:rsidRPr="00201160">
        <w:rPr>
          <w:i/>
          <w:iCs/>
          <w:color w:val="auto"/>
        </w:rPr>
        <w:t>Behavioral Risk Factor Surveillance System Survey Data</w:t>
      </w:r>
      <w:r w:rsidRPr="00201160">
        <w:rPr>
          <w:color w:val="auto"/>
        </w:rPr>
        <w:t>. Atlanta, GA: Department of Health and Human Services; 2001. at &lt;https://www.cdc.gov/brfss/&gt;.</w:t>
      </w:r>
    </w:p>
    <w:p w14:paraId="3CF23B94" w14:textId="77777777" w:rsidR="00201160" w:rsidRPr="00201160" w:rsidRDefault="00201160" w:rsidP="00201160">
      <w:pPr>
        <w:pStyle w:val="Bibliography"/>
        <w:rPr>
          <w:color w:val="auto"/>
        </w:rPr>
      </w:pPr>
      <w:r w:rsidRPr="00201160">
        <w:rPr>
          <w:color w:val="auto"/>
        </w:rPr>
        <w:t>42.</w:t>
      </w:r>
      <w:r w:rsidRPr="00201160">
        <w:rPr>
          <w:color w:val="auto"/>
        </w:rPr>
        <w:tab/>
        <w:t xml:space="preserve">Dobler CC, Flack JR, Marks GB. Risk of tuberculosis among people with diabetes mellitus: an Australian nationwide cohort study. </w:t>
      </w:r>
      <w:r w:rsidRPr="00201160">
        <w:rPr>
          <w:i/>
          <w:iCs/>
          <w:color w:val="auto"/>
        </w:rPr>
        <w:t>BMJ Open</w:t>
      </w:r>
      <w:r w:rsidRPr="00201160">
        <w:rPr>
          <w:color w:val="auto"/>
        </w:rPr>
        <w:t xml:space="preserve"> 2012;2:e000666.</w:t>
      </w:r>
    </w:p>
    <w:p w14:paraId="33E4830B" w14:textId="77777777" w:rsidR="00201160" w:rsidRPr="00201160" w:rsidRDefault="00201160" w:rsidP="00201160">
      <w:pPr>
        <w:pStyle w:val="Bibliography"/>
        <w:rPr>
          <w:color w:val="auto"/>
        </w:rPr>
      </w:pPr>
      <w:r w:rsidRPr="00201160">
        <w:rPr>
          <w:color w:val="auto"/>
        </w:rPr>
        <w:t>43.</w:t>
      </w:r>
      <w:r w:rsidRPr="00201160">
        <w:rPr>
          <w:color w:val="auto"/>
        </w:rPr>
        <w:tab/>
        <w:t xml:space="preserve">Smith GS, Van Den Eeden SK, Baxter R, Shan J, Van Rie A, Herring AH, Richardson DB, Emch M, Gammon MD. Cigarette smoking and pulmonary tuberculosis in northern California. </w:t>
      </w:r>
      <w:r w:rsidRPr="00201160">
        <w:rPr>
          <w:i/>
          <w:iCs/>
          <w:color w:val="auto"/>
        </w:rPr>
        <w:t>J Epidemiol Community Health</w:t>
      </w:r>
      <w:r w:rsidRPr="00201160">
        <w:rPr>
          <w:color w:val="auto"/>
        </w:rPr>
        <w:t xml:space="preserve"> 2015;69:568–573.</w:t>
      </w:r>
    </w:p>
    <w:p w14:paraId="60841483" w14:textId="77777777" w:rsidR="00201160" w:rsidRPr="00201160" w:rsidRDefault="00201160" w:rsidP="00201160">
      <w:pPr>
        <w:pStyle w:val="Bibliography"/>
        <w:rPr>
          <w:color w:val="auto"/>
        </w:rPr>
      </w:pPr>
      <w:r w:rsidRPr="00201160">
        <w:rPr>
          <w:color w:val="auto"/>
        </w:rPr>
        <w:t>44.</w:t>
      </w:r>
      <w:r w:rsidRPr="00201160">
        <w:rPr>
          <w:color w:val="auto"/>
        </w:rPr>
        <w:tab/>
        <w:t xml:space="preserve">Hall HI, An Q, Tang T, Song R, Chen M, Green T, Kang J. Prevalence of diagnosed and undiagnosed HIV infection-United States, 2008–2012. </w:t>
      </w:r>
      <w:r w:rsidRPr="00201160">
        <w:rPr>
          <w:i/>
          <w:iCs/>
          <w:color w:val="auto"/>
        </w:rPr>
        <w:t>MMWR Morb Mortal Wkly Rep</w:t>
      </w:r>
      <w:r w:rsidRPr="00201160">
        <w:rPr>
          <w:color w:val="auto"/>
        </w:rPr>
        <w:t xml:space="preserve"> 2015;64:657–62.</w:t>
      </w:r>
    </w:p>
    <w:p w14:paraId="4613C56C" w14:textId="77777777" w:rsidR="00201160" w:rsidRPr="00201160" w:rsidRDefault="00201160" w:rsidP="00201160">
      <w:pPr>
        <w:pStyle w:val="Bibliography"/>
        <w:rPr>
          <w:color w:val="auto"/>
        </w:rPr>
      </w:pPr>
      <w:r w:rsidRPr="00201160">
        <w:rPr>
          <w:color w:val="auto"/>
        </w:rPr>
        <w:lastRenderedPageBreak/>
        <w:t>45.</w:t>
      </w:r>
      <w:r w:rsidRPr="00201160">
        <w:rPr>
          <w:color w:val="auto"/>
        </w:rPr>
        <w:tab/>
        <w:t xml:space="preserve">Zolopa AR, Hahn JA, Gorter R, Miranda J, Wlodarczyk D, Peterson J, Pilote L, Moss AR. HIV and tuberculosis infection in San Francisco’s homeless adults: prevalence and risk factors in a representative sample. </w:t>
      </w:r>
      <w:r w:rsidRPr="00201160">
        <w:rPr>
          <w:i/>
          <w:iCs/>
          <w:color w:val="auto"/>
        </w:rPr>
        <w:t>Jama</w:t>
      </w:r>
      <w:r w:rsidRPr="00201160">
        <w:rPr>
          <w:color w:val="auto"/>
        </w:rPr>
        <w:t xml:space="preserve"> 1994;272:455–461.</w:t>
      </w:r>
    </w:p>
    <w:p w14:paraId="7F89A648" w14:textId="77777777" w:rsidR="00201160" w:rsidRPr="00201160" w:rsidRDefault="00201160" w:rsidP="00201160">
      <w:pPr>
        <w:pStyle w:val="Bibliography"/>
        <w:rPr>
          <w:color w:val="auto"/>
        </w:rPr>
      </w:pPr>
      <w:r w:rsidRPr="00201160">
        <w:rPr>
          <w:color w:val="auto"/>
        </w:rPr>
        <w:t>46.</w:t>
      </w:r>
      <w:r w:rsidRPr="00201160">
        <w:rPr>
          <w:color w:val="auto"/>
        </w:rPr>
        <w:tab/>
        <w:t xml:space="preserve">Kappelman MD, Rifas–Shiman SL, Kleinman K, Ollendorf D, Bousvaros A, Grand RJ, Finkelstein JA. The prevalence and geographic distribution of Crohn’s disease and ulcerative colitis in the United States. </w:t>
      </w:r>
      <w:r w:rsidRPr="00201160">
        <w:rPr>
          <w:i/>
          <w:iCs/>
          <w:color w:val="auto"/>
        </w:rPr>
        <w:t>Clin Gastroenterol Hepatol</w:t>
      </w:r>
      <w:r w:rsidRPr="00201160">
        <w:rPr>
          <w:color w:val="auto"/>
        </w:rPr>
        <w:t xml:space="preserve"> 2007;5:1424–1429.</w:t>
      </w:r>
    </w:p>
    <w:p w14:paraId="5EBD277E" w14:textId="77777777" w:rsidR="00201160" w:rsidRPr="00201160" w:rsidRDefault="00201160" w:rsidP="00201160">
      <w:pPr>
        <w:pStyle w:val="Bibliography"/>
        <w:rPr>
          <w:color w:val="auto"/>
        </w:rPr>
      </w:pPr>
      <w:r w:rsidRPr="00201160">
        <w:rPr>
          <w:color w:val="auto"/>
        </w:rPr>
        <w:t>47.</w:t>
      </w:r>
      <w:r w:rsidRPr="00201160">
        <w:rPr>
          <w:color w:val="auto"/>
        </w:rPr>
        <w:tab/>
        <w:t xml:space="preserve">Kappelman MD, Rifas–Shiman SL, Porter CQ, Ollendorf DA, Sandler RS, Galanko JA, Finkelstein JA. Direct health care costs of Crohn’s disease and ulcerative colitis in US children and adults. </w:t>
      </w:r>
      <w:r w:rsidRPr="00201160">
        <w:rPr>
          <w:i/>
          <w:iCs/>
          <w:color w:val="auto"/>
        </w:rPr>
        <w:t>Gastroenterology</w:t>
      </w:r>
      <w:r w:rsidRPr="00201160">
        <w:rPr>
          <w:color w:val="auto"/>
        </w:rPr>
        <w:t xml:space="preserve"> 2008;135:1907–1913.</w:t>
      </w:r>
    </w:p>
    <w:p w14:paraId="19A0F90C" w14:textId="77777777" w:rsidR="00201160" w:rsidRPr="00201160" w:rsidRDefault="00201160" w:rsidP="00201160">
      <w:pPr>
        <w:pStyle w:val="Bibliography"/>
        <w:rPr>
          <w:color w:val="auto"/>
        </w:rPr>
      </w:pPr>
      <w:r w:rsidRPr="00201160">
        <w:rPr>
          <w:color w:val="auto"/>
        </w:rPr>
        <w:t>48.</w:t>
      </w:r>
      <w:r w:rsidRPr="00201160">
        <w:rPr>
          <w:color w:val="auto"/>
        </w:rPr>
        <w:tab/>
        <w:t xml:space="preserve">Karve S, Candrilli S, Kappelman MD, Tolleson-Rinehart S, Tennis P, Andrews E. Healthcare utilization and comorbidity burden among children and young adults in the United States with systemic lupus erythematosus or inflammatory bowel disease. </w:t>
      </w:r>
      <w:r w:rsidRPr="00201160">
        <w:rPr>
          <w:i/>
          <w:iCs/>
          <w:color w:val="auto"/>
        </w:rPr>
        <w:t>J Pediatr</w:t>
      </w:r>
      <w:r w:rsidRPr="00201160">
        <w:rPr>
          <w:color w:val="auto"/>
        </w:rPr>
        <w:t xml:space="preserve"> 2012;161:662–670.</w:t>
      </w:r>
    </w:p>
    <w:p w14:paraId="4F7F06E4" w14:textId="77777777" w:rsidR="00201160" w:rsidRPr="00201160" w:rsidRDefault="00201160" w:rsidP="00201160">
      <w:pPr>
        <w:pStyle w:val="Bibliography"/>
        <w:rPr>
          <w:color w:val="auto"/>
        </w:rPr>
      </w:pPr>
      <w:r w:rsidRPr="00201160">
        <w:rPr>
          <w:color w:val="auto"/>
        </w:rPr>
        <w:t>49.</w:t>
      </w:r>
      <w:r w:rsidRPr="00201160">
        <w:rPr>
          <w:color w:val="auto"/>
        </w:rPr>
        <w:tab/>
        <w:t xml:space="preserve">Zhang J, Xie F, Delzell E, Chen L, Kilgore ML, Yun H, Saag KG, Lewis JD, Curtis JR. Trends in the use of biologic agents among rheumatoid arthritis patients enrolled in the US Medicare program. </w:t>
      </w:r>
      <w:r w:rsidRPr="00201160">
        <w:rPr>
          <w:i/>
          <w:iCs/>
          <w:color w:val="auto"/>
        </w:rPr>
        <w:t>Arthritis Care Res</w:t>
      </w:r>
      <w:r w:rsidRPr="00201160">
        <w:rPr>
          <w:color w:val="auto"/>
        </w:rPr>
        <w:t xml:space="preserve"> 2013;65:1743–1751.</w:t>
      </w:r>
    </w:p>
    <w:p w14:paraId="5738483F" w14:textId="77777777" w:rsidR="00201160" w:rsidRPr="00201160" w:rsidRDefault="00201160" w:rsidP="00201160">
      <w:pPr>
        <w:pStyle w:val="Bibliography"/>
        <w:rPr>
          <w:color w:val="auto"/>
        </w:rPr>
      </w:pPr>
      <w:r w:rsidRPr="00201160">
        <w:rPr>
          <w:color w:val="auto"/>
        </w:rPr>
        <w:t>50.</w:t>
      </w:r>
      <w:r w:rsidRPr="00201160">
        <w:rPr>
          <w:color w:val="auto"/>
        </w:rPr>
        <w:tab/>
        <w:t xml:space="preserve">Rasch EK, Hirsch R, Paulose-Ram R, Hochberg MC. Prevalence of rheumatoid arthritis in persons 60 years of age and older in the United States: effect of different methods of case classification. </w:t>
      </w:r>
      <w:r w:rsidRPr="00201160">
        <w:rPr>
          <w:i/>
          <w:iCs/>
          <w:color w:val="auto"/>
        </w:rPr>
        <w:t>Arthritis Rheum</w:t>
      </w:r>
      <w:r w:rsidRPr="00201160">
        <w:rPr>
          <w:color w:val="auto"/>
        </w:rPr>
        <w:t xml:space="preserve"> 2003;48:917–926.</w:t>
      </w:r>
    </w:p>
    <w:p w14:paraId="2538768D" w14:textId="77777777" w:rsidR="00201160" w:rsidRPr="00201160" w:rsidRDefault="00201160" w:rsidP="00201160">
      <w:pPr>
        <w:pStyle w:val="Bibliography"/>
        <w:rPr>
          <w:color w:val="auto"/>
        </w:rPr>
      </w:pPr>
      <w:r w:rsidRPr="00201160">
        <w:rPr>
          <w:color w:val="auto"/>
        </w:rPr>
        <w:t>51.</w:t>
      </w:r>
      <w:r w:rsidRPr="00201160">
        <w:rPr>
          <w:color w:val="auto"/>
        </w:rPr>
        <w:tab/>
        <w:t xml:space="preserve">Cross M, Smith E, Hoy D, Carmona L, Wolfe F, Vos T, Williams B, Gabriel S, Lassere M, Johns N, others. The global burden of rheumatoid arthritis: estimates from the Global Burden of Disease 2010 study. </w:t>
      </w:r>
      <w:r w:rsidRPr="00201160">
        <w:rPr>
          <w:i/>
          <w:iCs/>
          <w:color w:val="auto"/>
        </w:rPr>
        <w:t>Ann Rheum Dis</w:t>
      </w:r>
      <w:r w:rsidRPr="00201160">
        <w:rPr>
          <w:color w:val="auto"/>
        </w:rPr>
        <w:t xml:space="preserve"> 2014;73:1316–1322.</w:t>
      </w:r>
    </w:p>
    <w:p w14:paraId="0228B4A7" w14:textId="77777777" w:rsidR="00201160" w:rsidRPr="00201160" w:rsidRDefault="00201160" w:rsidP="00201160">
      <w:pPr>
        <w:pStyle w:val="Bibliography"/>
        <w:rPr>
          <w:color w:val="auto"/>
        </w:rPr>
      </w:pPr>
      <w:r w:rsidRPr="00201160">
        <w:rPr>
          <w:color w:val="auto"/>
        </w:rPr>
        <w:t>52.</w:t>
      </w:r>
      <w:r w:rsidRPr="00201160">
        <w:rPr>
          <w:color w:val="auto"/>
        </w:rPr>
        <w:tab/>
        <w:t xml:space="preserve">US Department of Health and Human Services. Organ procurement and transplantation network. </w:t>
      </w:r>
      <w:r w:rsidRPr="00201160">
        <w:rPr>
          <w:i/>
          <w:iCs/>
          <w:color w:val="auto"/>
        </w:rPr>
        <w:t>Organ Procure Transplant Netw</w:t>
      </w:r>
      <w:r w:rsidRPr="00201160">
        <w:rPr>
          <w:color w:val="auto"/>
        </w:rPr>
        <w:t xml:space="preserve"> 2014;</w:t>
      </w:r>
    </w:p>
    <w:p w14:paraId="6EA70B56" w14:textId="77777777" w:rsidR="00201160" w:rsidRPr="00201160" w:rsidRDefault="00201160" w:rsidP="00201160">
      <w:pPr>
        <w:pStyle w:val="Bibliography"/>
        <w:rPr>
          <w:color w:val="auto"/>
        </w:rPr>
      </w:pPr>
      <w:r w:rsidRPr="00201160">
        <w:rPr>
          <w:color w:val="auto"/>
        </w:rPr>
        <w:t>53.</w:t>
      </w:r>
      <w:r w:rsidRPr="00201160">
        <w:rPr>
          <w:color w:val="auto"/>
        </w:rPr>
        <w:tab/>
        <w:t xml:space="preserve">Chen C-H, Lian J-D, Cheng C-H, Wu M-J, Lee W-C, Shu K-H. Mycobacterium tuberculosis infection following renal transplantation in Taiwan. </w:t>
      </w:r>
      <w:r w:rsidRPr="00201160">
        <w:rPr>
          <w:i/>
          <w:iCs/>
          <w:color w:val="auto"/>
        </w:rPr>
        <w:t>Transpl Infect Dis</w:t>
      </w:r>
      <w:r w:rsidRPr="00201160">
        <w:rPr>
          <w:color w:val="auto"/>
        </w:rPr>
        <w:t xml:space="preserve"> 2006;8:148–156.</w:t>
      </w:r>
    </w:p>
    <w:p w14:paraId="196AC394" w14:textId="77777777" w:rsidR="00201160" w:rsidRPr="00201160" w:rsidRDefault="00201160" w:rsidP="00201160">
      <w:pPr>
        <w:pStyle w:val="Bibliography"/>
        <w:rPr>
          <w:color w:val="auto"/>
        </w:rPr>
      </w:pPr>
      <w:r w:rsidRPr="00201160">
        <w:rPr>
          <w:color w:val="auto"/>
        </w:rPr>
        <w:t>54.</w:t>
      </w:r>
      <w:r w:rsidRPr="00201160">
        <w:rPr>
          <w:color w:val="auto"/>
        </w:rPr>
        <w:tab/>
        <w:t>United States Renal Data System. Online Query System. 2015;at &lt;https://www.usrds.org/&gt;.</w:t>
      </w:r>
    </w:p>
    <w:p w14:paraId="2FDDCD5F" w14:textId="77777777" w:rsidR="00201160" w:rsidRPr="00201160" w:rsidRDefault="00201160" w:rsidP="00201160">
      <w:pPr>
        <w:pStyle w:val="Bibliography"/>
        <w:rPr>
          <w:color w:val="auto"/>
        </w:rPr>
      </w:pPr>
      <w:r w:rsidRPr="00201160">
        <w:rPr>
          <w:color w:val="auto"/>
        </w:rPr>
        <w:t>55.</w:t>
      </w:r>
      <w:r w:rsidRPr="00201160">
        <w:rPr>
          <w:color w:val="auto"/>
        </w:rPr>
        <w:tab/>
        <w:t xml:space="preserve">Ahmed A, Karter A. Tuberculosis in California dialysis patients. </w:t>
      </w:r>
      <w:r w:rsidRPr="00201160">
        <w:rPr>
          <w:i/>
          <w:iCs/>
          <w:color w:val="auto"/>
        </w:rPr>
        <w:t>Int J Tuberc Lung Dis</w:t>
      </w:r>
      <w:r w:rsidRPr="00201160">
        <w:rPr>
          <w:color w:val="auto"/>
        </w:rPr>
        <w:t xml:space="preserve"> 2004;8:341–345.</w:t>
      </w:r>
    </w:p>
    <w:p w14:paraId="085B8BC7" w14:textId="17DBD7EE" w:rsidR="00217535" w:rsidRDefault="00201160" w:rsidP="00436146">
      <w:r>
        <w:rPr>
          <w:rFonts w:ascii="Arial" w:hAnsi="Arial"/>
          <w:b/>
          <w:sz w:val="24"/>
          <w:szCs w:val="24"/>
        </w:rPr>
        <w:fldChar w:fldCharType="end"/>
      </w:r>
    </w:p>
    <w:sectPr w:rsidR="00217535" w:rsidSect="0074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6D66"/>
    <w:multiLevelType w:val="hybridMultilevel"/>
    <w:tmpl w:val="8616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1F0B"/>
    <w:multiLevelType w:val="hybridMultilevel"/>
    <w:tmpl w:val="879CF6F4"/>
    <w:lvl w:ilvl="0" w:tplc="6D8058B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F41EF"/>
    <w:multiLevelType w:val="hybridMultilevel"/>
    <w:tmpl w:val="5FA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93B58"/>
    <w:multiLevelType w:val="hybridMultilevel"/>
    <w:tmpl w:val="2E86579E"/>
    <w:lvl w:ilvl="0" w:tplc="ABC8B94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A5C3E"/>
    <w:multiLevelType w:val="hybridMultilevel"/>
    <w:tmpl w:val="F284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540C0"/>
    <w:multiLevelType w:val="hybridMultilevel"/>
    <w:tmpl w:val="6D885F74"/>
    <w:lvl w:ilvl="0" w:tplc="7DD48B90">
      <w:start w:val="1"/>
      <w:numFmt w:val="bullet"/>
      <w:lvlText w:val="•"/>
      <w:lvlJc w:val="left"/>
      <w:pPr>
        <w:tabs>
          <w:tab w:val="num" w:pos="720"/>
        </w:tabs>
        <w:ind w:left="720" w:hanging="360"/>
      </w:pPr>
      <w:rPr>
        <w:rFonts w:ascii="Arial" w:hAnsi="Arial" w:hint="default"/>
      </w:rPr>
    </w:lvl>
    <w:lvl w:ilvl="1" w:tplc="A0E88B18">
      <w:numFmt w:val="bullet"/>
      <w:lvlText w:val="–"/>
      <w:lvlJc w:val="left"/>
      <w:pPr>
        <w:tabs>
          <w:tab w:val="num" w:pos="1440"/>
        </w:tabs>
        <w:ind w:left="1440" w:hanging="360"/>
      </w:pPr>
      <w:rPr>
        <w:rFonts w:ascii="Arial" w:hAnsi="Arial" w:hint="default"/>
      </w:rPr>
    </w:lvl>
    <w:lvl w:ilvl="2" w:tplc="A67C5732" w:tentative="1">
      <w:start w:val="1"/>
      <w:numFmt w:val="bullet"/>
      <w:lvlText w:val="•"/>
      <w:lvlJc w:val="left"/>
      <w:pPr>
        <w:tabs>
          <w:tab w:val="num" w:pos="2160"/>
        </w:tabs>
        <w:ind w:left="2160" w:hanging="360"/>
      </w:pPr>
      <w:rPr>
        <w:rFonts w:ascii="Arial" w:hAnsi="Arial" w:hint="default"/>
      </w:rPr>
    </w:lvl>
    <w:lvl w:ilvl="3" w:tplc="A7329182" w:tentative="1">
      <w:start w:val="1"/>
      <w:numFmt w:val="bullet"/>
      <w:lvlText w:val="•"/>
      <w:lvlJc w:val="left"/>
      <w:pPr>
        <w:tabs>
          <w:tab w:val="num" w:pos="2880"/>
        </w:tabs>
        <w:ind w:left="2880" w:hanging="360"/>
      </w:pPr>
      <w:rPr>
        <w:rFonts w:ascii="Arial" w:hAnsi="Arial" w:hint="default"/>
      </w:rPr>
    </w:lvl>
    <w:lvl w:ilvl="4" w:tplc="CA22F850" w:tentative="1">
      <w:start w:val="1"/>
      <w:numFmt w:val="bullet"/>
      <w:lvlText w:val="•"/>
      <w:lvlJc w:val="left"/>
      <w:pPr>
        <w:tabs>
          <w:tab w:val="num" w:pos="3600"/>
        </w:tabs>
        <w:ind w:left="3600" w:hanging="360"/>
      </w:pPr>
      <w:rPr>
        <w:rFonts w:ascii="Arial" w:hAnsi="Arial" w:hint="default"/>
      </w:rPr>
    </w:lvl>
    <w:lvl w:ilvl="5" w:tplc="D068BE80" w:tentative="1">
      <w:start w:val="1"/>
      <w:numFmt w:val="bullet"/>
      <w:lvlText w:val="•"/>
      <w:lvlJc w:val="left"/>
      <w:pPr>
        <w:tabs>
          <w:tab w:val="num" w:pos="4320"/>
        </w:tabs>
        <w:ind w:left="4320" w:hanging="360"/>
      </w:pPr>
      <w:rPr>
        <w:rFonts w:ascii="Arial" w:hAnsi="Arial" w:hint="default"/>
      </w:rPr>
    </w:lvl>
    <w:lvl w:ilvl="6" w:tplc="BABA203A" w:tentative="1">
      <w:start w:val="1"/>
      <w:numFmt w:val="bullet"/>
      <w:lvlText w:val="•"/>
      <w:lvlJc w:val="left"/>
      <w:pPr>
        <w:tabs>
          <w:tab w:val="num" w:pos="5040"/>
        </w:tabs>
        <w:ind w:left="5040" w:hanging="360"/>
      </w:pPr>
      <w:rPr>
        <w:rFonts w:ascii="Arial" w:hAnsi="Arial" w:hint="default"/>
      </w:rPr>
    </w:lvl>
    <w:lvl w:ilvl="7" w:tplc="BE3EE99A" w:tentative="1">
      <w:start w:val="1"/>
      <w:numFmt w:val="bullet"/>
      <w:lvlText w:val="•"/>
      <w:lvlJc w:val="left"/>
      <w:pPr>
        <w:tabs>
          <w:tab w:val="num" w:pos="5760"/>
        </w:tabs>
        <w:ind w:left="5760" w:hanging="360"/>
      </w:pPr>
      <w:rPr>
        <w:rFonts w:ascii="Arial" w:hAnsi="Arial" w:hint="default"/>
      </w:rPr>
    </w:lvl>
    <w:lvl w:ilvl="8" w:tplc="4CAA686A" w:tentative="1">
      <w:start w:val="1"/>
      <w:numFmt w:val="bullet"/>
      <w:lvlText w:val="•"/>
      <w:lvlJc w:val="left"/>
      <w:pPr>
        <w:tabs>
          <w:tab w:val="num" w:pos="6480"/>
        </w:tabs>
        <w:ind w:left="6480" w:hanging="360"/>
      </w:pPr>
      <w:rPr>
        <w:rFonts w:ascii="Arial" w:hAnsi="Arial" w:hint="default"/>
      </w:rPr>
    </w:lvl>
  </w:abstractNum>
  <w:abstractNum w:abstractNumId="6">
    <w:nsid w:val="4B7D4949"/>
    <w:multiLevelType w:val="multilevel"/>
    <w:tmpl w:val="8D92C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46"/>
    <w:rsid w:val="000D1CE0"/>
    <w:rsid w:val="001B215D"/>
    <w:rsid w:val="00201160"/>
    <w:rsid w:val="00217535"/>
    <w:rsid w:val="002E1D61"/>
    <w:rsid w:val="00436146"/>
    <w:rsid w:val="00453F9B"/>
    <w:rsid w:val="0073452F"/>
    <w:rsid w:val="00746A52"/>
    <w:rsid w:val="009E145E"/>
    <w:rsid w:val="009F4E36"/>
    <w:rsid w:val="00A23427"/>
    <w:rsid w:val="00B80450"/>
    <w:rsid w:val="00C455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4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36146"/>
    <w:pPr>
      <w:spacing w:line="480" w:lineRule="auto"/>
    </w:pPr>
    <w:rPr>
      <w:rFonts w:ascii="Times New Roman" w:eastAsia="Arial" w:hAnsi="Times New Roman" w:cs="Arial"/>
      <w:color w:val="000000"/>
      <w:sz w:val="20"/>
      <w:szCs w:val="22"/>
    </w:rPr>
  </w:style>
  <w:style w:type="paragraph" w:styleId="Heading1">
    <w:name w:val="heading 1"/>
    <w:basedOn w:val="Normal"/>
    <w:next w:val="Normal"/>
    <w:link w:val="Heading1Char"/>
    <w:rsid w:val="00436146"/>
    <w:pPr>
      <w:keepNext/>
      <w:keepLines/>
      <w:spacing w:before="400" w:after="120"/>
      <w:contextualSpacing/>
      <w:jc w:val="center"/>
      <w:outlineLvl w:val="0"/>
    </w:pPr>
    <w:rPr>
      <w:rFonts w:ascii="Arial" w:hAnsi="Arial"/>
      <w:sz w:val="40"/>
      <w:szCs w:val="40"/>
    </w:rPr>
  </w:style>
  <w:style w:type="paragraph" w:styleId="Heading2">
    <w:name w:val="heading 2"/>
    <w:basedOn w:val="Normal"/>
    <w:next w:val="Normal"/>
    <w:link w:val="Heading2Char"/>
    <w:rsid w:val="00436146"/>
    <w:pPr>
      <w:keepNext/>
      <w:keepLines/>
      <w:spacing w:after="120" w:line="240" w:lineRule="auto"/>
      <w:contextualSpacing/>
      <w:outlineLvl w:val="1"/>
    </w:pPr>
    <w:rPr>
      <w:rFonts w:ascii="Arial" w:hAnsi="Arial"/>
      <w:b/>
      <w:sz w:val="24"/>
      <w:szCs w:val="24"/>
    </w:rPr>
  </w:style>
  <w:style w:type="paragraph" w:styleId="Heading3">
    <w:name w:val="heading 3"/>
    <w:basedOn w:val="Normal"/>
    <w:next w:val="Normal"/>
    <w:link w:val="Heading3Char"/>
    <w:rsid w:val="00436146"/>
    <w:pPr>
      <w:keepNext/>
      <w:keepLines/>
      <w:spacing w:before="320" w:after="80"/>
      <w:contextualSpacing/>
      <w:outlineLvl w:val="2"/>
    </w:pPr>
    <w:rPr>
      <w:b/>
      <w:i/>
      <w:color w:val="434343"/>
      <w:szCs w:val="20"/>
    </w:rPr>
  </w:style>
  <w:style w:type="paragraph" w:styleId="Heading4">
    <w:name w:val="heading 4"/>
    <w:basedOn w:val="Normal"/>
    <w:next w:val="Normal"/>
    <w:link w:val="Heading4Char"/>
    <w:rsid w:val="00436146"/>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436146"/>
    <w:pPr>
      <w:keepNext/>
      <w:keepLines/>
      <w:spacing w:before="240" w:after="80"/>
      <w:contextualSpacing/>
      <w:outlineLvl w:val="4"/>
    </w:pPr>
    <w:rPr>
      <w:color w:val="666666"/>
    </w:rPr>
  </w:style>
  <w:style w:type="paragraph" w:styleId="Heading6">
    <w:name w:val="heading 6"/>
    <w:basedOn w:val="Normal"/>
    <w:next w:val="Normal"/>
    <w:link w:val="Heading6Char"/>
    <w:rsid w:val="0043614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146"/>
    <w:rPr>
      <w:rFonts w:ascii="Arial" w:eastAsia="Arial" w:hAnsi="Arial" w:cs="Arial"/>
      <w:color w:val="000000"/>
      <w:sz w:val="40"/>
      <w:szCs w:val="40"/>
    </w:rPr>
  </w:style>
  <w:style w:type="character" w:customStyle="1" w:styleId="Heading2Char">
    <w:name w:val="Heading 2 Char"/>
    <w:basedOn w:val="DefaultParagraphFont"/>
    <w:link w:val="Heading2"/>
    <w:rsid w:val="00436146"/>
    <w:rPr>
      <w:rFonts w:ascii="Arial" w:eastAsia="Arial" w:hAnsi="Arial" w:cs="Arial"/>
      <w:b/>
      <w:color w:val="000000"/>
    </w:rPr>
  </w:style>
  <w:style w:type="character" w:customStyle="1" w:styleId="Heading3Char">
    <w:name w:val="Heading 3 Char"/>
    <w:basedOn w:val="DefaultParagraphFont"/>
    <w:link w:val="Heading3"/>
    <w:rsid w:val="00436146"/>
    <w:rPr>
      <w:rFonts w:ascii="Times New Roman" w:eastAsia="Arial" w:hAnsi="Times New Roman" w:cs="Arial"/>
      <w:b/>
      <w:i/>
      <w:color w:val="434343"/>
      <w:sz w:val="20"/>
      <w:szCs w:val="20"/>
    </w:rPr>
  </w:style>
  <w:style w:type="character" w:customStyle="1" w:styleId="Heading4Char">
    <w:name w:val="Heading 4 Char"/>
    <w:basedOn w:val="DefaultParagraphFont"/>
    <w:link w:val="Heading4"/>
    <w:rsid w:val="00436146"/>
    <w:rPr>
      <w:rFonts w:ascii="Times New Roman" w:eastAsia="Arial" w:hAnsi="Times New Roman" w:cs="Arial"/>
      <w:color w:val="666666"/>
    </w:rPr>
  </w:style>
  <w:style w:type="character" w:customStyle="1" w:styleId="Heading5Char">
    <w:name w:val="Heading 5 Char"/>
    <w:basedOn w:val="DefaultParagraphFont"/>
    <w:link w:val="Heading5"/>
    <w:rsid w:val="00436146"/>
    <w:rPr>
      <w:rFonts w:ascii="Times New Roman" w:eastAsia="Arial" w:hAnsi="Times New Roman" w:cs="Arial"/>
      <w:color w:val="666666"/>
      <w:sz w:val="20"/>
      <w:szCs w:val="22"/>
    </w:rPr>
  </w:style>
  <w:style w:type="character" w:customStyle="1" w:styleId="Heading6Char">
    <w:name w:val="Heading 6 Char"/>
    <w:basedOn w:val="DefaultParagraphFont"/>
    <w:link w:val="Heading6"/>
    <w:rsid w:val="00436146"/>
    <w:rPr>
      <w:rFonts w:ascii="Times New Roman" w:eastAsia="Arial" w:hAnsi="Times New Roman" w:cs="Arial"/>
      <w:i/>
      <w:color w:val="666666"/>
      <w:sz w:val="20"/>
      <w:szCs w:val="22"/>
    </w:rPr>
  </w:style>
  <w:style w:type="paragraph" w:styleId="Title">
    <w:name w:val="Title"/>
    <w:basedOn w:val="Normal"/>
    <w:next w:val="Normal"/>
    <w:link w:val="TitleChar"/>
    <w:rsid w:val="00436146"/>
    <w:pPr>
      <w:keepNext/>
      <w:keepLines/>
      <w:spacing w:after="60"/>
      <w:contextualSpacing/>
    </w:pPr>
    <w:rPr>
      <w:sz w:val="52"/>
      <w:szCs w:val="52"/>
    </w:rPr>
  </w:style>
  <w:style w:type="character" w:customStyle="1" w:styleId="TitleChar">
    <w:name w:val="Title Char"/>
    <w:basedOn w:val="DefaultParagraphFont"/>
    <w:link w:val="Title"/>
    <w:rsid w:val="00436146"/>
    <w:rPr>
      <w:rFonts w:ascii="Times New Roman" w:eastAsia="Arial" w:hAnsi="Times New Roman" w:cs="Arial"/>
      <w:color w:val="000000"/>
      <w:sz w:val="52"/>
      <w:szCs w:val="52"/>
    </w:rPr>
  </w:style>
  <w:style w:type="paragraph" w:styleId="Subtitle">
    <w:name w:val="Subtitle"/>
    <w:basedOn w:val="Normal"/>
    <w:next w:val="Normal"/>
    <w:link w:val="SubtitleChar"/>
    <w:rsid w:val="00436146"/>
    <w:pPr>
      <w:keepNext/>
      <w:keepLines/>
      <w:spacing w:after="320"/>
      <w:contextualSpacing/>
    </w:pPr>
    <w:rPr>
      <w:color w:val="666666"/>
      <w:sz w:val="30"/>
      <w:szCs w:val="30"/>
    </w:rPr>
  </w:style>
  <w:style w:type="character" w:customStyle="1" w:styleId="SubtitleChar">
    <w:name w:val="Subtitle Char"/>
    <w:basedOn w:val="DefaultParagraphFont"/>
    <w:link w:val="Subtitle"/>
    <w:rsid w:val="00436146"/>
    <w:rPr>
      <w:rFonts w:ascii="Times New Roman" w:eastAsia="Arial" w:hAnsi="Times New Roman" w:cs="Arial"/>
      <w:color w:val="666666"/>
      <w:sz w:val="30"/>
      <w:szCs w:val="30"/>
    </w:rPr>
  </w:style>
  <w:style w:type="paragraph" w:styleId="CommentText">
    <w:name w:val="annotation text"/>
    <w:basedOn w:val="Normal"/>
    <w:link w:val="CommentTextChar"/>
    <w:uiPriority w:val="99"/>
    <w:unhideWhenUsed/>
    <w:rsid w:val="00436146"/>
    <w:pPr>
      <w:spacing w:line="240" w:lineRule="auto"/>
    </w:pPr>
    <w:rPr>
      <w:sz w:val="24"/>
      <w:szCs w:val="24"/>
    </w:rPr>
  </w:style>
  <w:style w:type="character" w:customStyle="1" w:styleId="CommentTextChar">
    <w:name w:val="Comment Text Char"/>
    <w:basedOn w:val="DefaultParagraphFont"/>
    <w:link w:val="CommentText"/>
    <w:uiPriority w:val="99"/>
    <w:rsid w:val="00436146"/>
    <w:rPr>
      <w:rFonts w:ascii="Times New Roman" w:eastAsia="Arial" w:hAnsi="Times New Roman" w:cs="Arial"/>
      <w:color w:val="000000"/>
    </w:rPr>
  </w:style>
  <w:style w:type="character" w:styleId="CommentReference">
    <w:name w:val="annotation reference"/>
    <w:basedOn w:val="DefaultParagraphFont"/>
    <w:uiPriority w:val="99"/>
    <w:semiHidden/>
    <w:unhideWhenUsed/>
    <w:rsid w:val="00436146"/>
    <w:rPr>
      <w:sz w:val="18"/>
      <w:szCs w:val="18"/>
    </w:rPr>
  </w:style>
  <w:style w:type="paragraph" w:styleId="BalloonText">
    <w:name w:val="Balloon Text"/>
    <w:basedOn w:val="Normal"/>
    <w:link w:val="BalloonTextChar"/>
    <w:uiPriority w:val="99"/>
    <w:semiHidden/>
    <w:unhideWhenUsed/>
    <w:rsid w:val="0043614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36146"/>
    <w:rPr>
      <w:rFonts w:ascii="Times New Roman" w:eastAsia="Arial" w:hAnsi="Times New Roman" w:cs="Times New Roman"/>
      <w:color w:val="000000"/>
      <w:sz w:val="18"/>
      <w:szCs w:val="18"/>
    </w:rPr>
  </w:style>
  <w:style w:type="paragraph" w:styleId="CommentSubject">
    <w:name w:val="annotation subject"/>
    <w:basedOn w:val="CommentText"/>
    <w:next w:val="CommentText"/>
    <w:link w:val="CommentSubjectChar"/>
    <w:uiPriority w:val="99"/>
    <w:semiHidden/>
    <w:unhideWhenUsed/>
    <w:rsid w:val="00436146"/>
    <w:rPr>
      <w:b/>
      <w:bCs/>
      <w:sz w:val="20"/>
      <w:szCs w:val="20"/>
    </w:rPr>
  </w:style>
  <w:style w:type="character" w:customStyle="1" w:styleId="CommentSubjectChar">
    <w:name w:val="Comment Subject Char"/>
    <w:basedOn w:val="CommentTextChar"/>
    <w:link w:val="CommentSubject"/>
    <w:uiPriority w:val="99"/>
    <w:semiHidden/>
    <w:rsid w:val="00436146"/>
    <w:rPr>
      <w:rFonts w:ascii="Times New Roman" w:eastAsia="Arial" w:hAnsi="Times New Roman" w:cs="Arial"/>
      <w:b/>
      <w:bCs/>
      <w:color w:val="000000"/>
      <w:sz w:val="20"/>
      <w:szCs w:val="20"/>
    </w:rPr>
  </w:style>
  <w:style w:type="paragraph" w:styleId="Bibliography">
    <w:name w:val="Bibliography"/>
    <w:basedOn w:val="Normal"/>
    <w:next w:val="Normal"/>
    <w:uiPriority w:val="37"/>
    <w:unhideWhenUsed/>
    <w:rsid w:val="00436146"/>
    <w:pPr>
      <w:tabs>
        <w:tab w:val="left" w:pos="380"/>
        <w:tab w:val="left" w:pos="500"/>
      </w:tabs>
      <w:ind w:left="384" w:hanging="384"/>
    </w:pPr>
  </w:style>
  <w:style w:type="paragraph" w:styleId="Header">
    <w:name w:val="header"/>
    <w:basedOn w:val="Normal"/>
    <w:link w:val="HeaderChar"/>
    <w:uiPriority w:val="99"/>
    <w:unhideWhenUsed/>
    <w:rsid w:val="00436146"/>
    <w:pPr>
      <w:tabs>
        <w:tab w:val="center" w:pos="4680"/>
        <w:tab w:val="right" w:pos="9360"/>
      </w:tabs>
      <w:spacing w:line="240" w:lineRule="auto"/>
    </w:pPr>
  </w:style>
  <w:style w:type="character" w:customStyle="1" w:styleId="HeaderChar">
    <w:name w:val="Header Char"/>
    <w:basedOn w:val="DefaultParagraphFont"/>
    <w:link w:val="Header"/>
    <w:uiPriority w:val="99"/>
    <w:rsid w:val="00436146"/>
    <w:rPr>
      <w:rFonts w:ascii="Times New Roman" w:eastAsia="Arial" w:hAnsi="Times New Roman" w:cs="Arial"/>
      <w:color w:val="000000"/>
      <w:sz w:val="20"/>
      <w:szCs w:val="22"/>
    </w:rPr>
  </w:style>
  <w:style w:type="paragraph" w:styleId="Footer">
    <w:name w:val="footer"/>
    <w:basedOn w:val="Normal"/>
    <w:link w:val="FooterChar"/>
    <w:uiPriority w:val="99"/>
    <w:unhideWhenUsed/>
    <w:rsid w:val="00436146"/>
    <w:pPr>
      <w:tabs>
        <w:tab w:val="center" w:pos="4680"/>
        <w:tab w:val="right" w:pos="9360"/>
      </w:tabs>
      <w:spacing w:line="240" w:lineRule="auto"/>
    </w:pPr>
  </w:style>
  <w:style w:type="character" w:customStyle="1" w:styleId="FooterChar">
    <w:name w:val="Footer Char"/>
    <w:basedOn w:val="DefaultParagraphFont"/>
    <w:link w:val="Footer"/>
    <w:uiPriority w:val="99"/>
    <w:rsid w:val="00436146"/>
    <w:rPr>
      <w:rFonts w:ascii="Times New Roman" w:eastAsia="Arial" w:hAnsi="Times New Roman" w:cs="Arial"/>
      <w:color w:val="000000"/>
      <w:sz w:val="20"/>
      <w:szCs w:val="22"/>
    </w:rPr>
  </w:style>
  <w:style w:type="character" w:styleId="PageNumber">
    <w:name w:val="page number"/>
    <w:basedOn w:val="DefaultParagraphFont"/>
    <w:uiPriority w:val="99"/>
    <w:semiHidden/>
    <w:unhideWhenUsed/>
    <w:rsid w:val="00436146"/>
  </w:style>
  <w:style w:type="paragraph" w:styleId="Revision">
    <w:name w:val="Revision"/>
    <w:hidden/>
    <w:uiPriority w:val="99"/>
    <w:semiHidden/>
    <w:rsid w:val="00436146"/>
    <w:rPr>
      <w:rFonts w:ascii="Times New Roman" w:eastAsia="Arial" w:hAnsi="Times New Roman" w:cs="Arial"/>
      <w:color w:val="000000"/>
      <w:sz w:val="20"/>
      <w:szCs w:val="22"/>
    </w:rPr>
  </w:style>
  <w:style w:type="table" w:styleId="TableGrid">
    <w:name w:val="Table Grid"/>
    <w:basedOn w:val="TableNormal"/>
    <w:uiPriority w:val="59"/>
    <w:rsid w:val="00436146"/>
    <w:rPr>
      <w:rFonts w:ascii="Arial" w:eastAsia="Arial" w:hAnsi="Arial" w:cs="Arial"/>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36146"/>
    <w:rPr>
      <w:color w:val="0000FF"/>
      <w:u w:val="single"/>
    </w:rPr>
  </w:style>
  <w:style w:type="paragraph" w:styleId="ListParagraph">
    <w:name w:val="List Paragraph"/>
    <w:basedOn w:val="Normal"/>
    <w:uiPriority w:val="34"/>
    <w:qFormat/>
    <w:rsid w:val="00436146"/>
    <w:pPr>
      <w:ind w:left="720"/>
      <w:contextualSpacing/>
    </w:pPr>
  </w:style>
  <w:style w:type="paragraph" w:customStyle="1" w:styleId="Body">
    <w:name w:val="Body"/>
    <w:rsid w:val="0043614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436146"/>
    <w:pPr>
      <w:spacing w:before="100" w:beforeAutospacing="1" w:after="100" w:afterAutospacing="1" w:line="240" w:lineRule="auto"/>
    </w:pPr>
    <w:rPr>
      <w:rFonts w:cs="Times New Roman"/>
      <w:color w:val="auto"/>
      <w:sz w:val="24"/>
      <w:szCs w:val="24"/>
    </w:rPr>
  </w:style>
  <w:style w:type="character" w:customStyle="1" w:styleId="apple-converted-space">
    <w:name w:val="apple-converted-space"/>
    <w:basedOn w:val="DefaultParagraphFont"/>
    <w:rsid w:val="00436146"/>
  </w:style>
  <w:style w:type="character" w:styleId="FollowedHyperlink">
    <w:name w:val="FollowedHyperlink"/>
    <w:basedOn w:val="DefaultParagraphFont"/>
    <w:uiPriority w:val="99"/>
    <w:semiHidden/>
    <w:unhideWhenUsed/>
    <w:rsid w:val="00436146"/>
    <w:rPr>
      <w:color w:val="954F72" w:themeColor="followedHyperlink"/>
      <w:u w:val="single"/>
    </w:rPr>
  </w:style>
  <w:style w:type="character" w:styleId="Emphasis">
    <w:name w:val="Emphasis"/>
    <w:basedOn w:val="DefaultParagraphFont"/>
    <w:uiPriority w:val="20"/>
    <w:qFormat/>
    <w:rsid w:val="00436146"/>
    <w:rPr>
      <w:b/>
      <w:bCs/>
      <w:i w:val="0"/>
      <w:iCs w:val="0"/>
    </w:rPr>
  </w:style>
  <w:style w:type="character" w:customStyle="1" w:styleId="st1">
    <w:name w:val="st1"/>
    <w:basedOn w:val="DefaultParagraphFont"/>
    <w:rsid w:val="00436146"/>
  </w:style>
  <w:style w:type="character" w:styleId="Strong">
    <w:name w:val="Strong"/>
    <w:basedOn w:val="DefaultParagraphFont"/>
    <w:uiPriority w:val="22"/>
    <w:qFormat/>
    <w:rsid w:val="00436146"/>
    <w:rPr>
      <w:b/>
      <w:bCs/>
    </w:rPr>
  </w:style>
  <w:style w:type="table" w:customStyle="1" w:styleId="PlainTable41">
    <w:name w:val="Plain Table 41"/>
    <w:basedOn w:val="TableNormal"/>
    <w:uiPriority w:val="44"/>
    <w:rsid w:val="00436146"/>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36146"/>
    <w:rPr>
      <w:rFonts w:ascii="Arial" w:eastAsia="Arial" w:hAnsi="Arial" w:cs="Arial"/>
      <w:color w:val="000000"/>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6146"/>
    <w:pPr>
      <w:spacing w:line="240" w:lineRule="auto"/>
    </w:pPr>
    <w:rPr>
      <w:sz w:val="24"/>
      <w:szCs w:val="24"/>
    </w:rPr>
  </w:style>
  <w:style w:type="character" w:customStyle="1" w:styleId="FootnoteTextChar">
    <w:name w:val="Footnote Text Char"/>
    <w:basedOn w:val="DefaultParagraphFont"/>
    <w:link w:val="FootnoteText"/>
    <w:uiPriority w:val="99"/>
    <w:rsid w:val="00436146"/>
    <w:rPr>
      <w:rFonts w:ascii="Times New Roman" w:eastAsia="Arial" w:hAnsi="Times New Roman" w:cs="Arial"/>
      <w:color w:val="000000"/>
    </w:rPr>
  </w:style>
  <w:style w:type="character" w:styleId="FootnoteReference">
    <w:name w:val="footnote reference"/>
    <w:basedOn w:val="DefaultParagraphFont"/>
    <w:uiPriority w:val="99"/>
    <w:unhideWhenUsed/>
    <w:rsid w:val="00436146"/>
    <w:rPr>
      <w:vertAlign w:val="superscript"/>
    </w:rPr>
  </w:style>
  <w:style w:type="character" w:styleId="EndnoteReference">
    <w:name w:val="endnote reference"/>
    <w:basedOn w:val="DefaultParagraphFont"/>
    <w:uiPriority w:val="99"/>
    <w:semiHidden/>
    <w:unhideWhenUsed/>
    <w:rsid w:val="00436146"/>
    <w:rPr>
      <w:vertAlign w:val="superscript"/>
    </w:rPr>
  </w:style>
  <w:style w:type="paragraph" w:styleId="DocumentMap">
    <w:name w:val="Document Map"/>
    <w:basedOn w:val="Normal"/>
    <w:link w:val="DocumentMapChar"/>
    <w:uiPriority w:val="99"/>
    <w:semiHidden/>
    <w:unhideWhenUsed/>
    <w:rsid w:val="00436146"/>
    <w:pPr>
      <w:spacing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436146"/>
    <w:rPr>
      <w:rFonts w:ascii="Times New Roman" w:eastAsia="Arial"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7704">
      <w:bodyDiv w:val="1"/>
      <w:marLeft w:val="0"/>
      <w:marRight w:val="0"/>
      <w:marTop w:val="0"/>
      <w:marBottom w:val="0"/>
      <w:divBdr>
        <w:top w:val="none" w:sz="0" w:space="0" w:color="auto"/>
        <w:left w:val="none" w:sz="0" w:space="0" w:color="auto"/>
        <w:bottom w:val="none" w:sz="0" w:space="0" w:color="auto"/>
        <w:right w:val="none" w:sz="0" w:space="0" w:color="auto"/>
      </w:divBdr>
      <w:divsChild>
        <w:div w:id="1186402080">
          <w:marLeft w:val="0"/>
          <w:marRight w:val="0"/>
          <w:marTop w:val="0"/>
          <w:marBottom w:val="0"/>
          <w:divBdr>
            <w:top w:val="none" w:sz="0" w:space="0" w:color="auto"/>
            <w:left w:val="none" w:sz="0" w:space="0" w:color="auto"/>
            <w:bottom w:val="none" w:sz="0" w:space="0" w:color="auto"/>
            <w:right w:val="none" w:sz="0" w:space="0" w:color="auto"/>
          </w:divBdr>
        </w:div>
        <w:div w:id="1095132421">
          <w:marLeft w:val="0"/>
          <w:marRight w:val="0"/>
          <w:marTop w:val="0"/>
          <w:marBottom w:val="0"/>
          <w:divBdr>
            <w:top w:val="none" w:sz="0" w:space="0" w:color="auto"/>
            <w:left w:val="none" w:sz="0" w:space="0" w:color="auto"/>
            <w:bottom w:val="none" w:sz="0" w:space="0" w:color="auto"/>
            <w:right w:val="none" w:sz="0" w:space="0" w:color="auto"/>
          </w:divBdr>
        </w:div>
        <w:div w:id="612059535">
          <w:marLeft w:val="0"/>
          <w:marRight w:val="0"/>
          <w:marTop w:val="0"/>
          <w:marBottom w:val="0"/>
          <w:divBdr>
            <w:top w:val="none" w:sz="0" w:space="0" w:color="auto"/>
            <w:left w:val="none" w:sz="0" w:space="0" w:color="auto"/>
            <w:bottom w:val="none" w:sz="0" w:space="0" w:color="auto"/>
            <w:right w:val="none" w:sz="0" w:space="0" w:color="auto"/>
          </w:divBdr>
        </w:div>
        <w:div w:id="86660793">
          <w:marLeft w:val="0"/>
          <w:marRight w:val="0"/>
          <w:marTop w:val="0"/>
          <w:marBottom w:val="0"/>
          <w:divBdr>
            <w:top w:val="none" w:sz="0" w:space="0" w:color="auto"/>
            <w:left w:val="none" w:sz="0" w:space="0" w:color="auto"/>
            <w:bottom w:val="none" w:sz="0" w:space="0" w:color="auto"/>
            <w:right w:val="none" w:sz="0" w:space="0" w:color="auto"/>
          </w:divBdr>
        </w:div>
        <w:div w:id="162093963">
          <w:marLeft w:val="0"/>
          <w:marRight w:val="0"/>
          <w:marTop w:val="0"/>
          <w:marBottom w:val="0"/>
          <w:divBdr>
            <w:top w:val="none" w:sz="0" w:space="0" w:color="auto"/>
            <w:left w:val="none" w:sz="0" w:space="0" w:color="auto"/>
            <w:bottom w:val="none" w:sz="0" w:space="0" w:color="auto"/>
            <w:right w:val="none" w:sz="0" w:space="0" w:color="auto"/>
          </w:divBdr>
        </w:div>
        <w:div w:id="2026208493">
          <w:marLeft w:val="0"/>
          <w:marRight w:val="0"/>
          <w:marTop w:val="0"/>
          <w:marBottom w:val="0"/>
          <w:divBdr>
            <w:top w:val="none" w:sz="0" w:space="0" w:color="auto"/>
            <w:left w:val="none" w:sz="0" w:space="0" w:color="auto"/>
            <w:bottom w:val="none" w:sz="0" w:space="0" w:color="auto"/>
            <w:right w:val="none" w:sz="0" w:space="0" w:color="auto"/>
          </w:divBdr>
        </w:div>
        <w:div w:id="827940645">
          <w:marLeft w:val="0"/>
          <w:marRight w:val="0"/>
          <w:marTop w:val="0"/>
          <w:marBottom w:val="0"/>
          <w:divBdr>
            <w:top w:val="none" w:sz="0" w:space="0" w:color="auto"/>
            <w:left w:val="none" w:sz="0" w:space="0" w:color="auto"/>
            <w:bottom w:val="none" w:sz="0" w:space="0" w:color="auto"/>
            <w:right w:val="none" w:sz="0" w:space="0" w:color="auto"/>
          </w:divBdr>
        </w:div>
        <w:div w:id="1007945491">
          <w:marLeft w:val="0"/>
          <w:marRight w:val="0"/>
          <w:marTop w:val="0"/>
          <w:marBottom w:val="0"/>
          <w:divBdr>
            <w:top w:val="none" w:sz="0" w:space="0" w:color="auto"/>
            <w:left w:val="none" w:sz="0" w:space="0" w:color="auto"/>
            <w:bottom w:val="none" w:sz="0" w:space="0" w:color="auto"/>
            <w:right w:val="none" w:sz="0" w:space="0" w:color="auto"/>
          </w:divBdr>
        </w:div>
        <w:div w:id="1794204546">
          <w:marLeft w:val="0"/>
          <w:marRight w:val="0"/>
          <w:marTop w:val="0"/>
          <w:marBottom w:val="0"/>
          <w:divBdr>
            <w:top w:val="none" w:sz="0" w:space="0" w:color="auto"/>
            <w:left w:val="none" w:sz="0" w:space="0" w:color="auto"/>
            <w:bottom w:val="none" w:sz="0" w:space="0" w:color="auto"/>
            <w:right w:val="none" w:sz="0" w:space="0" w:color="auto"/>
          </w:divBdr>
        </w:div>
        <w:div w:id="493957214">
          <w:marLeft w:val="0"/>
          <w:marRight w:val="0"/>
          <w:marTop w:val="0"/>
          <w:marBottom w:val="0"/>
          <w:divBdr>
            <w:top w:val="none" w:sz="0" w:space="0" w:color="auto"/>
            <w:left w:val="none" w:sz="0" w:space="0" w:color="auto"/>
            <w:bottom w:val="none" w:sz="0" w:space="0" w:color="auto"/>
            <w:right w:val="none" w:sz="0" w:space="0" w:color="auto"/>
          </w:divBdr>
        </w:div>
        <w:div w:id="639073389">
          <w:marLeft w:val="0"/>
          <w:marRight w:val="0"/>
          <w:marTop w:val="0"/>
          <w:marBottom w:val="0"/>
          <w:divBdr>
            <w:top w:val="none" w:sz="0" w:space="0" w:color="auto"/>
            <w:left w:val="none" w:sz="0" w:space="0" w:color="auto"/>
            <w:bottom w:val="none" w:sz="0" w:space="0" w:color="auto"/>
            <w:right w:val="none" w:sz="0" w:space="0" w:color="auto"/>
          </w:divBdr>
        </w:div>
        <w:div w:id="542982054">
          <w:marLeft w:val="0"/>
          <w:marRight w:val="0"/>
          <w:marTop w:val="0"/>
          <w:marBottom w:val="0"/>
          <w:divBdr>
            <w:top w:val="none" w:sz="0" w:space="0" w:color="auto"/>
            <w:left w:val="none" w:sz="0" w:space="0" w:color="auto"/>
            <w:bottom w:val="none" w:sz="0" w:space="0" w:color="auto"/>
            <w:right w:val="none" w:sz="0" w:space="0" w:color="auto"/>
          </w:divBdr>
        </w:div>
        <w:div w:id="1841391068">
          <w:marLeft w:val="0"/>
          <w:marRight w:val="0"/>
          <w:marTop w:val="0"/>
          <w:marBottom w:val="0"/>
          <w:divBdr>
            <w:top w:val="none" w:sz="0" w:space="0" w:color="auto"/>
            <w:left w:val="none" w:sz="0" w:space="0" w:color="auto"/>
            <w:bottom w:val="none" w:sz="0" w:space="0" w:color="auto"/>
            <w:right w:val="none" w:sz="0" w:space="0" w:color="auto"/>
          </w:divBdr>
        </w:div>
        <w:div w:id="1287540028">
          <w:marLeft w:val="0"/>
          <w:marRight w:val="0"/>
          <w:marTop w:val="0"/>
          <w:marBottom w:val="0"/>
          <w:divBdr>
            <w:top w:val="none" w:sz="0" w:space="0" w:color="auto"/>
            <w:left w:val="none" w:sz="0" w:space="0" w:color="auto"/>
            <w:bottom w:val="none" w:sz="0" w:space="0" w:color="auto"/>
            <w:right w:val="none" w:sz="0" w:space="0" w:color="auto"/>
          </w:divBdr>
        </w:div>
        <w:div w:id="100879869">
          <w:marLeft w:val="0"/>
          <w:marRight w:val="0"/>
          <w:marTop w:val="0"/>
          <w:marBottom w:val="0"/>
          <w:divBdr>
            <w:top w:val="none" w:sz="0" w:space="0" w:color="auto"/>
            <w:left w:val="none" w:sz="0" w:space="0" w:color="auto"/>
            <w:bottom w:val="none" w:sz="0" w:space="0" w:color="auto"/>
            <w:right w:val="none" w:sz="0" w:space="0" w:color="auto"/>
          </w:divBdr>
        </w:div>
        <w:div w:id="336268195">
          <w:marLeft w:val="0"/>
          <w:marRight w:val="0"/>
          <w:marTop w:val="0"/>
          <w:marBottom w:val="0"/>
          <w:divBdr>
            <w:top w:val="none" w:sz="0" w:space="0" w:color="auto"/>
            <w:left w:val="none" w:sz="0" w:space="0" w:color="auto"/>
            <w:bottom w:val="none" w:sz="0" w:space="0" w:color="auto"/>
            <w:right w:val="none" w:sz="0" w:space="0" w:color="auto"/>
          </w:divBdr>
        </w:div>
        <w:div w:id="131481543">
          <w:marLeft w:val="0"/>
          <w:marRight w:val="0"/>
          <w:marTop w:val="0"/>
          <w:marBottom w:val="0"/>
          <w:divBdr>
            <w:top w:val="none" w:sz="0" w:space="0" w:color="auto"/>
            <w:left w:val="none" w:sz="0" w:space="0" w:color="auto"/>
            <w:bottom w:val="none" w:sz="0" w:space="0" w:color="auto"/>
            <w:right w:val="none" w:sz="0" w:space="0" w:color="auto"/>
          </w:divBdr>
        </w:div>
        <w:div w:id="1192380265">
          <w:marLeft w:val="0"/>
          <w:marRight w:val="0"/>
          <w:marTop w:val="0"/>
          <w:marBottom w:val="0"/>
          <w:divBdr>
            <w:top w:val="none" w:sz="0" w:space="0" w:color="auto"/>
            <w:left w:val="none" w:sz="0" w:space="0" w:color="auto"/>
            <w:bottom w:val="none" w:sz="0" w:space="0" w:color="auto"/>
            <w:right w:val="none" w:sz="0" w:space="0" w:color="auto"/>
          </w:divBdr>
        </w:div>
        <w:div w:id="746927377">
          <w:marLeft w:val="0"/>
          <w:marRight w:val="0"/>
          <w:marTop w:val="0"/>
          <w:marBottom w:val="0"/>
          <w:divBdr>
            <w:top w:val="none" w:sz="0" w:space="0" w:color="auto"/>
            <w:left w:val="none" w:sz="0" w:space="0" w:color="auto"/>
            <w:bottom w:val="none" w:sz="0" w:space="0" w:color="auto"/>
            <w:right w:val="none" w:sz="0" w:space="0" w:color="auto"/>
          </w:divBdr>
        </w:div>
        <w:div w:id="1530534937">
          <w:marLeft w:val="0"/>
          <w:marRight w:val="0"/>
          <w:marTop w:val="0"/>
          <w:marBottom w:val="0"/>
          <w:divBdr>
            <w:top w:val="none" w:sz="0" w:space="0" w:color="auto"/>
            <w:left w:val="none" w:sz="0" w:space="0" w:color="auto"/>
            <w:bottom w:val="none" w:sz="0" w:space="0" w:color="auto"/>
            <w:right w:val="none" w:sz="0" w:space="0" w:color="auto"/>
          </w:divBdr>
        </w:div>
        <w:div w:id="1961957442">
          <w:marLeft w:val="0"/>
          <w:marRight w:val="0"/>
          <w:marTop w:val="0"/>
          <w:marBottom w:val="0"/>
          <w:divBdr>
            <w:top w:val="none" w:sz="0" w:space="0" w:color="auto"/>
            <w:left w:val="none" w:sz="0" w:space="0" w:color="auto"/>
            <w:bottom w:val="none" w:sz="0" w:space="0" w:color="auto"/>
            <w:right w:val="none" w:sz="0" w:space="0" w:color="auto"/>
          </w:divBdr>
        </w:div>
      </w:divsChild>
    </w:div>
    <w:div w:id="1089235489">
      <w:bodyDiv w:val="1"/>
      <w:marLeft w:val="0"/>
      <w:marRight w:val="0"/>
      <w:marTop w:val="0"/>
      <w:marBottom w:val="0"/>
      <w:divBdr>
        <w:top w:val="none" w:sz="0" w:space="0" w:color="auto"/>
        <w:left w:val="none" w:sz="0" w:space="0" w:color="auto"/>
        <w:bottom w:val="none" w:sz="0" w:space="0" w:color="auto"/>
        <w:right w:val="none" w:sz="0" w:space="0" w:color="auto"/>
      </w:divBdr>
      <w:divsChild>
        <w:div w:id="882062353">
          <w:marLeft w:val="0"/>
          <w:marRight w:val="0"/>
          <w:marTop w:val="0"/>
          <w:marBottom w:val="0"/>
          <w:divBdr>
            <w:top w:val="none" w:sz="0" w:space="0" w:color="auto"/>
            <w:left w:val="none" w:sz="0" w:space="0" w:color="auto"/>
            <w:bottom w:val="none" w:sz="0" w:space="0" w:color="auto"/>
            <w:right w:val="none" w:sz="0" w:space="0" w:color="auto"/>
          </w:divBdr>
        </w:div>
        <w:div w:id="296373103">
          <w:marLeft w:val="0"/>
          <w:marRight w:val="0"/>
          <w:marTop w:val="0"/>
          <w:marBottom w:val="0"/>
          <w:divBdr>
            <w:top w:val="none" w:sz="0" w:space="0" w:color="auto"/>
            <w:left w:val="none" w:sz="0" w:space="0" w:color="auto"/>
            <w:bottom w:val="none" w:sz="0" w:space="0" w:color="auto"/>
            <w:right w:val="none" w:sz="0" w:space="0" w:color="auto"/>
          </w:divBdr>
        </w:div>
        <w:div w:id="93327993">
          <w:marLeft w:val="0"/>
          <w:marRight w:val="0"/>
          <w:marTop w:val="0"/>
          <w:marBottom w:val="0"/>
          <w:divBdr>
            <w:top w:val="none" w:sz="0" w:space="0" w:color="auto"/>
            <w:left w:val="none" w:sz="0" w:space="0" w:color="auto"/>
            <w:bottom w:val="none" w:sz="0" w:space="0" w:color="auto"/>
            <w:right w:val="none" w:sz="0" w:space="0" w:color="auto"/>
          </w:divBdr>
        </w:div>
        <w:div w:id="874151024">
          <w:marLeft w:val="0"/>
          <w:marRight w:val="0"/>
          <w:marTop w:val="0"/>
          <w:marBottom w:val="0"/>
          <w:divBdr>
            <w:top w:val="none" w:sz="0" w:space="0" w:color="auto"/>
            <w:left w:val="none" w:sz="0" w:space="0" w:color="auto"/>
            <w:bottom w:val="none" w:sz="0" w:space="0" w:color="auto"/>
            <w:right w:val="none" w:sz="0" w:space="0" w:color="auto"/>
          </w:divBdr>
        </w:div>
        <w:div w:id="2101825109">
          <w:marLeft w:val="0"/>
          <w:marRight w:val="0"/>
          <w:marTop w:val="0"/>
          <w:marBottom w:val="0"/>
          <w:divBdr>
            <w:top w:val="none" w:sz="0" w:space="0" w:color="auto"/>
            <w:left w:val="none" w:sz="0" w:space="0" w:color="auto"/>
            <w:bottom w:val="none" w:sz="0" w:space="0" w:color="auto"/>
            <w:right w:val="none" w:sz="0" w:space="0" w:color="auto"/>
          </w:divBdr>
        </w:div>
        <w:div w:id="984046678">
          <w:marLeft w:val="0"/>
          <w:marRight w:val="0"/>
          <w:marTop w:val="0"/>
          <w:marBottom w:val="0"/>
          <w:divBdr>
            <w:top w:val="none" w:sz="0" w:space="0" w:color="auto"/>
            <w:left w:val="none" w:sz="0" w:space="0" w:color="auto"/>
            <w:bottom w:val="none" w:sz="0" w:space="0" w:color="auto"/>
            <w:right w:val="none" w:sz="0" w:space="0" w:color="auto"/>
          </w:divBdr>
        </w:div>
        <w:div w:id="1763139133">
          <w:marLeft w:val="0"/>
          <w:marRight w:val="0"/>
          <w:marTop w:val="0"/>
          <w:marBottom w:val="0"/>
          <w:divBdr>
            <w:top w:val="none" w:sz="0" w:space="0" w:color="auto"/>
            <w:left w:val="none" w:sz="0" w:space="0" w:color="auto"/>
            <w:bottom w:val="none" w:sz="0" w:space="0" w:color="auto"/>
            <w:right w:val="none" w:sz="0" w:space="0" w:color="auto"/>
          </w:divBdr>
        </w:div>
        <w:div w:id="1535456846">
          <w:marLeft w:val="0"/>
          <w:marRight w:val="0"/>
          <w:marTop w:val="0"/>
          <w:marBottom w:val="0"/>
          <w:divBdr>
            <w:top w:val="none" w:sz="0" w:space="0" w:color="auto"/>
            <w:left w:val="none" w:sz="0" w:space="0" w:color="auto"/>
            <w:bottom w:val="none" w:sz="0" w:space="0" w:color="auto"/>
            <w:right w:val="none" w:sz="0" w:space="0" w:color="auto"/>
          </w:divBdr>
        </w:div>
        <w:div w:id="1581671243">
          <w:marLeft w:val="0"/>
          <w:marRight w:val="0"/>
          <w:marTop w:val="0"/>
          <w:marBottom w:val="0"/>
          <w:divBdr>
            <w:top w:val="none" w:sz="0" w:space="0" w:color="auto"/>
            <w:left w:val="none" w:sz="0" w:space="0" w:color="auto"/>
            <w:bottom w:val="none" w:sz="0" w:space="0" w:color="auto"/>
            <w:right w:val="none" w:sz="0" w:space="0" w:color="auto"/>
          </w:divBdr>
        </w:div>
        <w:div w:id="1596353645">
          <w:marLeft w:val="0"/>
          <w:marRight w:val="0"/>
          <w:marTop w:val="0"/>
          <w:marBottom w:val="0"/>
          <w:divBdr>
            <w:top w:val="none" w:sz="0" w:space="0" w:color="auto"/>
            <w:left w:val="none" w:sz="0" w:space="0" w:color="auto"/>
            <w:bottom w:val="none" w:sz="0" w:space="0" w:color="auto"/>
            <w:right w:val="none" w:sz="0" w:space="0" w:color="auto"/>
          </w:divBdr>
        </w:div>
        <w:div w:id="741608268">
          <w:marLeft w:val="0"/>
          <w:marRight w:val="0"/>
          <w:marTop w:val="0"/>
          <w:marBottom w:val="0"/>
          <w:divBdr>
            <w:top w:val="none" w:sz="0" w:space="0" w:color="auto"/>
            <w:left w:val="none" w:sz="0" w:space="0" w:color="auto"/>
            <w:bottom w:val="none" w:sz="0" w:space="0" w:color="auto"/>
            <w:right w:val="none" w:sz="0" w:space="0" w:color="auto"/>
          </w:divBdr>
        </w:div>
        <w:div w:id="2118480030">
          <w:marLeft w:val="0"/>
          <w:marRight w:val="0"/>
          <w:marTop w:val="0"/>
          <w:marBottom w:val="0"/>
          <w:divBdr>
            <w:top w:val="none" w:sz="0" w:space="0" w:color="auto"/>
            <w:left w:val="none" w:sz="0" w:space="0" w:color="auto"/>
            <w:bottom w:val="none" w:sz="0" w:space="0" w:color="auto"/>
            <w:right w:val="none" w:sz="0" w:space="0" w:color="auto"/>
          </w:divBdr>
        </w:div>
        <w:div w:id="156849491">
          <w:marLeft w:val="0"/>
          <w:marRight w:val="0"/>
          <w:marTop w:val="0"/>
          <w:marBottom w:val="0"/>
          <w:divBdr>
            <w:top w:val="none" w:sz="0" w:space="0" w:color="auto"/>
            <w:left w:val="none" w:sz="0" w:space="0" w:color="auto"/>
            <w:bottom w:val="none" w:sz="0" w:space="0" w:color="auto"/>
            <w:right w:val="none" w:sz="0" w:space="0" w:color="auto"/>
          </w:divBdr>
        </w:div>
        <w:div w:id="1696494617">
          <w:marLeft w:val="0"/>
          <w:marRight w:val="0"/>
          <w:marTop w:val="0"/>
          <w:marBottom w:val="0"/>
          <w:divBdr>
            <w:top w:val="none" w:sz="0" w:space="0" w:color="auto"/>
            <w:left w:val="none" w:sz="0" w:space="0" w:color="auto"/>
            <w:bottom w:val="none" w:sz="0" w:space="0" w:color="auto"/>
            <w:right w:val="none" w:sz="0" w:space="0" w:color="auto"/>
          </w:divBdr>
        </w:div>
        <w:div w:id="27950606">
          <w:marLeft w:val="0"/>
          <w:marRight w:val="0"/>
          <w:marTop w:val="0"/>
          <w:marBottom w:val="0"/>
          <w:divBdr>
            <w:top w:val="none" w:sz="0" w:space="0" w:color="auto"/>
            <w:left w:val="none" w:sz="0" w:space="0" w:color="auto"/>
            <w:bottom w:val="none" w:sz="0" w:space="0" w:color="auto"/>
            <w:right w:val="none" w:sz="0" w:space="0" w:color="auto"/>
          </w:divBdr>
        </w:div>
        <w:div w:id="472522553">
          <w:marLeft w:val="0"/>
          <w:marRight w:val="0"/>
          <w:marTop w:val="0"/>
          <w:marBottom w:val="0"/>
          <w:divBdr>
            <w:top w:val="none" w:sz="0" w:space="0" w:color="auto"/>
            <w:left w:val="none" w:sz="0" w:space="0" w:color="auto"/>
            <w:bottom w:val="none" w:sz="0" w:space="0" w:color="auto"/>
            <w:right w:val="none" w:sz="0" w:space="0" w:color="auto"/>
          </w:divBdr>
        </w:div>
        <w:div w:id="1633099096">
          <w:marLeft w:val="0"/>
          <w:marRight w:val="0"/>
          <w:marTop w:val="0"/>
          <w:marBottom w:val="0"/>
          <w:divBdr>
            <w:top w:val="none" w:sz="0" w:space="0" w:color="auto"/>
            <w:left w:val="none" w:sz="0" w:space="0" w:color="auto"/>
            <w:bottom w:val="none" w:sz="0" w:space="0" w:color="auto"/>
            <w:right w:val="none" w:sz="0" w:space="0" w:color="auto"/>
          </w:divBdr>
        </w:div>
        <w:div w:id="1388721619">
          <w:marLeft w:val="0"/>
          <w:marRight w:val="0"/>
          <w:marTop w:val="0"/>
          <w:marBottom w:val="0"/>
          <w:divBdr>
            <w:top w:val="none" w:sz="0" w:space="0" w:color="auto"/>
            <w:left w:val="none" w:sz="0" w:space="0" w:color="auto"/>
            <w:bottom w:val="none" w:sz="0" w:space="0" w:color="auto"/>
            <w:right w:val="none" w:sz="0" w:space="0" w:color="auto"/>
          </w:divBdr>
        </w:div>
        <w:div w:id="1847943954">
          <w:marLeft w:val="0"/>
          <w:marRight w:val="0"/>
          <w:marTop w:val="0"/>
          <w:marBottom w:val="0"/>
          <w:divBdr>
            <w:top w:val="none" w:sz="0" w:space="0" w:color="auto"/>
            <w:left w:val="none" w:sz="0" w:space="0" w:color="auto"/>
            <w:bottom w:val="none" w:sz="0" w:space="0" w:color="auto"/>
            <w:right w:val="none" w:sz="0" w:space="0" w:color="auto"/>
          </w:divBdr>
        </w:div>
        <w:div w:id="1400051506">
          <w:marLeft w:val="0"/>
          <w:marRight w:val="0"/>
          <w:marTop w:val="0"/>
          <w:marBottom w:val="0"/>
          <w:divBdr>
            <w:top w:val="none" w:sz="0" w:space="0" w:color="auto"/>
            <w:left w:val="none" w:sz="0" w:space="0" w:color="auto"/>
            <w:bottom w:val="none" w:sz="0" w:space="0" w:color="auto"/>
            <w:right w:val="none" w:sz="0" w:space="0" w:color="auto"/>
          </w:divBdr>
        </w:div>
        <w:div w:id="1489862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thub.com/alexgoodell/california_tb" TargetMode="External"/><Relationship Id="rId6" Type="http://schemas.openxmlformats.org/officeDocument/2006/relationships/hyperlink" Target="http://34.201.26.231/limcat/hdd/share"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33816</Words>
  <Characters>192753</Characters>
  <Application>Microsoft Macintosh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Priya Shete</cp:lastModifiedBy>
  <cp:revision>2</cp:revision>
  <dcterms:created xsi:type="dcterms:W3CDTF">2019-03-20T20:45:00Z</dcterms:created>
  <dcterms:modified xsi:type="dcterms:W3CDTF">2019-03-20T20:45:00Z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id="x7S5bpfb"/&gt;&lt;style id="http://www.zotero.org/styles/american-journal-of-respiratory-and-critical-care-medicine-2" hasBibliography="1" bibliographyStyleHasBeenSet="1"/&gt;&lt;prefs&gt;&lt;pref name="fieldTyp</vt:lpwstr>
  </property>
  <property fmtid="{D5CDD505-2E9C-101B-9397-08002B2CF9AE}" pid="3" name="ZOTERO_PREF_2">
    <vt:lpwstr>e" value="Field"/&gt;&lt;pref name="storeReferences" value="true"/&gt;&lt;pref name="automaticJournalAbbreviations" value="true"/&gt;&lt;pref name="noteType" value=""/&gt;&lt;/prefs&gt;&lt;/data&gt;</vt:lpwstr>
  </property>
</Properties>
</file>