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82" w:rsidRPr="003C1482" w:rsidRDefault="003C1482" w:rsidP="003C1482">
      <w:pPr>
        <w:pStyle w:val="Heading1"/>
        <w:rPr>
          <w:rFonts w:cs="Times New Roman"/>
        </w:rPr>
      </w:pPr>
      <w:bookmarkStart w:id="0" w:name="_Toc525474056"/>
      <w:bookmarkStart w:id="1" w:name="_GoBack"/>
      <w:bookmarkEnd w:id="1"/>
      <w:r w:rsidRPr="003C1482">
        <w:rPr>
          <w:rFonts w:cs="Times New Roman"/>
        </w:rPr>
        <w:t>S5</w:t>
      </w:r>
      <w:r w:rsidR="00AD58F9">
        <w:rPr>
          <w:rFonts w:cs="Times New Roman"/>
        </w:rPr>
        <w:t xml:space="preserve"> </w:t>
      </w:r>
      <w:r w:rsidRPr="003C1482">
        <w:rPr>
          <w:rFonts w:cs="Times New Roman"/>
        </w:rPr>
        <w:t>Table: Estimated pathogen proportions stratified by covariates controlling for seasonality</w:t>
      </w:r>
      <w:bookmarkEnd w:id="0"/>
    </w:p>
    <w:p w:rsidR="003C1482" w:rsidRPr="00D338F8" w:rsidRDefault="003C1482" w:rsidP="003C148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2157" w:type="dxa"/>
        <w:tblLayout w:type="fixed"/>
        <w:tblLook w:val="04A0" w:firstRow="1" w:lastRow="0" w:firstColumn="1" w:lastColumn="0" w:noHBand="0" w:noVBand="1"/>
      </w:tblPr>
      <w:tblGrid>
        <w:gridCol w:w="2700"/>
        <w:gridCol w:w="1978"/>
        <w:gridCol w:w="2835"/>
        <w:gridCol w:w="1559"/>
        <w:gridCol w:w="3085"/>
      </w:tblGrid>
      <w:tr w:rsidR="003C1482" w:rsidRPr="00D338F8" w:rsidTr="00447050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Pathogen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HIV unexposed**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HIV exposed</w:t>
            </w:r>
          </w:p>
        </w:tc>
      </w:tr>
      <w:tr w:rsidR="003C1482" w:rsidRPr="00D338F8" w:rsidTr="00447050">
        <w:trPr>
          <w:trHeight w:val="636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 = 1,231 </w:t>
            </w: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%* (95%CI)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 = 332</w:t>
            </w: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%* (95%CI)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 = 842 </w:t>
            </w: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%* (95%CI)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 = 389</w:t>
            </w: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%* (95%CI)</w:t>
            </w:r>
          </w:p>
        </w:tc>
      </w:tr>
      <w:tr w:rsidR="003C1482" w:rsidRPr="00D338F8" w:rsidTr="00447050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Group B </w:t>
            </w:r>
            <w:r w:rsidRPr="00D338F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Streptococcus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4.8 (4.1-5.8)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7.6 (6.4-9.4)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5.8 (4.8-6.9)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 (2.1-4.0)</w:t>
            </w:r>
          </w:p>
        </w:tc>
      </w:tr>
      <w:tr w:rsidR="003C1482" w:rsidRPr="00D338F8" w:rsidTr="00447050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Ureaplasma </w:t>
            </w:r>
            <w:r w:rsidRPr="00D338F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spp.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5.4 (3.6-8.0)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5.2 (3.0-9.0)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5.5 (3.7-8.1)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5.2 (2.8-9.0)</w:t>
            </w:r>
          </w:p>
        </w:tc>
      </w:tr>
      <w:tr w:rsidR="003C1482" w:rsidRPr="00D338F8" w:rsidTr="00447050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Cytomegalovirus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 (0.4-2.7)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1.4 (0.3-3.5)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1.2 (0.3-2.8)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1.3 (0.2-4.2)</w:t>
            </w:r>
          </w:p>
        </w:tc>
      </w:tr>
      <w:tr w:rsidR="003C1482" w:rsidRPr="00D338F8" w:rsidTr="00447050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E. coli/Shigella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1.5 (1.1-2.3)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2.0 (1.3-3.5)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1.3 (0.8-2.2)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2.0 (1.4-3.0)</w:t>
            </w:r>
          </w:p>
        </w:tc>
      </w:tr>
      <w:tr w:rsidR="003C1482" w:rsidRPr="00D338F8" w:rsidTr="00447050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Klebsiella pneumoniae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1.8 (0.7-3.7)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2.3 (0.6-5.2)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1.7 (0.5-4.0)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2.1 (0.5-4.6)</w:t>
            </w:r>
          </w:p>
        </w:tc>
      </w:tr>
      <w:tr w:rsidR="003C1482" w:rsidRPr="00D338F8" w:rsidTr="00447050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Pan-</w:t>
            </w:r>
            <w:r w:rsidRPr="00D338F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Salmonella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 (0.4-2.5)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1.7 (0.3-4.2)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0.7 (0.1-2.3)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2.1 (0.7-4.5)</w:t>
            </w:r>
          </w:p>
        </w:tc>
      </w:tr>
      <w:tr w:rsidR="003C1482" w:rsidRPr="00D338F8" w:rsidTr="00447050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Staphylococcus aureus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1.0 (0.4-2.2)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0.7 (0.5-1.5)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1.5 (0.6-3.2)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</w:tr>
      <w:tr w:rsidR="003C1482" w:rsidRPr="00D338F8" w:rsidTr="00447050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Neisseria meningitidis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0.5 (0.2-1.2)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0.7 (0.4-1.7)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</w:tr>
      <w:tr w:rsidR="003C1482" w:rsidRPr="00D338F8" w:rsidTr="00447050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Streptococcus pneumoniae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0.6 (0.4-1.1)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0.9 (0.5-1.9)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0.5 (0.3-1.1)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0.8 (0.4-1.9)</w:t>
            </w:r>
          </w:p>
        </w:tc>
      </w:tr>
      <w:tr w:rsidR="003C1482" w:rsidRPr="00D338F8" w:rsidTr="00447050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Rhinovirus/Enterovirus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 (0.1-0.3)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0.2 (0.1-0.5)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</w:tr>
      <w:tr w:rsidR="003C1482" w:rsidRPr="00D338F8" w:rsidTr="00447050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482" w:rsidRPr="00D338F8" w:rsidRDefault="003C1482" w:rsidP="0044705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Acinetobacter baumannii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 (0.6-0.8)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1.8 (1.5-2.2)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0.7 (0.6-0.8)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0.6 (0.5-0.9)</w:t>
            </w:r>
          </w:p>
        </w:tc>
      </w:tr>
      <w:tr w:rsidR="003C1482" w:rsidRPr="00D338F8" w:rsidTr="00447050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482" w:rsidRPr="00D338F8" w:rsidRDefault="003C1482" w:rsidP="0044705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Enterococcus faecalis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 (1.2-1.8)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0.5 (0.4-0.7)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1.7 (1.3-2.2)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1.0 (0.7-1.4)</w:t>
            </w:r>
          </w:p>
        </w:tc>
      </w:tr>
      <w:tr w:rsidR="003C1482" w:rsidRPr="00D338F8" w:rsidTr="00447050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482" w:rsidRPr="00CF2487" w:rsidRDefault="003C1482" w:rsidP="0044705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CF248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Viridans streptococci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4.2 (3.5-5.1)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4.1 (3.4-5.0)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4.2 (3.4-5.3)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4.2 (3.3-5.6)</w:t>
            </w:r>
          </w:p>
        </w:tc>
      </w:tr>
      <w:tr w:rsidR="003C1482" w:rsidRPr="00D338F8" w:rsidTr="00447050">
        <w:trPr>
          <w:trHeight w:val="288"/>
        </w:trPr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482" w:rsidRPr="00D338F8" w:rsidRDefault="003C1482" w:rsidP="00447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Other cult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ure</w:t>
            </w: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pathogens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 (2.0-3.0)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3.0 (2.3-4.2)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1.2 (0.9-1.6)</w:t>
            </w:r>
          </w:p>
        </w:tc>
        <w:tc>
          <w:tcPr>
            <w:tcW w:w="3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sz w:val="20"/>
                <w:szCs w:val="20"/>
              </w:rPr>
              <w:t>5.0 (4.0-6.5)</w:t>
            </w:r>
          </w:p>
        </w:tc>
      </w:tr>
      <w:tr w:rsidR="003C1482" w:rsidRPr="00D338F8" w:rsidTr="00447050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482" w:rsidRPr="00D338F8" w:rsidRDefault="003C1482" w:rsidP="00447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73.3 (68.2-77.2)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68.8 (62.6-73.9)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73.3 (68.1-77.9)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482" w:rsidRPr="00D338F8" w:rsidRDefault="003C1482" w:rsidP="00447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73.1 (65.6-78.6)</w:t>
            </w:r>
          </w:p>
        </w:tc>
      </w:tr>
      <w:tr w:rsidR="003C1482" w:rsidRPr="00D338F8" w:rsidTr="00447050">
        <w:trPr>
          <w:trHeight w:val="288"/>
        </w:trPr>
        <w:tc>
          <w:tcPr>
            <w:tcW w:w="1215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C1482" w:rsidRPr="00D338F8" w:rsidRDefault="003C1482" w:rsidP="00447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C1482" w:rsidRPr="00D338F8" w:rsidRDefault="003C1482" w:rsidP="00447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 Pathogen proportion is defined as the percent of total cases in which a given pathogen has played a causative role in disease development</w:t>
            </w:r>
          </w:p>
        </w:tc>
      </w:tr>
      <w:tr w:rsidR="003C1482" w:rsidRPr="00D338F8" w:rsidTr="00447050">
        <w:trPr>
          <w:trHeight w:val="288"/>
        </w:trPr>
        <w:tc>
          <w:tcPr>
            <w:tcW w:w="1215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1482" w:rsidRPr="00D338F8" w:rsidRDefault="003C1482" w:rsidP="00447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38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 Includes 56 case infants with unknown maternal HIV status</w:t>
            </w:r>
          </w:p>
        </w:tc>
      </w:tr>
    </w:tbl>
    <w:p w:rsidR="00843601" w:rsidRDefault="00843601"/>
    <w:sectPr w:rsidR="00843601" w:rsidSect="003C14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82"/>
    <w:rsid w:val="003C1482"/>
    <w:rsid w:val="00843601"/>
    <w:rsid w:val="00AD58F9"/>
    <w:rsid w:val="00F2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E5C16-AAFB-43D1-BC16-259206CF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482"/>
    <w:pPr>
      <w:spacing w:after="200" w:line="48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482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482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2019-03-13T04:55:00Z</dcterms:created>
  <dcterms:modified xsi:type="dcterms:W3CDTF">2019-03-13T04:55:00Z</dcterms:modified>
</cp:coreProperties>
</file>