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18B" w:rsidRDefault="00FE718B" w:rsidP="009540B6">
      <w:r>
        <w:rPr>
          <w:noProof/>
          <w:lang w:val="en-IN" w:eastAsia="en-IN"/>
        </w:rPr>
        <w:drawing>
          <wp:inline distT="0" distB="0" distL="0" distR="0">
            <wp:extent cx="5943600" cy="17830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8B" w:rsidRPr="00D67ACD" w:rsidRDefault="00FE718B" w:rsidP="009540B6">
      <w:pPr>
        <w:rPr>
          <w:rFonts w:cs="Times New Roman"/>
        </w:rPr>
      </w:pPr>
      <w:r>
        <w:t>Figure S1</w:t>
      </w:r>
      <w:r w:rsidRPr="00301EE7">
        <w:t>: A multivariate time series o</w:t>
      </w:r>
      <w:r w:rsidRPr="00D67ACD">
        <w:rPr>
          <w:rFonts w:cs="Times New Roman"/>
        </w:rPr>
        <w:t xml:space="preserve">f the weekly number of </w:t>
      </w:r>
      <w:r>
        <w:rPr>
          <w:rFonts w:cs="Times New Roman"/>
        </w:rPr>
        <w:t>therapeutic prescriptions of oseltamivir among the 579 core based statistical areas, with</w:t>
      </w:r>
      <w:r w:rsidRPr="00D67ACD">
        <w:rPr>
          <w:rFonts w:cs="Times New Roman"/>
        </w:rPr>
        <w:t xml:space="preserve"> severity measured by the moving epidemic method. Weeks when the number of cases was below the intensity threshold at α=0.50 (IT</w:t>
      </w:r>
      <w:r w:rsidRPr="00D67ACD">
        <w:rPr>
          <w:rFonts w:cs="Times New Roman"/>
          <w:vertAlign w:val="subscript"/>
        </w:rPr>
        <w:t>50</w:t>
      </w:r>
      <w:r w:rsidRPr="00D67ACD">
        <w:rPr>
          <w:rFonts w:cs="Times New Roman"/>
        </w:rPr>
        <w:t>) are labeled low severity weeks for that core based statistical area; weeks between IT</w:t>
      </w:r>
      <w:r w:rsidRPr="00D67ACD">
        <w:rPr>
          <w:rFonts w:cs="Times New Roman"/>
          <w:vertAlign w:val="subscript"/>
        </w:rPr>
        <w:t>50</w:t>
      </w:r>
      <w:r w:rsidRPr="00D67ACD">
        <w:rPr>
          <w:rFonts w:cs="Times New Roman"/>
        </w:rPr>
        <w:t xml:space="preserve"> and IT</w:t>
      </w:r>
      <w:r w:rsidRPr="00D67ACD">
        <w:rPr>
          <w:rFonts w:cs="Times New Roman"/>
          <w:vertAlign w:val="subscript"/>
        </w:rPr>
        <w:t>90</w:t>
      </w:r>
      <w:r w:rsidRPr="00D67ACD">
        <w:rPr>
          <w:rFonts w:cs="Times New Roman"/>
        </w:rPr>
        <w:t xml:space="preserve"> are labeled moderate severity weeks, weeks between IT</w:t>
      </w:r>
      <w:r w:rsidRPr="00D67ACD">
        <w:rPr>
          <w:rFonts w:cs="Times New Roman"/>
          <w:vertAlign w:val="subscript"/>
        </w:rPr>
        <w:t>90</w:t>
      </w:r>
      <w:r w:rsidRPr="00D67ACD">
        <w:rPr>
          <w:rFonts w:cs="Times New Roman"/>
        </w:rPr>
        <w:t xml:space="preserve"> and IT</w:t>
      </w:r>
      <w:r w:rsidRPr="00D67ACD">
        <w:rPr>
          <w:rFonts w:cs="Times New Roman"/>
          <w:vertAlign w:val="subscript"/>
        </w:rPr>
        <w:t>98</w:t>
      </w:r>
      <w:r w:rsidRPr="00D67ACD">
        <w:rPr>
          <w:rFonts w:cs="Times New Roman"/>
        </w:rPr>
        <w:t xml:space="preserve"> are labelled high severity weeks, and weeks over IT</w:t>
      </w:r>
      <w:r w:rsidRPr="00D67ACD">
        <w:rPr>
          <w:rFonts w:cs="Times New Roman"/>
          <w:vertAlign w:val="subscript"/>
        </w:rPr>
        <w:t>98</w:t>
      </w:r>
      <w:r w:rsidRPr="00D67ACD">
        <w:rPr>
          <w:rFonts w:cs="Times New Roman"/>
        </w:rPr>
        <w:t xml:space="preserve"> are labeled very high severity weeks.</w:t>
      </w:r>
      <w:r>
        <w:rPr>
          <w:rFonts w:cs="Times New Roman"/>
        </w:rPr>
        <w:t xml:space="preserve"> [1.5 column, color]</w:t>
      </w:r>
    </w:p>
    <w:p w:rsidR="00FE718B" w:rsidRDefault="00FE718B" w:rsidP="009540B6">
      <w:pPr>
        <w:rPr>
          <w:rFonts w:cs="Times New Roman"/>
          <w:szCs w:val="24"/>
        </w:rPr>
        <w:sectPr w:rsidR="00FE718B" w:rsidSect="009540B6">
          <w:footerReference w:type="default" r:id="rId8"/>
          <w:footerReference w:type="first" r:id="rId9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FE718B" w:rsidRDefault="00FE718B" w:rsidP="009540B6">
      <w:pPr>
        <w:rPr>
          <w:rFonts w:cs="Times New Roman"/>
        </w:rPr>
      </w:pPr>
      <w:r>
        <w:rPr>
          <w:rFonts w:cs="Times New Roman"/>
          <w:noProof/>
          <w:lang w:val="en-IN" w:eastAsia="en-IN"/>
        </w:rPr>
        <w:lastRenderedPageBreak/>
        <w:drawing>
          <wp:inline distT="0" distB="0" distL="0" distR="0">
            <wp:extent cx="7543800" cy="4023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8B" w:rsidRDefault="00FE718B" w:rsidP="009540B6">
      <w:pPr>
        <w:rPr>
          <w:rFonts w:cs="Times New Roman"/>
          <w:szCs w:val="24"/>
        </w:rPr>
      </w:pPr>
      <w:r>
        <w:rPr>
          <w:rFonts w:cs="Times New Roman"/>
        </w:rPr>
        <w:t>Figure S2</w:t>
      </w:r>
      <w:r w:rsidRPr="00D67ACD">
        <w:rPr>
          <w:rFonts w:cs="Times New Roman"/>
        </w:rPr>
        <w:t xml:space="preserve">: Seasonal maps of influenza severity as measured by the </w:t>
      </w:r>
      <w:r>
        <w:rPr>
          <w:rFonts w:cs="Times New Roman"/>
        </w:rPr>
        <w:t xml:space="preserve">total </w:t>
      </w:r>
      <w:r w:rsidRPr="00D67ACD">
        <w:rPr>
          <w:rFonts w:cs="Times New Roman"/>
        </w:rPr>
        <w:t xml:space="preserve">sum of </w:t>
      </w:r>
      <w:r w:rsidRPr="00D67ACD">
        <w:rPr>
          <w:rFonts w:cs="Times New Roman"/>
          <w:szCs w:val="24"/>
        </w:rPr>
        <w:t xml:space="preserve">therapeutic </w:t>
      </w:r>
      <w:r>
        <w:rPr>
          <w:rFonts w:cs="Times New Roman"/>
          <w:szCs w:val="24"/>
        </w:rPr>
        <w:t>prescription</w:t>
      </w:r>
      <w:r w:rsidRPr="00D67ACD">
        <w:rPr>
          <w:rFonts w:cs="Times New Roman"/>
          <w:szCs w:val="24"/>
        </w:rPr>
        <w:t>s of oseltamivir.</w:t>
      </w:r>
      <w:r>
        <w:rPr>
          <w:rFonts w:cs="Times New Roman"/>
          <w:szCs w:val="24"/>
        </w:rPr>
        <w:t xml:space="preserve"> </w:t>
      </w:r>
      <w:r>
        <w:rPr>
          <w:rFonts w:cs="Times New Roman"/>
        </w:rPr>
        <w:t>[2 column, color]</w:t>
      </w:r>
    </w:p>
    <w:p w:rsidR="00FE718B" w:rsidRDefault="00FE718B" w:rsidP="009540B6">
      <w:pPr>
        <w:rPr>
          <w:rFonts w:cs="Times New Roman"/>
        </w:rPr>
        <w:sectPr w:rsidR="00FE718B" w:rsidSect="009540B6"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</w:p>
    <w:p w:rsidR="00FE718B" w:rsidRDefault="00FE718B" w:rsidP="009540B6">
      <w:pPr>
        <w:rPr>
          <w:rFonts w:cs="Times New Roman"/>
        </w:rPr>
      </w:pPr>
      <w:r>
        <w:rPr>
          <w:rFonts w:cs="Times New Roman"/>
          <w:noProof/>
          <w:lang w:val="en-IN" w:eastAsia="en-IN"/>
        </w:rPr>
        <w:lastRenderedPageBreak/>
        <w:drawing>
          <wp:inline distT="0" distB="0" distL="0" distR="0">
            <wp:extent cx="5943600" cy="41605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0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8B" w:rsidRPr="00D67ACD" w:rsidRDefault="00FE718B" w:rsidP="009540B6">
      <w:pPr>
        <w:rPr>
          <w:rFonts w:cs="Times New Roman"/>
        </w:rPr>
      </w:pPr>
      <w:r>
        <w:rPr>
          <w:rFonts w:cs="Times New Roman"/>
        </w:rPr>
        <w:t>Figure S3</w:t>
      </w:r>
      <w:r w:rsidRPr="00D67ACD">
        <w:rPr>
          <w:rFonts w:cs="Times New Roman"/>
        </w:rPr>
        <w:t xml:space="preserve">: Seasonal plots of maximum weekly </w:t>
      </w:r>
      <w:r>
        <w:rPr>
          <w:rFonts w:cs="Times New Roman"/>
        </w:rPr>
        <w:t xml:space="preserve">number of therapeutic prescriptions of oseltamivir </w:t>
      </w:r>
      <w:r w:rsidRPr="00D67ACD">
        <w:rPr>
          <w:rFonts w:cs="Times New Roman"/>
        </w:rPr>
        <w:t xml:space="preserve">versus </w:t>
      </w:r>
      <w:r>
        <w:rPr>
          <w:rFonts w:cs="Times New Roman"/>
        </w:rPr>
        <w:t>the total number of therapeutic prescriptions of oseltamivir</w:t>
      </w:r>
      <w:r w:rsidRPr="00D67ACD">
        <w:rPr>
          <w:rFonts w:cs="Times New Roman"/>
        </w:rPr>
        <w:t xml:space="preserve">. </w:t>
      </w:r>
      <w:r>
        <w:rPr>
          <w:rFonts w:cs="Times New Roman"/>
        </w:rPr>
        <w:t>[1.5 column, black and white]</w:t>
      </w:r>
    </w:p>
    <w:p w:rsidR="00FE718B" w:rsidRDefault="00FE718B" w:rsidP="009540B6">
      <w:pPr>
        <w:rPr>
          <w:rFonts w:cs="Times New Roman"/>
        </w:rPr>
        <w:sectPr w:rsidR="00FE718B" w:rsidSect="009540B6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FE718B" w:rsidRDefault="00FE718B" w:rsidP="009540B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IN" w:eastAsia="en-IN"/>
        </w:rPr>
        <w:lastRenderedPageBreak/>
        <w:drawing>
          <wp:inline distT="0" distB="0" distL="0" distR="0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0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8B" w:rsidRPr="00D67ACD" w:rsidRDefault="00FE718B" w:rsidP="009540B6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Figure S4: A plot of the percent of </w:t>
      </w:r>
      <w:r w:rsidRPr="00D67ACD">
        <w:rPr>
          <w:rFonts w:cs="Times New Roman"/>
          <w:szCs w:val="24"/>
        </w:rPr>
        <w:t>the current season’s severity grouped by the previous seasonal severity</w:t>
      </w:r>
      <w:r>
        <w:rPr>
          <w:rFonts w:cs="Times New Roman"/>
          <w:szCs w:val="24"/>
        </w:rPr>
        <w:t xml:space="preserve"> among core base statistical areas</w:t>
      </w:r>
      <w:r w:rsidRPr="00D67ACD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cs="Times New Roman"/>
        </w:rPr>
        <w:t>[1 column, black and white]</w:t>
      </w:r>
    </w:p>
    <w:p w:rsidR="00FE718B" w:rsidRDefault="00FE718B" w:rsidP="009540B6">
      <w:pPr>
        <w:rPr>
          <w:rFonts w:cs="Times New Roman"/>
        </w:rPr>
        <w:sectPr w:rsidR="00FE718B" w:rsidSect="009540B6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FE718B" w:rsidRDefault="00FE718B" w:rsidP="009540B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IN" w:eastAsia="en-IN"/>
        </w:rPr>
        <w:lastRenderedPageBreak/>
        <w:drawing>
          <wp:inline distT="0" distB="0" distL="0" distR="0">
            <wp:extent cx="5943600" cy="3566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0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8B" w:rsidRDefault="00FE718B" w:rsidP="009540B6">
      <w:pPr>
        <w:rPr>
          <w:rFonts w:cs="Times New Roman"/>
        </w:rPr>
      </w:pPr>
      <w:r>
        <w:rPr>
          <w:rFonts w:cs="Times New Roman"/>
          <w:szCs w:val="24"/>
        </w:rPr>
        <w:t>Figure S5</w:t>
      </w:r>
      <w:r w:rsidRPr="00D67ACD">
        <w:rPr>
          <w:rFonts w:cs="Times New Roman"/>
          <w:szCs w:val="24"/>
        </w:rPr>
        <w:t xml:space="preserve">: Seasonal boxplots of the average week weighted by the number of </w:t>
      </w:r>
      <w:r>
        <w:rPr>
          <w:rFonts w:cs="Times New Roman"/>
          <w:szCs w:val="24"/>
        </w:rPr>
        <w:t xml:space="preserve">therapeutic oseltamivir prescriptions </w:t>
      </w:r>
      <w:r w:rsidRPr="00D67ACD">
        <w:rPr>
          <w:rFonts w:cs="Times New Roman"/>
          <w:szCs w:val="24"/>
        </w:rPr>
        <w:t>versus relative time lag.</w:t>
      </w:r>
      <w:r>
        <w:rPr>
          <w:rFonts w:cs="Times New Roman"/>
          <w:szCs w:val="24"/>
        </w:rPr>
        <w:t xml:space="preserve"> The average week is the expectation of the week of a prescription of oseltamivir within a core based statistical area (CBSA). The relative time lag is how many weeks the CBSA is collectively ahead or behind the other CBSAs. </w:t>
      </w:r>
      <w:r>
        <w:rPr>
          <w:rFonts w:cs="Times New Roman"/>
        </w:rPr>
        <w:t>[1.5 column, black and white]</w:t>
      </w:r>
    </w:p>
    <w:p w:rsidR="00FE718B" w:rsidRDefault="00FE718B" w:rsidP="009540B6">
      <w:pPr>
        <w:rPr>
          <w:rFonts w:cs="Times New Roman"/>
        </w:rPr>
        <w:sectPr w:rsidR="00FE718B" w:rsidSect="009540B6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FE718B" w:rsidRDefault="00FE718B" w:rsidP="009540B6">
      <w:pPr>
        <w:rPr>
          <w:rFonts w:cs="Times New Roman"/>
        </w:rPr>
      </w:pPr>
      <w:r>
        <w:rPr>
          <w:rFonts w:cs="Times New Roman"/>
          <w:noProof/>
          <w:lang w:val="en-IN" w:eastAsia="en-IN"/>
        </w:rPr>
        <w:lastRenderedPageBreak/>
        <w:drawing>
          <wp:inline distT="0" distB="0" distL="0" distR="0">
            <wp:extent cx="5943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S2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8B" w:rsidRPr="00D67ACD" w:rsidRDefault="00FE718B" w:rsidP="009540B6">
      <w:pPr>
        <w:rPr>
          <w:rFonts w:cs="Times New Roman"/>
        </w:rPr>
      </w:pPr>
      <w:r>
        <w:rPr>
          <w:rFonts w:cs="Times New Roman"/>
        </w:rPr>
        <w:t>Figure S6</w:t>
      </w:r>
      <w:r w:rsidRPr="00D67ACD">
        <w:rPr>
          <w:rFonts w:cs="Times New Roman"/>
        </w:rPr>
        <w:t xml:space="preserve">: A seasonal-trend decomposition by LOESS of the </w:t>
      </w:r>
      <w:r>
        <w:rPr>
          <w:rFonts w:cs="Times New Roman"/>
        </w:rPr>
        <w:t xml:space="preserve">multivariate </w:t>
      </w:r>
      <w:r w:rsidRPr="00D67ACD">
        <w:rPr>
          <w:rFonts w:cs="Times New Roman"/>
        </w:rPr>
        <w:t xml:space="preserve">time series of the weekly </w:t>
      </w:r>
      <w:r w:rsidRPr="00D67ACD">
        <w:rPr>
          <w:rFonts w:cs="Times New Roman"/>
          <w:noProof/>
          <w:szCs w:val="24"/>
        </w:rPr>
        <w:t xml:space="preserve">number </w:t>
      </w:r>
      <w:r>
        <w:rPr>
          <w:rFonts w:cs="Times New Roman"/>
          <w:noProof/>
          <w:szCs w:val="24"/>
        </w:rPr>
        <w:t>of therapeutic prescriptions of oseltamivir</w:t>
      </w:r>
      <w:r w:rsidRPr="00D67ACD">
        <w:rPr>
          <w:rFonts w:cs="Times New Roman"/>
          <w:noProof/>
          <w:szCs w:val="24"/>
        </w:rPr>
        <w:t>.</w:t>
      </w:r>
      <w:r>
        <w:rPr>
          <w:rFonts w:cs="Times New Roman"/>
          <w:noProof/>
          <w:szCs w:val="24"/>
        </w:rPr>
        <w:t xml:space="preserve"> </w:t>
      </w:r>
      <w:r>
        <w:rPr>
          <w:rFonts w:cs="Times New Roman"/>
        </w:rPr>
        <w:t>[1.5 column, color]</w:t>
      </w:r>
    </w:p>
    <w:p w:rsidR="00FE718B" w:rsidRDefault="00FE718B" w:rsidP="009540B6">
      <w:pPr>
        <w:rPr>
          <w:rFonts w:cs="Times New Roman"/>
        </w:rPr>
        <w:sectPr w:rsidR="00FE718B" w:rsidSect="009540B6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5D4764" w:rsidRPr="005D4764" w:rsidRDefault="005D4764" w:rsidP="00105852">
      <w:pPr>
        <w:pStyle w:val="Heading1"/>
      </w:pPr>
      <w:bookmarkStart w:id="0" w:name="_GoBack"/>
      <w:bookmarkEnd w:id="0"/>
    </w:p>
    <w:sectPr w:rsidR="005D4764" w:rsidRPr="005D4764" w:rsidSect="009540B6">
      <w:headerReference w:type="default" r:id="rId15"/>
      <w:footerReference w:type="default" r:id="rId16"/>
      <w:pgSz w:w="12240" w:h="15840" w:code="1"/>
      <w:pgMar w:top="1800" w:right="1800" w:bottom="180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D5A" w:rsidRDefault="00205D5A" w:rsidP="00FE718B">
      <w:pPr>
        <w:spacing w:after="0" w:line="240" w:lineRule="auto"/>
      </w:pPr>
      <w:r>
        <w:separator/>
      </w:r>
    </w:p>
  </w:endnote>
  <w:endnote w:type="continuationSeparator" w:id="0">
    <w:p w:rsidR="00205D5A" w:rsidRDefault="00205D5A" w:rsidP="00FE7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1606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4634" w:rsidRDefault="000A46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85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A4634" w:rsidRDefault="000A46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6820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4634" w:rsidRDefault="000A46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85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A4634" w:rsidRDefault="000A46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53243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4634" w:rsidRDefault="000A46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85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A4634" w:rsidRDefault="000A46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D5A" w:rsidRDefault="00205D5A" w:rsidP="00FE718B">
      <w:pPr>
        <w:spacing w:after="0" w:line="240" w:lineRule="auto"/>
      </w:pPr>
      <w:r>
        <w:separator/>
      </w:r>
    </w:p>
  </w:footnote>
  <w:footnote w:type="continuationSeparator" w:id="0">
    <w:p w:rsidR="00205D5A" w:rsidRDefault="00205D5A" w:rsidP="00FE7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634" w:rsidRPr="00811AFC" w:rsidRDefault="000A4634" w:rsidP="009540B6">
    <w:pPr>
      <w:pStyle w:val="Header"/>
    </w:pPr>
    <w:r>
      <w:t>PATTERNS OF SEASONAL INFLUENZA IN THE US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178"/>
    <w:multiLevelType w:val="hybridMultilevel"/>
    <w:tmpl w:val="8D403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D2D37"/>
    <w:multiLevelType w:val="hybridMultilevel"/>
    <w:tmpl w:val="C4A6CF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FA5BCD"/>
    <w:multiLevelType w:val="hybridMultilevel"/>
    <w:tmpl w:val="FB604094"/>
    <w:lvl w:ilvl="0" w:tplc="343438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7404B"/>
    <w:multiLevelType w:val="hybridMultilevel"/>
    <w:tmpl w:val="9EAEE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62B15"/>
    <w:multiLevelType w:val="hybridMultilevel"/>
    <w:tmpl w:val="09EE4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A2BDA"/>
    <w:multiLevelType w:val="hybridMultilevel"/>
    <w:tmpl w:val="2C2AB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C444DE"/>
    <w:multiLevelType w:val="hybridMultilevel"/>
    <w:tmpl w:val="B03C618C"/>
    <w:lvl w:ilvl="0" w:tplc="C9F09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E718B"/>
    <w:rsid w:val="000A4634"/>
    <w:rsid w:val="000E0894"/>
    <w:rsid w:val="00105852"/>
    <w:rsid w:val="00160049"/>
    <w:rsid w:val="001D56D4"/>
    <w:rsid w:val="00205D5A"/>
    <w:rsid w:val="00265FBC"/>
    <w:rsid w:val="0028446E"/>
    <w:rsid w:val="002A6453"/>
    <w:rsid w:val="002B519D"/>
    <w:rsid w:val="002F7233"/>
    <w:rsid w:val="004070F5"/>
    <w:rsid w:val="005D4764"/>
    <w:rsid w:val="006A670F"/>
    <w:rsid w:val="007547D3"/>
    <w:rsid w:val="007E6FFF"/>
    <w:rsid w:val="00804E23"/>
    <w:rsid w:val="0087050C"/>
    <w:rsid w:val="008F4851"/>
    <w:rsid w:val="0090745C"/>
    <w:rsid w:val="009540B6"/>
    <w:rsid w:val="00B02F4A"/>
    <w:rsid w:val="00B54A27"/>
    <w:rsid w:val="00B84A36"/>
    <w:rsid w:val="00BB5901"/>
    <w:rsid w:val="00C0379E"/>
    <w:rsid w:val="00C8283C"/>
    <w:rsid w:val="00D26908"/>
    <w:rsid w:val="00FC70C6"/>
    <w:rsid w:val="00FE718B"/>
    <w:rsid w:val="00FF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5E2C12-54F1-4817-9921-05877B976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18B"/>
    <w:pPr>
      <w:spacing w:after="200" w:line="480" w:lineRule="auto"/>
    </w:pPr>
    <w:rPr>
      <w:rFonts w:ascii="Times New Roman" w:eastAsia="SimSu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718B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18B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18B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718B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718B"/>
    <w:rPr>
      <w:rFonts w:ascii="Times New Roman" w:eastAsiaTheme="majorEastAsia" w:hAnsi="Times New Roman" w:cstheme="majorBidi"/>
      <w:color w:val="000000" w:themeColor="text1"/>
      <w:sz w:val="24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E718B"/>
    <w:rPr>
      <w:rFonts w:ascii="Times New Roman" w:eastAsiaTheme="majorEastAsia" w:hAnsi="Times New Roman" w:cstheme="majorBidi"/>
      <w:color w:val="000000" w:themeColor="text1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7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18B"/>
    <w:rPr>
      <w:rFonts w:ascii="Times New Roman" w:eastAsia="SimSu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E7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18B"/>
    <w:rPr>
      <w:rFonts w:ascii="Times New Roman" w:eastAsia="SimSun" w:hAnsi="Times New Roman"/>
      <w:sz w:val="24"/>
    </w:rPr>
  </w:style>
  <w:style w:type="table" w:styleId="TableGrid">
    <w:name w:val="Table Grid"/>
    <w:basedOn w:val="TableNormal"/>
    <w:uiPriority w:val="59"/>
    <w:rsid w:val="00FE718B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E71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71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718B"/>
    <w:rPr>
      <w:rFonts w:ascii="Times New Roman" w:eastAsia="SimSu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1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718B"/>
    <w:rPr>
      <w:rFonts w:ascii="Times New Roman" w:eastAsia="SimSu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18B"/>
    <w:rPr>
      <w:rFonts w:ascii="Segoe UI" w:eastAsia="SimSu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E718B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FE718B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E718B"/>
    <w:rPr>
      <w:rFonts w:ascii="Times New Roman" w:eastAsia="SimSu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FE718B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E718B"/>
    <w:rPr>
      <w:rFonts w:ascii="Times New Roman" w:eastAsia="SimSun" w:hAnsi="Times New Roman" w:cs="Times New Roman"/>
      <w:noProof/>
      <w:sz w:val="24"/>
    </w:rPr>
  </w:style>
  <w:style w:type="character" w:styleId="PlaceholderText">
    <w:name w:val="Placeholder Text"/>
    <w:basedOn w:val="DefaultParagraphFont"/>
    <w:uiPriority w:val="99"/>
    <w:semiHidden/>
    <w:rsid w:val="00FE718B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718B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718B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718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71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718B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718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718B"/>
    <w:rPr>
      <w:rFonts w:ascii="Times New Roman" w:eastAsia="SimSu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E71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2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Bhim Bahadur Subba</cp:lastModifiedBy>
  <cp:revision>2</cp:revision>
  <cp:lastPrinted>2018-07-06T12:02:00Z</cp:lastPrinted>
  <dcterms:created xsi:type="dcterms:W3CDTF">2018-08-27T06:13:00Z</dcterms:created>
  <dcterms:modified xsi:type="dcterms:W3CDTF">2018-08-27T06:16:00Z</dcterms:modified>
</cp:coreProperties>
</file>