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33" w:rsidRPr="00210464" w:rsidRDefault="004A4B33" w:rsidP="004A4B33">
      <w:pPr>
        <w:pStyle w:val="Caption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Supplemental Online Table 1</w:t>
      </w:r>
      <w:bookmarkStart w:id="0" w:name="_GoBack"/>
      <w:bookmarkEnd w:id="0"/>
      <w:r w:rsidRPr="00210464">
        <w:rPr>
          <w:rFonts w:ascii="Times New Roman" w:hAnsi="Times New Roman"/>
          <w:sz w:val="24"/>
        </w:rPr>
        <w:t xml:space="preserve">: Adjusted Prevalence and Prevalence Ratio (PR) </w:t>
      </w:r>
      <w:r>
        <w:rPr>
          <w:rFonts w:ascii="Times New Roman" w:hAnsi="Times New Roman"/>
          <w:sz w:val="24"/>
        </w:rPr>
        <w:t xml:space="preserve">of </w:t>
      </w:r>
      <w:proofErr w:type="spellStart"/>
      <w:r>
        <w:rPr>
          <w:rFonts w:ascii="Times New Roman" w:hAnsi="Times New Roman"/>
          <w:sz w:val="24"/>
        </w:rPr>
        <w:t>Cardiom</w:t>
      </w:r>
      <w:r w:rsidRPr="00210464">
        <w:rPr>
          <w:rFonts w:ascii="Times New Roman" w:hAnsi="Times New Roman"/>
          <w:sz w:val="24"/>
        </w:rPr>
        <w:t>etabolic</w:t>
      </w:r>
      <w:proofErr w:type="spellEnd"/>
      <w:r w:rsidRPr="00210464">
        <w:rPr>
          <w:rFonts w:ascii="Times New Roman" w:hAnsi="Times New Roman"/>
          <w:sz w:val="24"/>
        </w:rPr>
        <w:t xml:space="preserve"> Risk</w:t>
      </w:r>
      <w:r>
        <w:rPr>
          <w:rFonts w:ascii="Times New Roman" w:hAnsi="Times New Roman"/>
          <w:sz w:val="24"/>
        </w:rPr>
        <w:t xml:space="preserve"> Factor Strata by Subsidy </w:t>
      </w:r>
      <w:r w:rsidRPr="0021046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core</w:t>
      </w:r>
      <w:r w:rsidRPr="00210464">
        <w:rPr>
          <w:rFonts w:ascii="Times New Roman" w:hAnsi="Times New Roman"/>
          <w:sz w:val="24"/>
        </w:rPr>
        <w:t xml:space="preserve"> Quartiles</w:t>
      </w:r>
      <w:r>
        <w:rPr>
          <w:rFonts w:ascii="Times New Roman" w:hAnsi="Times New Roman"/>
          <w:sz w:val="24"/>
        </w:rPr>
        <w:t>, NHANES 2001-2006</w:t>
      </w:r>
      <w:r w:rsidRPr="00210464">
        <w:rPr>
          <w:rFonts w:ascii="Times New Roman" w:hAnsi="Times New Roman"/>
          <w:sz w:val="24"/>
        </w:rPr>
        <w:t xml:space="preserve">                                     </w:t>
      </w:r>
    </w:p>
    <w:p w:rsidR="004A4B33" w:rsidRDefault="004A4B33" w:rsidP="004A4B33">
      <w:pPr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066"/>
        <w:gridCol w:w="566"/>
        <w:gridCol w:w="1261"/>
        <w:gridCol w:w="566"/>
        <w:gridCol w:w="1650"/>
        <w:gridCol w:w="566"/>
        <w:gridCol w:w="1650"/>
        <w:gridCol w:w="566"/>
        <w:gridCol w:w="2047"/>
      </w:tblGrid>
      <w:tr w:rsidR="004A4B33" w:rsidRPr="00854F96" w:rsidTr="00697237"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E72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(95% CI)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Normal 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E72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(0.85 – 1.02)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 – 0.96)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(0.71 – 0.89)</w:t>
            </w: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Overweight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(0.90 – 1.12)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 – 1.04)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(0.84 – 1.07)</w:t>
            </w:r>
          </w:p>
        </w:tc>
      </w:tr>
      <w:tr w:rsidR="004A4B33" w:rsidRPr="00854F96" w:rsidTr="00697237">
        <w:tc>
          <w:tcPr>
            <w:tcW w:w="2605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Obese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(0.99 – 1.21)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(1.14 – 1.46)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 (1.23 – 1.52)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Abdominal adiposity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&lt;0.52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 – 0.98)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(0.75 – 0.92)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(0.64 – 0.81)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0.52 - &lt;0.60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(0.91 – 1.15)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(0.89 – 1.14)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(0.88 – 1.13)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≥0.60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 (1.01 – 1.24)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 (1.12 – 1.36)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 (1.27 – 1.55)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</w:t>
            </w: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0.01 – 0.09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(0.84 – 1.05)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 – 0.97)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(0.72 – 0.89)</w:t>
            </w: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&gt;0.09 - &lt;0.32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(0.84 – 1.06)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 – 1.04)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(0.83 – 1.08)</w:t>
            </w:r>
          </w:p>
        </w:tc>
      </w:tr>
      <w:tr w:rsidR="004A4B33" w:rsidRPr="00854F96" w:rsidTr="00697237">
        <w:tc>
          <w:tcPr>
            <w:tcW w:w="2605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≥0.32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(1.02 – 1.32)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(1.17 – 1.42)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 (1.19- 1.51)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Normal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(0.92 – 1.09)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(0.96 – 1.12)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(0.88 – 1.06)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-hypertension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 – 1.03)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(0.80 – 1.08)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(0.88 – 1.11)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ypertension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(0.95 – 1.22)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(0.89 – 1.14)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(0.96 – 1.21)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Lipids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Normal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(0.86 – 1.08)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 – 1.00)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 – 1.00)</w:t>
            </w: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Intermediate dyslipidemia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(0.80 – 1.08)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(0.79 – 1.09)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 – 1.03)</w:t>
            </w:r>
          </w:p>
        </w:tc>
      </w:tr>
      <w:tr w:rsidR="004A4B33" w:rsidRPr="00854F96" w:rsidTr="00697237">
        <w:tc>
          <w:tcPr>
            <w:tcW w:w="2605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(0.97 – 1.19)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(1.04 – 1.25)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(1.05 – 1.25)</w:t>
            </w:r>
          </w:p>
        </w:tc>
      </w:tr>
      <w:tr w:rsidR="004A4B33" w:rsidRPr="00854F96" w:rsidTr="00697237"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Glycemia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33" w:rsidRPr="00854F96" w:rsidTr="00697237">
        <w:tc>
          <w:tcPr>
            <w:tcW w:w="2605" w:type="dxa"/>
            <w:tcBorders>
              <w:top w:val="nil"/>
            </w:tcBorders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Normal</w:t>
            </w:r>
          </w:p>
        </w:tc>
        <w:tc>
          <w:tcPr>
            <w:tcW w:w="1066" w:type="dxa"/>
            <w:tcBorders>
              <w:top w:val="nil"/>
            </w:tcBorders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7479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(0.98 – 1.04)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(0.94 – 0.99)</w:t>
            </w:r>
          </w:p>
        </w:tc>
        <w:tc>
          <w:tcPr>
            <w:tcW w:w="0" w:type="auto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2047" w:type="dxa"/>
            <w:tcBorders>
              <w:top w:val="nil"/>
            </w:tcBorders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(0.94 – 0.99)</w:t>
            </w: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dysglycemia</w:t>
            </w:r>
            <w:proofErr w:type="spellEnd"/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(0.77 – 1.23)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 (1.01 – 1.44)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(0.95 – 1.45)</w:t>
            </w:r>
          </w:p>
        </w:tc>
      </w:tr>
      <w:tr w:rsidR="004A4B33" w:rsidRPr="00854F96" w:rsidTr="00697237">
        <w:tc>
          <w:tcPr>
            <w:tcW w:w="2605" w:type="dxa"/>
          </w:tcPr>
          <w:p w:rsidR="004A4B33" w:rsidRPr="00854F96" w:rsidRDefault="004A4B33" w:rsidP="006972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iagnosed diabetes</w:t>
            </w:r>
          </w:p>
        </w:tc>
        <w:tc>
          <w:tcPr>
            <w:tcW w:w="1066" w:type="dxa"/>
          </w:tcPr>
          <w:p w:rsidR="004A4B33" w:rsidRPr="004E7295" w:rsidRDefault="004A4B33" w:rsidP="006972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(0.69 – 1.30)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(0.92 – 1.30)</w:t>
            </w:r>
          </w:p>
        </w:tc>
        <w:tc>
          <w:tcPr>
            <w:tcW w:w="0" w:type="auto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47" w:type="dxa"/>
          </w:tcPr>
          <w:p w:rsidR="004A4B33" w:rsidRPr="00854F96" w:rsidRDefault="004A4B33" w:rsidP="00697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 (0.94 – 1.72)</w:t>
            </w:r>
          </w:p>
        </w:tc>
      </w:tr>
    </w:tbl>
    <w:p w:rsidR="004A4B33" w:rsidRPr="00FE5A0B" w:rsidRDefault="004A4B33" w:rsidP="004A4B33">
      <w:pPr>
        <w:rPr>
          <w:rFonts w:ascii="Times New Roman" w:eastAsia="Times New Roman" w:hAnsi="Times New Roman" w:cs="Times New Roman"/>
          <w:color w:val="000000"/>
          <w:sz w:val="18"/>
        </w:rPr>
      </w:pPr>
      <w:r w:rsidRPr="00FE5A0B">
        <w:rPr>
          <w:rFonts w:ascii="Times New Roman" w:eastAsia="Times New Roman" w:hAnsi="Times New Roman" w:cs="Times New Roman"/>
          <w:color w:val="000000"/>
          <w:sz w:val="18"/>
        </w:rPr>
        <w:t xml:space="preserve">Q1-4 = Quartile 1-4; PR = Prevalence ratio. Subsidy Score quartile cutoffs are Q1: 0 – 0.47; Q2: 0.48 – 0.57; Q3: 0.58 – 0.65; Q4: 0.66 – 1.0. </w:t>
      </w:r>
      <w:r w:rsidRPr="00FE5A0B">
        <w:rPr>
          <w:rFonts w:ascii="Times New Roman" w:hAnsi="Times New Roman" w:cs="Times New Roman"/>
          <w:sz w:val="18"/>
        </w:rPr>
        <w:t>Normal weight was defined as BMI &lt;25 kg/m</w:t>
      </w:r>
      <w:r w:rsidRPr="00FE5A0B">
        <w:rPr>
          <w:rFonts w:ascii="Times New Roman" w:hAnsi="Times New Roman" w:cs="Times New Roman"/>
          <w:sz w:val="18"/>
          <w:vertAlign w:val="superscript"/>
        </w:rPr>
        <w:t>2</w:t>
      </w:r>
      <w:r w:rsidRPr="00FE5A0B">
        <w:rPr>
          <w:rFonts w:ascii="Times New Roman" w:hAnsi="Times New Roman" w:cs="Times New Roman"/>
          <w:sz w:val="18"/>
        </w:rPr>
        <w:t>, overweight was defined as 25 kg/m</w:t>
      </w:r>
      <w:r w:rsidRPr="00FE5A0B">
        <w:rPr>
          <w:rFonts w:ascii="Times New Roman" w:hAnsi="Times New Roman" w:cs="Times New Roman"/>
          <w:sz w:val="18"/>
          <w:vertAlign w:val="superscript"/>
        </w:rPr>
        <w:t>2</w:t>
      </w:r>
      <w:r w:rsidRPr="00FE5A0B">
        <w:rPr>
          <w:rFonts w:ascii="Times New Roman" w:hAnsi="Times New Roman" w:cs="Times New Roman"/>
          <w:sz w:val="18"/>
        </w:rPr>
        <w:t xml:space="preserve"> ≤BMI &lt;30 kg/m</w:t>
      </w:r>
      <w:r w:rsidRPr="00FE5A0B">
        <w:rPr>
          <w:rFonts w:ascii="Times New Roman" w:hAnsi="Times New Roman" w:cs="Times New Roman"/>
          <w:sz w:val="18"/>
          <w:vertAlign w:val="superscript"/>
        </w:rPr>
        <w:t>2</w:t>
      </w:r>
      <w:r w:rsidRPr="00FE5A0B">
        <w:rPr>
          <w:rFonts w:ascii="Times New Roman" w:hAnsi="Times New Roman" w:cs="Times New Roman"/>
          <w:sz w:val="18"/>
        </w:rPr>
        <w:t>, and obesity as BMI ≥30 kg/m</w:t>
      </w:r>
      <w:r w:rsidRPr="00FE5A0B">
        <w:rPr>
          <w:rFonts w:ascii="Times New Roman" w:hAnsi="Times New Roman" w:cs="Times New Roman"/>
          <w:sz w:val="18"/>
          <w:vertAlign w:val="superscript"/>
        </w:rPr>
        <w:t>2</w:t>
      </w:r>
      <w:r w:rsidRPr="00FE5A0B">
        <w:rPr>
          <w:rFonts w:ascii="Times New Roman" w:hAnsi="Times New Roman" w:cs="Times New Roman"/>
          <w:sz w:val="18"/>
        </w:rPr>
        <w:t xml:space="preserve">. Abdominal adiposity was categorized into </w:t>
      </w:r>
      <w:proofErr w:type="spellStart"/>
      <w:r w:rsidRPr="00FE5A0B">
        <w:rPr>
          <w:rFonts w:ascii="Times New Roman" w:hAnsi="Times New Roman" w:cs="Times New Roman"/>
          <w:sz w:val="18"/>
        </w:rPr>
        <w:t>tertiles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: normal, &lt;0.52; moderately enlarged, ≥0.52 but &lt;0.60; very enlarged, ≥0.60. </w:t>
      </w:r>
      <w:r>
        <w:rPr>
          <w:rFonts w:ascii="Times New Roman" w:hAnsi="Times New Roman" w:cs="Times New Roman"/>
          <w:sz w:val="18"/>
        </w:rPr>
        <w:t>CRP</w:t>
      </w:r>
      <w:r w:rsidRPr="00FE5A0B">
        <w:rPr>
          <w:rFonts w:ascii="Times New Roman" w:hAnsi="Times New Roman" w:cs="Times New Roman"/>
          <w:sz w:val="18"/>
        </w:rPr>
        <w:t xml:space="preserve"> was categorized as: </w:t>
      </w:r>
      <w:proofErr w:type="spellStart"/>
      <w:r w:rsidRPr="00FE5A0B">
        <w:rPr>
          <w:rFonts w:ascii="Times New Roman" w:hAnsi="Times New Roman" w:cs="Times New Roman"/>
          <w:sz w:val="18"/>
        </w:rPr>
        <w:t>tertile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1, 0.01 – 0.09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; </w:t>
      </w:r>
      <w:proofErr w:type="spellStart"/>
      <w:r w:rsidRPr="00FE5A0B">
        <w:rPr>
          <w:rFonts w:ascii="Times New Roman" w:hAnsi="Times New Roman" w:cs="Times New Roman"/>
          <w:sz w:val="18"/>
        </w:rPr>
        <w:t>tertile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2, &gt;0.09 – &lt;0.32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; </w:t>
      </w:r>
      <w:proofErr w:type="spellStart"/>
      <w:r w:rsidRPr="00FE5A0B">
        <w:rPr>
          <w:rFonts w:ascii="Times New Roman" w:hAnsi="Times New Roman" w:cs="Times New Roman"/>
          <w:sz w:val="18"/>
        </w:rPr>
        <w:t>tertile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3, ≥0.32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>. Blood pressure was categorized as: normal (no self-reported diagnosis and systolic blood pressure [</w:t>
      </w:r>
      <w:proofErr w:type="spellStart"/>
      <w:r w:rsidRPr="00FE5A0B">
        <w:rPr>
          <w:rFonts w:ascii="Times New Roman" w:hAnsi="Times New Roman" w:cs="Times New Roman"/>
          <w:sz w:val="18"/>
        </w:rPr>
        <w:t>sBP</w:t>
      </w:r>
      <w:proofErr w:type="spellEnd"/>
      <w:r w:rsidRPr="00FE5A0B">
        <w:rPr>
          <w:rFonts w:ascii="Times New Roman" w:hAnsi="Times New Roman" w:cs="Times New Roman"/>
          <w:sz w:val="18"/>
        </w:rPr>
        <w:t>]&lt;120 and diastolic blood pressure [</w:t>
      </w:r>
      <w:proofErr w:type="spellStart"/>
      <w:r w:rsidRPr="00FE5A0B">
        <w:rPr>
          <w:rFonts w:ascii="Times New Roman" w:hAnsi="Times New Roman" w:cs="Times New Roman"/>
          <w:sz w:val="18"/>
        </w:rPr>
        <w:t>dBP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]&lt;80 mmHg); pre-hypertension (no self-reported diagnosis and </w:t>
      </w:r>
      <w:proofErr w:type="spellStart"/>
      <w:r w:rsidRPr="00FE5A0B">
        <w:rPr>
          <w:rFonts w:ascii="Times New Roman" w:hAnsi="Times New Roman" w:cs="Times New Roman"/>
          <w:sz w:val="18"/>
        </w:rPr>
        <w:t>sBP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120 to &lt;140 or </w:t>
      </w:r>
      <w:proofErr w:type="spellStart"/>
      <w:r w:rsidRPr="00FE5A0B">
        <w:rPr>
          <w:rFonts w:ascii="Times New Roman" w:hAnsi="Times New Roman" w:cs="Times New Roman"/>
          <w:sz w:val="18"/>
        </w:rPr>
        <w:t>dBP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80 to &lt;90); diagnosed (self-reported) or undiagnosed (no self-reported diagnosis and sBP≥140 or dBP≥90 mmHg) hypertension or currently taking anti-hypertensive medication. Lipids (</w:t>
      </w:r>
      <w:proofErr w:type="spellStart"/>
      <w:r w:rsidRPr="00FE5A0B">
        <w:rPr>
          <w:rFonts w:ascii="Times New Roman" w:hAnsi="Times New Roman" w:cs="Times New Roman"/>
          <w:sz w:val="18"/>
        </w:rPr>
        <w:t>nonHDL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-c) was categorized similarly: normal (no self-reported diagnosis and </w:t>
      </w:r>
      <w:proofErr w:type="spellStart"/>
      <w:r w:rsidRPr="00FE5A0B">
        <w:rPr>
          <w:rFonts w:ascii="Times New Roman" w:hAnsi="Times New Roman" w:cs="Times New Roman"/>
          <w:sz w:val="18"/>
        </w:rPr>
        <w:t>nonHDL</w:t>
      </w:r>
      <w:proofErr w:type="spellEnd"/>
      <w:r w:rsidRPr="00FE5A0B">
        <w:rPr>
          <w:rFonts w:ascii="Times New Roman" w:hAnsi="Times New Roman" w:cs="Times New Roman"/>
          <w:sz w:val="18"/>
        </w:rPr>
        <w:t>-c &lt;130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); intermediate dyslipidemia (no self-reported diagnosis and </w:t>
      </w:r>
      <w:proofErr w:type="spellStart"/>
      <w:r w:rsidRPr="00FE5A0B">
        <w:rPr>
          <w:rFonts w:ascii="Times New Roman" w:hAnsi="Times New Roman" w:cs="Times New Roman"/>
          <w:sz w:val="18"/>
        </w:rPr>
        <w:t>nonHDL</w:t>
      </w:r>
      <w:proofErr w:type="spellEnd"/>
      <w:r w:rsidRPr="00FE5A0B">
        <w:rPr>
          <w:rFonts w:ascii="Times New Roman" w:hAnsi="Times New Roman" w:cs="Times New Roman"/>
          <w:sz w:val="18"/>
        </w:rPr>
        <w:t>-c 130 to &lt;160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>); diagnosed (self-reported) or undiagnosed (no self-reported diagnosis and nonHDL-c≥160 mg/</w:t>
      </w:r>
      <w:proofErr w:type="spellStart"/>
      <w:r w:rsidRPr="00FE5A0B">
        <w:rPr>
          <w:rFonts w:ascii="Times New Roman" w:hAnsi="Times New Roman" w:cs="Times New Roman"/>
          <w:sz w:val="18"/>
        </w:rPr>
        <w:t>dL</w:t>
      </w:r>
      <w:proofErr w:type="spellEnd"/>
      <w:r w:rsidRPr="00FE5A0B">
        <w:rPr>
          <w:rFonts w:ascii="Times New Roman" w:hAnsi="Times New Roman" w:cs="Times New Roman"/>
          <w:sz w:val="18"/>
        </w:rPr>
        <w:t>) dyslipidemia or currently taking anti-</w:t>
      </w:r>
      <w:proofErr w:type="spellStart"/>
      <w:r w:rsidRPr="00FE5A0B">
        <w:rPr>
          <w:rFonts w:ascii="Times New Roman" w:hAnsi="Times New Roman" w:cs="Times New Roman"/>
          <w:sz w:val="18"/>
        </w:rPr>
        <w:t>cholesterolemia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medication. </w:t>
      </w:r>
      <w:r w:rsidRPr="004E7295">
        <w:rPr>
          <w:rFonts w:ascii="Times New Roman" w:hAnsi="Times New Roman" w:cs="Times New Roman"/>
          <w:sz w:val="18"/>
        </w:rPr>
        <w:t xml:space="preserve">Intermediate </w:t>
      </w:r>
      <w:proofErr w:type="spellStart"/>
      <w:r w:rsidRPr="004E7295">
        <w:rPr>
          <w:rFonts w:ascii="Times New Roman" w:hAnsi="Times New Roman" w:cs="Times New Roman"/>
          <w:sz w:val="18"/>
        </w:rPr>
        <w:t>d</w:t>
      </w:r>
      <w:r w:rsidRPr="00FE5A0B">
        <w:rPr>
          <w:rFonts w:ascii="Times New Roman" w:hAnsi="Times New Roman" w:cs="Times New Roman"/>
          <w:sz w:val="18"/>
        </w:rPr>
        <w:t>ysglycemia</w:t>
      </w:r>
      <w:proofErr w:type="spellEnd"/>
      <w:r w:rsidRPr="00FE5A0B">
        <w:rPr>
          <w:rFonts w:ascii="Times New Roman" w:hAnsi="Times New Roman" w:cs="Times New Roman"/>
          <w:sz w:val="18"/>
        </w:rPr>
        <w:t xml:space="preserve"> was defined as no self-reported diagnosis and glycated hemoglobin (HbA1C) ≥5.7%; diagnosed diabetes was defined as self-reported physician diagnosis. Individuals with no self-reported diagnosis and HbA1C&lt;5.7% were categorized as normal.</w:t>
      </w:r>
    </w:p>
    <w:p w:rsidR="004A4B33" w:rsidRPr="00FE5A0B" w:rsidRDefault="004A4B33" w:rsidP="004A4B33">
      <w:pPr>
        <w:rPr>
          <w:rFonts w:ascii="Times New Roman" w:eastAsia="Times New Roman" w:hAnsi="Times New Roman" w:cs="Times New Roman"/>
          <w:color w:val="000000"/>
          <w:sz w:val="18"/>
        </w:rPr>
      </w:pPr>
    </w:p>
    <w:p w:rsidR="004A4B33" w:rsidRDefault="004A4B33" w:rsidP="004A4B33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FE5A0B">
        <w:rPr>
          <w:rFonts w:ascii="Times New Roman" w:eastAsia="Times New Roman" w:hAnsi="Times New Roman" w:cs="Times New Roman"/>
          <w:color w:val="000000"/>
          <w:sz w:val="18"/>
        </w:rPr>
        <w:t>Model adjusted for age, sex, race/ethnicity, educational attainment, poverty income ratio, smoking status, moderate/vigorous leisure-time physical activity, and total daily calorie intake.</w:t>
      </w:r>
      <w:r w:rsidRPr="00FE5A0B">
        <w:rPr>
          <w:sz w:val="22"/>
        </w:rPr>
        <w:t xml:space="preserve"> </w:t>
      </w:r>
      <w:r w:rsidRPr="00FE5A0B">
        <w:rPr>
          <w:rFonts w:ascii="Times New Roman" w:eastAsia="Times New Roman" w:hAnsi="Times New Roman" w:cs="Times New Roman"/>
          <w:color w:val="000000"/>
          <w:sz w:val="18"/>
        </w:rPr>
        <w:t>Individuals with missing data were excluded from the models.</w:t>
      </w:r>
    </w:p>
    <w:p w:rsidR="00DC57CC" w:rsidRDefault="00DC57CC"/>
    <w:sectPr w:rsidR="00DC57CC" w:rsidSect="004A4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33" w:rsidRDefault="004A4B33" w:rsidP="008B5D54">
      <w:r>
        <w:separator/>
      </w:r>
    </w:p>
  </w:endnote>
  <w:endnote w:type="continuationSeparator" w:id="0">
    <w:p w:rsidR="004A4B33" w:rsidRDefault="004A4B3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33" w:rsidRDefault="004A4B33" w:rsidP="008B5D54">
      <w:r>
        <w:separator/>
      </w:r>
    </w:p>
  </w:footnote>
  <w:footnote w:type="continuationSeparator" w:id="0">
    <w:p w:rsidR="004A4B33" w:rsidRDefault="004A4B33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33"/>
    <w:rsid w:val="000032BC"/>
    <w:rsid w:val="004A4B33"/>
    <w:rsid w:val="006C6578"/>
    <w:rsid w:val="008B5D54"/>
    <w:rsid w:val="00B55735"/>
    <w:rsid w:val="00B608AC"/>
    <w:rsid w:val="00DC57CC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68F75-C4B1-4B42-A507-8DBB9A9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Caption">
    <w:name w:val="caption"/>
    <w:basedOn w:val="Normal"/>
    <w:next w:val="Normal"/>
    <w:qFormat/>
    <w:rsid w:val="004A4B33"/>
    <w:rPr>
      <w:rFonts w:ascii="Cambria" w:eastAsia="Calibri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4B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4133-C021-45BD-A7E7-6839387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3530</Characters>
  <Application>Microsoft Office Word</Application>
  <DocSecurity>0</DocSecurity>
  <Lines>29</Lines>
  <Paragraphs>8</Paragraphs>
  <ScaleCrop>false</ScaleCrop>
  <Company>Centers for Disease Control and Prevention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Karen Rae (CDC/ONDIEH/NCCDPHP) (CTR)</dc:creator>
  <cp:keywords/>
  <dc:description/>
  <cp:lastModifiedBy>Siegel, Karen Rae (CDC/ONDIEH/NCCDPHP) (CTR)</cp:lastModifiedBy>
  <cp:revision>1</cp:revision>
  <dcterms:created xsi:type="dcterms:W3CDTF">2016-03-01T00:16:00Z</dcterms:created>
  <dcterms:modified xsi:type="dcterms:W3CDTF">2016-03-01T00:17:00Z</dcterms:modified>
</cp:coreProperties>
</file>