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A" w:rsidRDefault="008555B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Supplemental Material</w:t>
      </w:r>
    </w:p>
    <w:p w:rsidR="008555BA" w:rsidRDefault="008555BA">
      <w:pPr>
        <w:rPr>
          <w:rFonts w:cs="Arial"/>
          <w:b/>
        </w:rPr>
      </w:pPr>
      <w:r>
        <w:rPr>
          <w:rFonts w:cs="Arial"/>
        </w:rPr>
        <w:t>Tables intended for publication as an online data supplement</w:t>
      </w:r>
      <w:r>
        <w:rPr>
          <w:rFonts w:cs="Arial"/>
          <w:b/>
        </w:rPr>
        <w:br w:type="page"/>
      </w:r>
    </w:p>
    <w:p w:rsidR="00C41E97" w:rsidRPr="00482B72" w:rsidRDefault="00C41E97" w:rsidP="00C41E97">
      <w:pPr>
        <w:rPr>
          <w:b/>
        </w:rPr>
      </w:pPr>
      <w:r>
        <w:rPr>
          <w:rFonts w:cs="Arial"/>
          <w:b/>
        </w:rPr>
        <w:lastRenderedPageBreak/>
        <w:t>Supplemental Table 1</w:t>
      </w:r>
      <w:r w:rsidRPr="00482B72">
        <w:rPr>
          <w:rFonts w:cs="Arial"/>
          <w:b/>
        </w:rPr>
        <w:t>:</w:t>
      </w:r>
      <w:r w:rsidRPr="00482B72">
        <w:rPr>
          <w:b/>
        </w:rPr>
        <w:t xml:space="preserve"> </w:t>
      </w:r>
      <w:r>
        <w:rPr>
          <w:b/>
        </w:rPr>
        <w:t>Codes Used to Identify Atrial Fibrillation</w:t>
      </w:r>
      <w:r w:rsidR="00A10899">
        <w:rPr>
          <w:b/>
        </w:rPr>
        <w:t xml:space="preserve"> or Flutter</w:t>
      </w:r>
      <w:r>
        <w:rPr>
          <w:b/>
        </w:rPr>
        <w:t xml:space="preserve"> and Comorbidities</w:t>
      </w:r>
      <w:r w:rsidRPr="00482B72">
        <w:rPr>
          <w:b/>
        </w:rPr>
        <w:t xml:space="preserve">, </w:t>
      </w:r>
      <w:r w:rsidR="008F7D5A" w:rsidRPr="005B29C6">
        <w:rPr>
          <w:b/>
          <w:bCs/>
          <w:color w:val="000000"/>
        </w:rPr>
        <w:t>N</w:t>
      </w:r>
      <w:r w:rsidR="008F7D5A">
        <w:rPr>
          <w:b/>
          <w:bCs/>
          <w:color w:val="000000"/>
        </w:rPr>
        <w:t>ationwide Emergency Department Sample, National (Nationwide) Inpatient Sample and National Vital Statistics System</w:t>
      </w:r>
      <w:r>
        <w:rPr>
          <w:b/>
          <w:bCs/>
          <w:color w:val="000000"/>
        </w:rPr>
        <w:t xml:space="preserve">, </w:t>
      </w:r>
      <w:r>
        <w:rPr>
          <w:b/>
        </w:rPr>
        <w:t>2006-2014</w:t>
      </w:r>
    </w:p>
    <w:tbl>
      <w:tblPr>
        <w:tblW w:w="5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770"/>
        <w:gridCol w:w="4062"/>
      </w:tblGrid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Outcome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ICD9-CM or CCS</w:t>
            </w:r>
            <w:r w:rsidR="00307F40">
              <w:rPr>
                <w:sz w:val="20"/>
                <w:szCs w:val="20"/>
              </w:rPr>
              <w:t>*</w:t>
            </w:r>
            <w:r w:rsidRPr="00CF046B">
              <w:rPr>
                <w:sz w:val="20"/>
                <w:szCs w:val="20"/>
              </w:rPr>
              <w:t xml:space="preserve"> codes for NIS and NEDS</w:t>
            </w:r>
          </w:p>
        </w:tc>
        <w:tc>
          <w:tcPr>
            <w:tcW w:w="2076" w:type="pct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ICD 10 for NVSS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Atrial fibrillation/flu</w:t>
            </w:r>
            <w:r w:rsidRPr="00CF046B">
              <w:rPr>
                <w:sz w:val="20"/>
                <w:szCs w:val="20"/>
              </w:rPr>
              <w:t>tter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4273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I48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C41E97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Atrial flu</w:t>
            </w:r>
            <w:r w:rsidRPr="00CF046B">
              <w:rPr>
                <w:sz w:val="20"/>
                <w:szCs w:val="20"/>
              </w:rPr>
              <w:t>tter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42732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-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Chronic kidney disease (CKD)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CCS=158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N18, Y84.1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Dementia or Alzheimer’s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CCS=653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F01, F03, F04, F05, F07, F09, G30, G31, R54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Diabetes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CCS in (49,50)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E10-E14, R73.0, R73.9, R81, R82.4, Y42.3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HF/VHD/cardiomyopathy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CCS=96, ICD 9 in (428, 425)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I05-I08, I34-I38, I42, I09.1, I09.8, I50, I11.0, I13.0, I13.2, R00.8, R01.0, R01.1, R01.2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Hypertension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CCS in (98,99)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046B">
              <w:rPr>
                <w:sz w:val="20"/>
                <w:szCs w:val="20"/>
                <w:shd w:val="clear" w:color="auto" w:fill="FFFFFF"/>
              </w:rPr>
              <w:t>I10, I11.0, I11.9, I12, I13, I15.0, I15.9, I67.4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Ischemic heart disease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CCS in (100, 101)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I20, I21, I22, I24, I25</w:t>
            </w:r>
          </w:p>
        </w:tc>
      </w:tr>
      <w:tr w:rsidR="00C41E97" w:rsidRPr="001D2B09" w:rsidTr="007A4DDB">
        <w:trPr>
          <w:trHeight w:val="432"/>
        </w:trPr>
        <w:tc>
          <w:tcPr>
            <w:tcW w:w="1508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Stroke</w:t>
            </w:r>
          </w:p>
        </w:tc>
        <w:tc>
          <w:tcPr>
            <w:tcW w:w="1415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CCS=109</w:t>
            </w:r>
          </w:p>
        </w:tc>
        <w:tc>
          <w:tcPr>
            <w:tcW w:w="2076" w:type="pct"/>
            <w:vAlign w:val="center"/>
          </w:tcPr>
          <w:p w:rsidR="00C41E97" w:rsidRPr="00CF046B" w:rsidRDefault="00C41E97" w:rsidP="008432BD">
            <w:pPr>
              <w:adjustRightInd w:val="0"/>
              <w:spacing w:before="10" w:after="10"/>
              <w:jc w:val="center"/>
              <w:rPr>
                <w:sz w:val="20"/>
                <w:szCs w:val="20"/>
              </w:rPr>
            </w:pPr>
            <w:r w:rsidRPr="00CF046B">
              <w:rPr>
                <w:sz w:val="20"/>
                <w:szCs w:val="20"/>
              </w:rPr>
              <w:t>I60-I64, I69</w:t>
            </w:r>
          </w:p>
        </w:tc>
      </w:tr>
    </w:tbl>
    <w:p w:rsidR="00307F40" w:rsidRPr="00307F40" w:rsidRDefault="00307F40" w:rsidP="00307F40">
      <w:pPr>
        <w:rPr>
          <w:bCs/>
          <w:sz w:val="20"/>
          <w:szCs w:val="20"/>
        </w:rPr>
        <w:sectPr w:rsidR="00307F40" w:rsidRPr="00307F40" w:rsidSect="00357E80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07F40">
        <w:rPr>
          <w:bCs/>
          <w:sz w:val="20"/>
          <w:szCs w:val="20"/>
        </w:rPr>
        <w:t xml:space="preserve">*CCS = </w:t>
      </w:r>
      <w:r w:rsidRPr="00307F40">
        <w:rPr>
          <w:rFonts w:cs="Arial"/>
          <w:sz w:val="20"/>
          <w:szCs w:val="20"/>
        </w:rPr>
        <w:t>AHRQ Clinical Classification Software</w:t>
      </w:r>
    </w:p>
    <w:p w:rsidR="008555BA" w:rsidRPr="00073182" w:rsidRDefault="00C41E97" w:rsidP="008555BA">
      <w:pPr>
        <w:rPr>
          <w:b/>
        </w:rPr>
      </w:pPr>
      <w:r>
        <w:rPr>
          <w:rFonts w:cs="Arial"/>
          <w:b/>
        </w:rPr>
        <w:lastRenderedPageBreak/>
        <w:t>S</w:t>
      </w:r>
      <w:r w:rsidR="008555BA" w:rsidRPr="00482B72">
        <w:rPr>
          <w:rFonts w:cs="Arial"/>
          <w:b/>
        </w:rPr>
        <w:t xml:space="preserve">upplemental Table </w:t>
      </w:r>
      <w:r>
        <w:rPr>
          <w:rFonts w:cs="Arial"/>
          <w:b/>
        </w:rPr>
        <w:t>2</w:t>
      </w:r>
      <w:r w:rsidR="008555BA">
        <w:rPr>
          <w:rFonts w:cs="Arial"/>
          <w:b/>
        </w:rPr>
        <w:t>:</w:t>
      </w:r>
      <w:r w:rsidR="008555BA" w:rsidRPr="00482B72">
        <w:rPr>
          <w:b/>
        </w:rPr>
        <w:t xml:space="preserve"> Trends in </w:t>
      </w:r>
      <w:r w:rsidR="008555BA">
        <w:rPr>
          <w:b/>
        </w:rPr>
        <w:t xml:space="preserve">Primary </w:t>
      </w:r>
      <w:r w:rsidR="00A10899">
        <w:rPr>
          <w:b/>
        </w:rPr>
        <w:t>A</w:t>
      </w:r>
      <w:r w:rsidR="00A10899">
        <w:rPr>
          <w:b/>
          <w:bCs/>
          <w:color w:val="000000"/>
        </w:rPr>
        <w:t>trial Fibrillation</w:t>
      </w:r>
      <w:r w:rsidR="00073646">
        <w:rPr>
          <w:b/>
          <w:bCs/>
          <w:color w:val="000000"/>
        </w:rPr>
        <w:t xml:space="preserve"> E</w:t>
      </w:r>
      <w:r w:rsidR="008555BA" w:rsidRPr="00482B72">
        <w:rPr>
          <w:b/>
        </w:rPr>
        <w:t xml:space="preserve">vents, </w:t>
      </w:r>
      <w:r w:rsidR="008F7D5A" w:rsidRPr="005B29C6">
        <w:rPr>
          <w:b/>
          <w:bCs/>
          <w:color w:val="000000"/>
        </w:rPr>
        <w:t>N</w:t>
      </w:r>
      <w:r w:rsidR="008F7D5A">
        <w:rPr>
          <w:b/>
          <w:bCs/>
          <w:color w:val="000000"/>
        </w:rPr>
        <w:t>ationwide Emergency Department Sample, National (Nationwide) Inpatient Sample and National Vital Statistics System</w:t>
      </w:r>
      <w:r w:rsidR="008555BA" w:rsidRPr="000F5C8D">
        <w:rPr>
          <w:rFonts w:ascii="Calibri" w:hAnsi="Calibri"/>
          <w:b/>
          <w:bCs/>
          <w:color w:val="000000"/>
        </w:rPr>
        <w:t xml:space="preserve">, </w:t>
      </w:r>
      <w:r w:rsidR="008555BA">
        <w:rPr>
          <w:rFonts w:ascii="Calibri" w:hAnsi="Calibri"/>
          <w:b/>
        </w:rPr>
        <w:t>2006-2014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8"/>
        <w:gridCol w:w="872"/>
        <w:gridCol w:w="1027"/>
        <w:gridCol w:w="1040"/>
        <w:gridCol w:w="1133"/>
        <w:gridCol w:w="1131"/>
        <w:gridCol w:w="1131"/>
        <w:gridCol w:w="1131"/>
        <w:gridCol w:w="1133"/>
      </w:tblGrid>
      <w:tr w:rsidR="008555BA" w:rsidRPr="000F5C8D" w:rsidTr="007A4DDB">
        <w:trPr>
          <w:trHeight w:val="413"/>
        </w:trPr>
        <w:tc>
          <w:tcPr>
            <w:tcW w:w="825" w:type="pct"/>
            <w:vMerge w:val="restar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4175" w:type="pct"/>
            <w:gridSpan w:val="8"/>
            <w:tcBorders>
              <w:left w:val="nil"/>
            </w:tcBorders>
            <w:vAlign w:val="center"/>
          </w:tcPr>
          <w:p w:rsidR="008555BA" w:rsidRPr="000F5C8D" w:rsidRDefault="008555BA" w:rsidP="00073646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AF as Principal Diagnosis</w:t>
            </w:r>
          </w:p>
        </w:tc>
      </w:tr>
      <w:tr w:rsidR="008555BA" w:rsidRPr="000F5C8D" w:rsidTr="007A4DDB">
        <w:trPr>
          <w:trHeight w:val="413"/>
        </w:trPr>
        <w:tc>
          <w:tcPr>
            <w:tcW w:w="825" w:type="pct"/>
            <w:vMerge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923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E</w:t>
            </w:r>
            <w:r w:rsidR="00073646">
              <w:rPr>
                <w:rFonts w:ascii="Calibri" w:hAnsi="Calibri"/>
                <w:b/>
              </w:rPr>
              <w:t xml:space="preserve">mergency </w:t>
            </w:r>
            <w:r w:rsidRPr="000F5C8D">
              <w:rPr>
                <w:rFonts w:ascii="Calibri" w:hAnsi="Calibri"/>
                <w:b/>
              </w:rPr>
              <w:t>D</w:t>
            </w:r>
            <w:r w:rsidR="00073646">
              <w:rPr>
                <w:rFonts w:ascii="Calibri" w:hAnsi="Calibri"/>
                <w:b/>
              </w:rPr>
              <w:t>epartment</w:t>
            </w:r>
            <w:r w:rsidRPr="000F5C8D">
              <w:rPr>
                <w:rFonts w:ascii="Calibri" w:hAnsi="Calibri"/>
                <w:b/>
              </w:rPr>
              <w:t xml:space="preserve"> Visits</w:t>
            </w:r>
          </w:p>
        </w:tc>
        <w:tc>
          <w:tcPr>
            <w:tcW w:w="1055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Hospitalizations</w:t>
            </w:r>
          </w:p>
        </w:tc>
        <w:tc>
          <w:tcPr>
            <w:tcW w:w="1098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Deaths</w:t>
            </w:r>
          </w:p>
        </w:tc>
        <w:tc>
          <w:tcPr>
            <w:tcW w:w="1099" w:type="pct"/>
            <w:gridSpan w:val="2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Total Events</w:t>
            </w:r>
          </w:p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(mutually exclusive)</w:t>
            </w:r>
          </w:p>
        </w:tc>
      </w:tr>
      <w:tr w:rsidR="008555BA" w:rsidRPr="000F5C8D" w:rsidTr="007A4DDB">
        <w:trPr>
          <w:trHeight w:val="413"/>
        </w:trPr>
        <w:tc>
          <w:tcPr>
            <w:tcW w:w="825" w:type="pct"/>
            <w:vMerge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2006*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434322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197.6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413282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188.2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11435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546049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248.6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24763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16901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27220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76286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210.1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74349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204.8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99605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274.4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50466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577.2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51492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589.0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66347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758.9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61414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876.2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63643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908.0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3257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80020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1141.6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6987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12.6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5230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8082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45121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118.2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39592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103.7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54412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142.5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52022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507.9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48877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477.2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64492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629.7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117264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1043.1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113199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1007.0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6793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145871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1297.6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2007*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451688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201.8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406453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181.8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14489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539635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241.3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24446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16845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26197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80242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215.9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73198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196.9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98655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51749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576.5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51052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568.8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64818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722.1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64952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909.1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61202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856.6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4067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56.9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79069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1106.7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7101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4905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7755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14.0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46092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118.0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39668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101.5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54376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139.2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53558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511.5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48455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462.8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63781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609.1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123548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1090.1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111128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8733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144983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1279.2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2008*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490566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215.1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460326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202.0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15383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610932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268.1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24998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17305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27969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87626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231.5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82743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218.6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112459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297.1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57068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610.4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59833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76625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819.6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70366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968.1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68927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948.3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4312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88065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1211.6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7284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5049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7904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49354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124.1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42731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59293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58620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540.1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55511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511.4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72799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670.7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135251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1185.2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128227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1123.7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9315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165817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1453.1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2009*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512127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220.8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472527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203.8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15432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626765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270.4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24292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17538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27461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92627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240.2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85094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220.7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115059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298.4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60198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622.1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62091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641.7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704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79633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822.9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72408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981.0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70018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948.6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4362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90638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1227.9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7254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5300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8132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52495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45642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62676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154.7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62024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57470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513.4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75621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675.5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140830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1227.7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129375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1127.8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9127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167545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1460.5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2010*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531921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225.5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460373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195.2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16453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618215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262.2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25836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16348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26984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97434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248.3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84693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215.9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114816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292.6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64480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647.6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60343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606.1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718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78739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790.8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74139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984.6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67648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898.4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4739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87965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1168.2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7597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5251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8165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53881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44049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61495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63574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554.0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55987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487.9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74233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646.8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144980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1252.5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126055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1089.0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9684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83.7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165818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1432.5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2011*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558734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233.3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495754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207.0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17729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670705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280.0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25679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16773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27641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102476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253.7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89670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222.0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123776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306.5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68197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650.8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64907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619.4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85375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814.8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78030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1046.4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71499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958.9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5041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93903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1259.3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7303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5312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8385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58407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137.7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47473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67649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159.5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68251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568.3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61774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514.4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82131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683.9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150390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1316.4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138345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1210.9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10452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181844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1591.7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2012*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572484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233.9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494685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201.8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19488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688885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281.3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25354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16130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27401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105885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262.0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91035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225.3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127745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316.1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71240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635.4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68290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609.1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880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91311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814.5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81065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1064.9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72540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952.9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5750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98883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1298.9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7497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5180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8415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14.9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59065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139.1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47085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110.9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68103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160.4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69778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545.7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61525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481.2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84621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661.8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152600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1323.2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132900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1152.3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11285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97.8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182407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1581.6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2013*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587904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235.2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477935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190.9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20737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684168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273.5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24640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15240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26548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107502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87085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214.9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125205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309.0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76677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649.9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67235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569.9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93847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795.5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84455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1082.4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70005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897.2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6028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98684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1264.8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7510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4755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0.0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8108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14.3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57327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134.7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45035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105.8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66198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155.5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73583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548.3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60450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450.5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907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85962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640.6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156210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1336.8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128130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1096.5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11838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101.3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179617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1537.2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2014</w:t>
            </w:r>
            <w:r w:rsidRPr="000F5C8D">
              <w:rPr>
                <w:rFonts w:ascii="Calibri" w:hAnsi="Calibri"/>
                <w:b/>
              </w:rPr>
              <w:t>*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599790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235.2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:rsidR="008555BA" w:rsidRPr="00F1573B" w:rsidRDefault="008555BA" w:rsidP="00785D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453060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F1573B" w:rsidRDefault="008555BA" w:rsidP="00785D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177.3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21712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684470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268.2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25808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44.3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14245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33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0.1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27229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46.7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112052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275.0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82540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202.6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613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1.5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125221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307.3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78554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636.1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63015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510.3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1148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9.3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92795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751.4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84305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1053.5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66880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835.8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6487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81.1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98784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1234.4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7926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13.8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4730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15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0.0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8469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14.8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59038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138.0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42420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99.1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322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0.8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66602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155.6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75856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539.9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57080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406.3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916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6.5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85914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611.5</w:t>
            </w:r>
          </w:p>
        </w:tc>
      </w:tr>
      <w:tr w:rsidR="008555BA" w:rsidRPr="000F5C8D" w:rsidTr="007A4DDB">
        <w:tc>
          <w:tcPr>
            <w:tcW w:w="825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156251</w:t>
            </w: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1319.4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122150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1031.4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12178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t>102.8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179457</w:t>
            </w:r>
          </w:p>
        </w:tc>
        <w:tc>
          <w:tcPr>
            <w:tcW w:w="550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1515.3</w:t>
            </w:r>
          </w:p>
        </w:tc>
      </w:tr>
    </w:tbl>
    <w:p w:rsidR="008555BA" w:rsidRPr="00073182" w:rsidRDefault="008555BA" w:rsidP="008555BA">
      <w:pPr>
        <w:rPr>
          <w:sz w:val="20"/>
          <w:szCs w:val="20"/>
        </w:rPr>
      </w:pPr>
      <w:r w:rsidRPr="00073182">
        <w:rPr>
          <w:sz w:val="20"/>
          <w:szCs w:val="20"/>
        </w:rPr>
        <w:t>*</w:t>
      </w:r>
      <w:r w:rsidRPr="00073182">
        <w:rPr>
          <w:color w:val="000000" w:themeColor="text1"/>
          <w:sz w:val="20"/>
          <w:szCs w:val="20"/>
        </w:rPr>
        <w:t xml:space="preserve"> Standardized by age to the 2010 U.S. Census Population distribution among adults aged ≥18 years</w:t>
      </w:r>
      <w:r w:rsidRPr="00073182">
        <w:rPr>
          <w:sz w:val="20"/>
          <w:szCs w:val="20"/>
        </w:rPr>
        <w:t>; The crude age-sex specific rates were reported for sub group estimates.</w:t>
      </w:r>
    </w:p>
    <w:p w:rsidR="008555BA" w:rsidRPr="00073182" w:rsidRDefault="008555BA" w:rsidP="008555BA">
      <w:pPr>
        <w:rPr>
          <w:b/>
          <w:bCs/>
          <w:color w:val="000000" w:themeColor="text1"/>
          <w:sz w:val="20"/>
          <w:szCs w:val="20"/>
        </w:rPr>
      </w:pPr>
      <w:r w:rsidRPr="00073182">
        <w:rPr>
          <w:b/>
          <w:bCs/>
          <w:color w:val="000000" w:themeColor="text1"/>
          <w:sz w:val="20"/>
          <w:szCs w:val="20"/>
        </w:rPr>
        <w:br w:type="page"/>
      </w:r>
    </w:p>
    <w:p w:rsidR="008555BA" w:rsidRPr="00482B72" w:rsidRDefault="008555BA" w:rsidP="008555BA">
      <w:pPr>
        <w:rPr>
          <w:b/>
        </w:rPr>
      </w:pPr>
      <w:r w:rsidRPr="00482B72">
        <w:rPr>
          <w:rFonts w:cs="Arial"/>
          <w:b/>
        </w:rPr>
        <w:t xml:space="preserve">Supplemental Table </w:t>
      </w:r>
      <w:r w:rsidR="00C41E97">
        <w:rPr>
          <w:rFonts w:cs="Arial"/>
          <w:b/>
        </w:rPr>
        <w:t>3</w:t>
      </w:r>
      <w:r w:rsidRPr="00482B72">
        <w:rPr>
          <w:rFonts w:cs="Arial"/>
          <w:b/>
        </w:rPr>
        <w:t>:</w:t>
      </w:r>
      <w:r w:rsidRPr="00482B72">
        <w:rPr>
          <w:b/>
        </w:rPr>
        <w:t xml:space="preserve"> Trends in </w:t>
      </w:r>
      <w:r>
        <w:rPr>
          <w:b/>
        </w:rPr>
        <w:t xml:space="preserve">Secondary </w:t>
      </w:r>
      <w:r w:rsidR="00A10899">
        <w:rPr>
          <w:b/>
        </w:rPr>
        <w:t>A</w:t>
      </w:r>
      <w:r w:rsidR="00A10899">
        <w:rPr>
          <w:b/>
          <w:bCs/>
          <w:color w:val="000000"/>
        </w:rPr>
        <w:t xml:space="preserve">trial Fibrillation </w:t>
      </w:r>
      <w:r>
        <w:rPr>
          <w:b/>
        </w:rPr>
        <w:t>E</w:t>
      </w:r>
      <w:r w:rsidRPr="00482B72">
        <w:rPr>
          <w:b/>
        </w:rPr>
        <w:t xml:space="preserve">vents, </w:t>
      </w:r>
      <w:r w:rsidR="008F7D5A" w:rsidRPr="005B29C6">
        <w:rPr>
          <w:b/>
          <w:bCs/>
          <w:color w:val="000000"/>
        </w:rPr>
        <w:t>N</w:t>
      </w:r>
      <w:r w:rsidR="008F7D5A">
        <w:rPr>
          <w:b/>
          <w:bCs/>
          <w:color w:val="000000"/>
        </w:rPr>
        <w:t>ationwide Emergency Department Sample, National (Nationwide) Inpatient Sample and National Vital Statistics System</w:t>
      </w:r>
      <w:r>
        <w:rPr>
          <w:b/>
          <w:bCs/>
          <w:color w:val="000000"/>
        </w:rPr>
        <w:t xml:space="preserve">, </w:t>
      </w:r>
      <w:r>
        <w:rPr>
          <w:b/>
        </w:rPr>
        <w:t>2006-2014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5"/>
        <w:gridCol w:w="926"/>
        <w:gridCol w:w="992"/>
        <w:gridCol w:w="1037"/>
        <w:gridCol w:w="1130"/>
        <w:gridCol w:w="1128"/>
        <w:gridCol w:w="1128"/>
        <w:gridCol w:w="1128"/>
        <w:gridCol w:w="1132"/>
      </w:tblGrid>
      <w:tr w:rsidR="008555BA" w:rsidRPr="000F5C8D" w:rsidTr="007A4DDB">
        <w:trPr>
          <w:trHeight w:val="413"/>
        </w:trPr>
        <w:tc>
          <w:tcPr>
            <w:tcW w:w="832" w:type="pct"/>
            <w:vMerge w:val="restar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4168" w:type="pct"/>
            <w:gridSpan w:val="8"/>
            <w:tcBorders>
              <w:left w:val="nil"/>
            </w:tcBorders>
            <w:vAlign w:val="center"/>
          </w:tcPr>
          <w:p w:rsidR="008555BA" w:rsidRPr="000F5C8D" w:rsidRDefault="008555BA" w:rsidP="00073646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AF as Secondary Diagnosis</w:t>
            </w:r>
          </w:p>
        </w:tc>
      </w:tr>
      <w:tr w:rsidR="008555BA" w:rsidRPr="000F5C8D" w:rsidTr="007A4DDB">
        <w:trPr>
          <w:trHeight w:val="413"/>
        </w:trPr>
        <w:tc>
          <w:tcPr>
            <w:tcW w:w="832" w:type="pct"/>
            <w:vMerge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873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073646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E</w:t>
            </w:r>
            <w:r w:rsidR="00073646">
              <w:rPr>
                <w:rFonts w:ascii="Calibri" w:hAnsi="Calibri"/>
                <w:b/>
              </w:rPr>
              <w:t>mergency Department</w:t>
            </w:r>
            <w:r w:rsidRPr="000F5C8D">
              <w:rPr>
                <w:rFonts w:ascii="Calibri" w:hAnsi="Calibri"/>
                <w:b/>
              </w:rPr>
              <w:t xml:space="preserve"> Visits</w:t>
            </w:r>
          </w:p>
        </w:tc>
        <w:tc>
          <w:tcPr>
            <w:tcW w:w="1069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Hospitalizations</w:t>
            </w:r>
          </w:p>
        </w:tc>
        <w:tc>
          <w:tcPr>
            <w:tcW w:w="1112" w:type="pct"/>
            <w:gridSpan w:val="2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Deaths</w:t>
            </w:r>
          </w:p>
        </w:tc>
        <w:tc>
          <w:tcPr>
            <w:tcW w:w="1114" w:type="pct"/>
            <w:gridSpan w:val="2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Total Events</w:t>
            </w:r>
          </w:p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(mutually exclusive)</w:t>
            </w:r>
          </w:p>
        </w:tc>
      </w:tr>
      <w:tr w:rsidR="008555BA" w:rsidRPr="000F5C8D" w:rsidTr="007A4DDB">
        <w:trPr>
          <w:trHeight w:val="413"/>
        </w:trPr>
        <w:tc>
          <w:tcPr>
            <w:tcW w:w="832" w:type="pct"/>
            <w:vMerge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N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Rate per 100,000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2006*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2715733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1216.6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2921379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1312.1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78530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3280843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1473.4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31648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24545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36096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216330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595.9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243133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669.7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2380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278429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766.9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286185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3273.5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347261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3972.1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4860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380526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4352.6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754085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10758.5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815608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11636.2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26058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371.8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890669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12707.1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16198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13290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20326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130186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341.0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140850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368.9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1221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164957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432.1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237732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2321.1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271693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2652.7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3641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305931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2986.9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1043369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9281.5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1065000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9473.9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40176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357.4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1203909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10709.6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2007*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2797553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1233.3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2898110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1280.7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79099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3314325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1464.5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31564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23915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36082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230333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619.7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249039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670.1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2509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291562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784.5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293471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3269.5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348197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3879.2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4969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386813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4309.4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770304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10782.1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808016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11310.0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26708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373.8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896742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12551.9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17204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13319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20204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137442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351.8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140754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169407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433.6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241782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2309.0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265203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2532.7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3688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302793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2891.7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1075452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9488.6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1049665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9261.1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39727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350.5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1210722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10682.1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2008*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2931719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1270.4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2915490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1265.4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83898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3460086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1501.8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34116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23958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38304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241228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637.4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249178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658.4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2616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301400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796.4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308490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3299.7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351120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3755.6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5493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403953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4320.7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816620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11234.8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813340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11189.7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28440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391.3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939470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12924.9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18604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12790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21531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142715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358.8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138770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348.9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1401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174817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439.5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254640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2346.1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265320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2444.5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3818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316527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2916.3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1115305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9773.8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1061012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9298.0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41939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367.5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1264083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11077.6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2009*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3058629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1306.1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3043592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1301.4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84757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3652318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1561.7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36719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25865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41609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262675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681.2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274309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711.3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2911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335595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870.3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326204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3371.1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378153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3907.9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5615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436240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4508.2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836689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11335.2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843600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11428.8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28801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982315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13308.1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20087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14316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23922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154407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381.1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153250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378.2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1397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192695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475.5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270694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2418.1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281830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2517.6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4013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339509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3032.9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1151153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10035.0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1072268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9347.3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41801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364.4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1300432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11336.3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2010*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3240435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1362.0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3066391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1289.7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90877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3768566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1585.2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40149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69.4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26079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44966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291740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743.6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285668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728.1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3098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358402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913.5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352181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3537.3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376714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3783.7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6076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61.0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443567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4455.1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876851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11644.7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846475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11241.3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31267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415.2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1004441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13339.2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22424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15023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26745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172625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418.9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157700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382.7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207186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502.8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287790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2507.7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282433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2461.0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4213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346930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3023.0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1196676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10338.0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1076300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9298.1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44536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384.7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1336328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11544.4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  <w:b/>
              </w:rPr>
              <w:t>2011*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3542525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1479.6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3404302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1421.3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98515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4249535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1774.5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43081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28622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49851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87.2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320394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793.3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312968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774.9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3442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402646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997.0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388332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3705.9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420322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4011.2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6676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503213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4802.3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966256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12958.3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941957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12632.4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33786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453.1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1136733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15244.5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26133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15772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30143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191080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450.4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178249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1651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237213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559.1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315719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2628.9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316778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2637.7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4647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394830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3287.6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1291529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11304.7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1189634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10412.8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48082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420.9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1494907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13084.9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2012*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3579658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1462.9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3379780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1379.0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103543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4342423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1773.0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45170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78.5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27930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50797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88.2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341562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845.3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320280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792.6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3706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423288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1047.5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403889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3602.6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434615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3876.7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7460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530382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4730.9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960803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12621.2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930930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12228.8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35950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472.2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1153558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15153.3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28522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15760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27.8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32351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199041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468.9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177770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418.8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1806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247069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582.1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324190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2535.3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323385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2529.0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5051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39.5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412712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3227.6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1276482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11068.0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1149110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9963.6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49348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427.9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1492267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12939.1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  <w:b/>
              </w:rPr>
              <w:t>2013*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3887764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1554.6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3443418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1373.9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111169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4533720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1810.9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47788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82.5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28775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178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53137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368810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910.1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333635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823.3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4125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450397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1111.4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  <w:b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456251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3867.3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457635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3879.0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8326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70.6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571037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4840.3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1051901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13481.9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948359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12154.9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38564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494.3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1202534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15412.6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30800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54.2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16585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29.2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75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35379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62.2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215644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506.7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182870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429.7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1961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259276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609.2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359045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2675.6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335105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2497.2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5583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41.6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438950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3271.1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1357525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11617.7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1140454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9760.0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52357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448.1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1523011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>13033.9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2014</w:t>
            </w:r>
            <w:r w:rsidRPr="000F5C8D">
              <w:rPr>
                <w:rFonts w:ascii="Calibri" w:hAnsi="Calibri"/>
                <w:b/>
              </w:rPr>
              <w:t>*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bottom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3952915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1547.2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bottom"/>
          </w:tcPr>
          <w:p w:rsidR="008555BA" w:rsidRPr="00723895" w:rsidRDefault="008555BA" w:rsidP="00785D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3523726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1375.2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115719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4695997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1835.4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50426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86.6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30310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52.0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204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0.4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56693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97.3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395289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970.1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353130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866.6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4386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10.8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482358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1183.8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478219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3872.5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480500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3891.0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9107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73.7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609762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4937.7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1056563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13203.3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966755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12081.0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40570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507.0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1242712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15529.5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18-44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34052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59.5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18060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31.6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83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0.1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38656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67.5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45-64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225117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526.1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190470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445.1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2148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273874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640.0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65-74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369648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2631.1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346715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2467.9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5930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42.2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457865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3259.0</w:t>
            </w:r>
          </w:p>
        </w:tc>
      </w:tr>
      <w:tr w:rsidR="008555BA" w:rsidRPr="000F5C8D" w:rsidTr="007A4DDB">
        <w:tc>
          <w:tcPr>
            <w:tcW w:w="832" w:type="pct"/>
            <w:tcBorders>
              <w:right w:val="nil"/>
            </w:tcBorders>
          </w:tcPr>
          <w:p w:rsidR="008555BA" w:rsidRPr="000F5C8D" w:rsidRDefault="008555BA" w:rsidP="00785DD0">
            <w:pPr>
              <w:rPr>
                <w:rFonts w:ascii="Calibri" w:hAnsi="Calibri"/>
              </w:rPr>
            </w:pPr>
            <w:r w:rsidRPr="000F5C8D">
              <w:rPr>
                <w:rFonts w:ascii="Calibri" w:hAnsi="Calibri"/>
              </w:rPr>
              <w:t xml:space="preserve"> Women 75+ years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1343601</w:t>
            </w:r>
          </w:p>
        </w:tc>
        <w:tc>
          <w:tcPr>
            <w:tcW w:w="490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11345.4</w:t>
            </w:r>
          </w:p>
        </w:tc>
        <w:tc>
          <w:tcPr>
            <w:tcW w:w="512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1137786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9607.5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53291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450.0</w:t>
            </w: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1534077</w:t>
            </w:r>
          </w:p>
        </w:tc>
        <w:tc>
          <w:tcPr>
            <w:tcW w:w="558" w:type="pct"/>
            <w:tcBorders>
              <w:left w:val="nil"/>
            </w:tcBorders>
            <w:vAlign w:val="center"/>
          </w:tcPr>
          <w:p w:rsidR="008555BA" w:rsidRPr="000F5C8D" w:rsidRDefault="008555BA" w:rsidP="00785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12953.8</w:t>
            </w:r>
          </w:p>
        </w:tc>
      </w:tr>
    </w:tbl>
    <w:p w:rsidR="00DC57CC" w:rsidRPr="00C41E97" w:rsidRDefault="008555BA">
      <w:pPr>
        <w:rPr>
          <w:sz w:val="20"/>
          <w:szCs w:val="20"/>
        </w:rPr>
      </w:pPr>
      <w:r w:rsidRPr="00073182">
        <w:rPr>
          <w:sz w:val="20"/>
          <w:szCs w:val="20"/>
        </w:rPr>
        <w:t>*</w:t>
      </w:r>
      <w:r w:rsidRPr="00073182">
        <w:rPr>
          <w:color w:val="000000" w:themeColor="text1"/>
          <w:sz w:val="20"/>
          <w:szCs w:val="20"/>
        </w:rPr>
        <w:t xml:space="preserve"> Standardized by age to the 2010 U.S. Census Population distribution among adults aged ≥18 years</w:t>
      </w:r>
      <w:r w:rsidRPr="00073182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</w:t>
      </w:r>
      <w:r w:rsidRPr="00073182">
        <w:rPr>
          <w:sz w:val="20"/>
          <w:szCs w:val="20"/>
        </w:rPr>
        <w:t>The crude age-sex specific rates were reported for sub group estimates.</w:t>
      </w:r>
    </w:p>
    <w:sectPr w:rsidR="00DC57CC" w:rsidRPr="00C41E9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BA" w:rsidRDefault="008555BA" w:rsidP="008B5D54">
      <w:pPr>
        <w:spacing w:after="0" w:line="240" w:lineRule="auto"/>
      </w:pPr>
      <w:r>
        <w:separator/>
      </w:r>
    </w:p>
  </w:endnote>
  <w:endnote w:type="continuationSeparator" w:id="0">
    <w:p w:rsidR="008555BA" w:rsidRDefault="008555B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E97" w:rsidRDefault="00C41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E97" w:rsidRDefault="00C41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BA" w:rsidRDefault="008555BA" w:rsidP="008B5D54">
      <w:pPr>
        <w:spacing w:after="0" w:line="240" w:lineRule="auto"/>
      </w:pPr>
      <w:r>
        <w:separator/>
      </w:r>
    </w:p>
  </w:footnote>
  <w:footnote w:type="continuationSeparator" w:id="0">
    <w:p w:rsidR="008555BA" w:rsidRDefault="008555B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7" w:rsidRDefault="00385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6D8"/>
    <w:multiLevelType w:val="multilevel"/>
    <w:tmpl w:val="04F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6004"/>
    <w:multiLevelType w:val="multilevel"/>
    <w:tmpl w:val="A41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223D"/>
    <w:multiLevelType w:val="hybridMultilevel"/>
    <w:tmpl w:val="5F1E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745D38"/>
    <w:multiLevelType w:val="hybridMultilevel"/>
    <w:tmpl w:val="0652B3B6"/>
    <w:lvl w:ilvl="0" w:tplc="BE1E1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0D2F89"/>
    <w:multiLevelType w:val="hybridMultilevel"/>
    <w:tmpl w:val="5A7C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095406"/>
    <w:multiLevelType w:val="hybridMultilevel"/>
    <w:tmpl w:val="FB7ED6F0"/>
    <w:lvl w:ilvl="0" w:tplc="9594FE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5BA"/>
    <w:rsid w:val="00073646"/>
    <w:rsid w:val="001A5D1C"/>
    <w:rsid w:val="00307F40"/>
    <w:rsid w:val="00385617"/>
    <w:rsid w:val="006C6578"/>
    <w:rsid w:val="007A4DDB"/>
    <w:rsid w:val="008555BA"/>
    <w:rsid w:val="008B5D54"/>
    <w:rsid w:val="008F7D5A"/>
    <w:rsid w:val="00A10899"/>
    <w:rsid w:val="00B55735"/>
    <w:rsid w:val="00B608AC"/>
    <w:rsid w:val="00BD0857"/>
    <w:rsid w:val="00C41E97"/>
    <w:rsid w:val="00DC57CC"/>
    <w:rsid w:val="00E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B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555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55BA"/>
    <w:pPr>
      <w:keepNext/>
      <w:spacing w:after="0" w:line="240" w:lineRule="auto"/>
      <w:outlineLvl w:val="6"/>
    </w:pPr>
    <w:rPr>
      <w:rFonts w:ascii="CG Times (WN)" w:eastAsia="Times New Roman" w:hAnsi="CG Times (WN)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855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8555BA"/>
    <w:rPr>
      <w:rFonts w:ascii="CG Times (WN)" w:eastAsia="Times New Roman" w:hAnsi="CG Times (WN)" w:cs="Times New Roman"/>
      <w:b/>
      <w:szCs w:val="20"/>
    </w:rPr>
  </w:style>
  <w:style w:type="paragraph" w:customStyle="1" w:styleId="Default">
    <w:name w:val="Default"/>
    <w:rsid w:val="00855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5B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B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A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555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555B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55BA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55B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55BA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8555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855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555BA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uiPriority w:val="99"/>
    <w:rsid w:val="008555BA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555B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555BA"/>
    <w:rPr>
      <w:rFonts w:eastAsiaTheme="minorHAnsi"/>
    </w:rPr>
  </w:style>
  <w:style w:type="paragraph" w:styleId="Revision">
    <w:name w:val="Revision"/>
    <w:hidden/>
    <w:uiPriority w:val="99"/>
    <w:semiHidden/>
    <w:rsid w:val="008555BA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8555BA"/>
  </w:style>
  <w:style w:type="table" w:customStyle="1" w:styleId="TableGrid1">
    <w:name w:val="Table Grid1"/>
    <w:basedOn w:val="TableNormal"/>
    <w:next w:val="TableGrid"/>
    <w:uiPriority w:val="5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555BA"/>
    <w:rPr>
      <w:color w:val="800080"/>
      <w:u w:val="single"/>
    </w:rPr>
  </w:style>
  <w:style w:type="paragraph" w:customStyle="1" w:styleId="Bibliography1">
    <w:name w:val="Bibliography1"/>
    <w:basedOn w:val="Normal"/>
    <w:next w:val="Normal"/>
    <w:uiPriority w:val="37"/>
    <w:unhideWhenUsed/>
    <w:rsid w:val="008555BA"/>
    <w:rPr>
      <w:rFonts w:ascii="Calibri" w:eastAsia="Calibri" w:hAnsi="Calibri" w:cs="Times New Roman"/>
    </w:rPr>
  </w:style>
  <w:style w:type="paragraph" w:customStyle="1" w:styleId="Revision1">
    <w:name w:val="Revision1"/>
    <w:next w:val="Revision"/>
    <w:hidden/>
    <w:uiPriority w:val="99"/>
    <w:semiHidden/>
    <w:rsid w:val="008555B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8555BA"/>
  </w:style>
  <w:style w:type="table" w:customStyle="1" w:styleId="TableGrid2">
    <w:name w:val="Table Grid2"/>
    <w:basedOn w:val="TableNormal"/>
    <w:next w:val="TableGrid"/>
    <w:uiPriority w:val="5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2">
    <w:name w:val="Table Web 12"/>
    <w:basedOn w:val="TableNormal"/>
    <w:next w:val="TableWeb1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8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bliography2">
    <w:name w:val="Bibliography2"/>
    <w:basedOn w:val="Normal"/>
    <w:next w:val="Normal"/>
    <w:uiPriority w:val="37"/>
    <w:unhideWhenUsed/>
    <w:rsid w:val="008555BA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5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BD47-29CE-4D4C-A120-63311C8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1878</Words>
  <Characters>10708</Characters>
  <Application>Microsoft Office Word</Application>
  <DocSecurity>0</DocSecurity>
  <Lines>89</Lines>
  <Paragraphs>25</Paragraphs>
  <ScaleCrop>false</ScaleCrop>
  <Company>Centers for Disease Control and Prevention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Sandra L. (CDC/ONDIEH/NCCDPHP)</dc:creator>
  <cp:keywords/>
  <dc:description/>
  <cp:lastModifiedBy>user</cp:lastModifiedBy>
  <cp:revision>2</cp:revision>
  <dcterms:created xsi:type="dcterms:W3CDTF">2017-08-25T05:36:00Z</dcterms:created>
  <dcterms:modified xsi:type="dcterms:W3CDTF">2017-08-25T05:36:00Z</dcterms:modified>
</cp:coreProperties>
</file>