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155A" w14:textId="77777777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92F">
        <w:rPr>
          <w:rFonts w:ascii="Times New Roman" w:hAnsi="Times New Roman" w:cs="Times New Roman"/>
          <w:b/>
          <w:sz w:val="24"/>
          <w:szCs w:val="24"/>
        </w:rPr>
        <w:t>Table S2b.</w:t>
      </w:r>
      <w:r w:rsidRPr="00F9092F">
        <w:rPr>
          <w:rFonts w:ascii="Times New Roman" w:hAnsi="Times New Roman" w:cs="Times New Roman"/>
          <w:sz w:val="24"/>
          <w:szCs w:val="24"/>
        </w:rPr>
        <w:t xml:space="preserve"> </w:t>
      </w:r>
      <w:r w:rsidRPr="00F9092F">
        <w:rPr>
          <w:rFonts w:ascii="Times New Roman" w:hAnsi="Times New Roman" w:cs="Times New Roman"/>
          <w:b/>
          <w:sz w:val="24"/>
          <w:szCs w:val="24"/>
        </w:rPr>
        <w:t>Personal characteristics given the report of SV perpetration in Waves 4-6</w:t>
      </w:r>
    </w:p>
    <w:p w14:paraId="030D10CA" w14:textId="77777777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49C8DC" w14:textId="77777777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092F" w:rsidDel="00267D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86"/>
        <w:gridCol w:w="3614"/>
        <w:gridCol w:w="2120"/>
        <w:gridCol w:w="1541"/>
        <w:gridCol w:w="969"/>
        <w:gridCol w:w="2120"/>
        <w:gridCol w:w="1469"/>
        <w:gridCol w:w="821"/>
      </w:tblGrid>
      <w:tr w:rsidR="00620841" w:rsidRPr="00F9092F" w14:paraId="774A2633" w14:textId="77777777" w:rsidTr="00874C7F">
        <w:trPr>
          <w:trHeight w:val="288"/>
        </w:trPr>
        <w:tc>
          <w:tcPr>
            <w:tcW w:w="1566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19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Personal characteristics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C49C" w14:textId="77777777" w:rsidR="00620841" w:rsidRPr="00F9092F" w:rsidRDefault="00620841" w:rsidP="007A4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Attempted rape </w:t>
            </w: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8032" w14:textId="77777777" w:rsidR="00620841" w:rsidRPr="00F9092F" w:rsidRDefault="00620841" w:rsidP="007A4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CABE" w14:textId="77777777" w:rsidR="00620841" w:rsidRPr="00F9092F" w:rsidRDefault="00620841" w:rsidP="007A4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A6ED" w14:textId="77777777" w:rsidR="00620841" w:rsidRPr="00F9092F" w:rsidRDefault="00620841" w:rsidP="007A4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Rape </w:t>
            </w: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AC04" w14:textId="77777777" w:rsidR="00620841" w:rsidRPr="00F9092F" w:rsidRDefault="00620841" w:rsidP="007A4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C7BB" w14:textId="77777777" w:rsidR="00620841" w:rsidRPr="00F9092F" w:rsidRDefault="00620841" w:rsidP="007A4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841" w:rsidRPr="00F9092F" w14:paraId="57ACC88E" w14:textId="77777777" w:rsidTr="00874C7F">
        <w:trPr>
          <w:trHeight w:val="288"/>
        </w:trPr>
        <w:tc>
          <w:tcPr>
            <w:tcW w:w="1566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8677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1514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Non-perpetrator (</w:t>
            </w: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=1,083)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850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Perpetrator (</w:t>
            </w: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=60)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DC9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BF1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Non-perpetrator (</w:t>
            </w: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=1,113)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73B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Perpetrator (</w:t>
            </w: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=30)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BB1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620841" w:rsidRPr="00F9092F" w14:paraId="431EA823" w14:textId="77777777" w:rsidTr="00874C7F">
        <w:trPr>
          <w:trHeight w:val="282"/>
        </w:trPr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C4B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Individual characteristics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146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D5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95F4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9B7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03C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FA3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4341DD8E" w14:textId="77777777" w:rsidTr="00874C7F">
        <w:trPr>
          <w:trHeight w:val="33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268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AEE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Demographic </w:t>
            </w:r>
            <w:proofErr w:type="spellStart"/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099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DE9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522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48F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A27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B4E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4C3FEBB4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00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3F9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B4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F6F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12.39 (1.74)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255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13.13 (1.60)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21E7" w14:textId="53C7728C" w:rsidR="00620841" w:rsidRPr="00F9092F" w:rsidRDefault="00B8733A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0"/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0841" w:rsidRPr="00F9092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commentRangeEnd w:id="0"/>
            <w:r w:rsidR="00B82D6B" w:rsidRPr="00F9092F">
              <w:rPr>
                <w:rStyle w:val="CommentReference"/>
              </w:rPr>
              <w:commentReference w:id="0"/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87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12.41 (1.74)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349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12.90 (1.65)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FDC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</w:tr>
      <w:tr w:rsidR="00620841" w:rsidRPr="00F9092F" w14:paraId="15D50A82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BD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C28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7E3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Male sex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68B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529 (48.9%)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D1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46 (76.7%)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DA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F3E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554 (49.8%)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B73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21 (70.0%)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BD6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620841" w:rsidRPr="00F9092F" w14:paraId="4C2BADA7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CFA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1CE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83B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White race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C4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802 (74.1%)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567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46 (76.7%)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B2F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0.653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27A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828 (74.4%)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634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20 (66.7%)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549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620841" w:rsidRPr="00F9092F" w14:paraId="3D69FD81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68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871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A25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Hispanic ethnicity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E30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139 (12.8%)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691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10 (16.7%)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B62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9FA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141 (12.7%)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E80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 (26.7%)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877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620841" w:rsidRPr="00F9092F" w14:paraId="7367667B" w14:textId="77777777" w:rsidTr="00874C7F">
        <w:trPr>
          <w:trHeight w:val="33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1D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349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Other SV </w:t>
            </w:r>
            <w:proofErr w:type="spellStart"/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perpetration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47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D7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A78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3EE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57B7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EBB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2A70414E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F0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3E6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30F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Sexual harassment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19E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187 (17.3%)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FEB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44 (73.3%)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DB7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6EE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208 (18.7%)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0FC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23 (76.7%)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DF5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67298888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23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DF3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B6D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Sexual assault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6EB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80 (7.4%)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D61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42 (70.0%)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17D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406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97 (8.7%)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24A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25 (83.3%)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085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1A757AF4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9B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D2C4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538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Coercive sex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A0A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22 (2.0%)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50D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29 (48.3%)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C24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57B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24 (2.2%)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79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(90.0%)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C24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39821836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AB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4B01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505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Attempted rape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1F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49A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D60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7BA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41 (3.7%)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81B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19 (63.3%)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7B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3B652B76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3A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AD97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3BD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Rape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8E7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11 (1.0%)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46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19 (31.7%)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4D9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B9A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0C8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238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20841" w:rsidRPr="00F9092F" w14:paraId="38D9FC2D" w14:textId="77777777" w:rsidTr="00874C7F">
        <w:trPr>
          <w:trHeight w:val="33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3A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E36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SV </w:t>
            </w:r>
            <w:proofErr w:type="spellStart"/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Victimization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4E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F3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E8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69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09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06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76089213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E6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9CB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0861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Sexual harassment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45A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701 (64.7%)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194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56 (93.3%)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7B7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46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731 (65.7%)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137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26 (86.7%)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554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620841" w:rsidRPr="00F9092F" w14:paraId="1FEBB684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F9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A8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5B3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Sexual assault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099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305 (28.2%)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0A6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34 (56.7%)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06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DEA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317 (28.5%)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643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22 (73.3%)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2FE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564F8045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AA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95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77C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Coercive sex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F49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123 (11.4%)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840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30 (50.0%)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6F5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22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131 (11.8%)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AC7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22 (73.3%)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29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5050594E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BB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EE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09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Attempted rape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522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169 (15.6%)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07A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(45.0%)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133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043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180 (16.2%)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ACB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16 (53.3%)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D64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182A8320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45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5C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060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Rape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521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55 (5.1%)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A10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16 (26.7%)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981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F72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60 (5.4%)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BD7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11 (36.7%)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C66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104480E0" w14:textId="77777777" w:rsidTr="00874C7F">
        <w:trPr>
          <w:trHeight w:val="33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DA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080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Externalizing </w:t>
            </w:r>
            <w:proofErr w:type="spellStart"/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behaviors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E04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9E97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83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FF9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3CA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580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73194E1A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C8A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4A4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267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Delinquent behaviors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E3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813 (75.1%)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A27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59 (98.3%)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9F3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92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843 (75.7%)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E02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29 (96.7%)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E99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620841" w:rsidRPr="00F9092F" w14:paraId="3D8F493A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376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488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1C2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Aggressive behaviors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0E1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403 (37.2%)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779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49 (81.7%)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EC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787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425 (38.2%)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4BB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(90.0%)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873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0A081F15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B8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BB4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2CD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Seriously violent behavior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229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64 (5.9%)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11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19 (31.7%)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4E3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3DF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69 (6.2%)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159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14 (46.7%)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0B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1F779929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2A3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8712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A50A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Propensity to respond to stimuli with anger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85F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1.84 (0.45)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1AE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1.99 (0.42)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90D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82A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1.85 (0.45)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53F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1.97 (0.43)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7BB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</w:tr>
      <w:tr w:rsidR="00620841" w:rsidRPr="00F9092F" w14:paraId="454F5CF6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7B8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EEB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Teen dating violence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CC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CCC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D2F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5F4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3B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21A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64420EC0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9E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9F7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080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Physical perpetration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7A7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187 (17.3%)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253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34 (56.7%)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88F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71B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200 (18.0%)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D78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21 (70.0%)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982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3D404E65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71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D54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65D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Psychological perpetration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0EF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479 (44.2%)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2C5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49 (81.7%)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1DE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182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502 (45.1%)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BBC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26 (86.7%)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6D3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6072C334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A2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0B9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6DE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Physical victimization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18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217 (20.0%)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2E6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34 (56.7%)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77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661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228 (20.5%)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AD1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23 (76.7%)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32C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257DBF9C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ED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85A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3BD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Psychological victimization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A1F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482 (44.5%)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67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48 (80.0%)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85C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B11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503 (45.2%)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364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(90.0%)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8F8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46F592F9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7DA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D33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Alcohol use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2432" w14:textId="3FCBA4EC" w:rsidR="00620841" w:rsidRPr="00F9092F" w:rsidRDefault="00620841" w:rsidP="00DE4BE5">
            <w:pPr>
              <w:widowControl w:val="0"/>
              <w:spacing w:after="0" w:line="240" w:lineRule="auto"/>
              <w:ind w:left="411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   669</w:t>
            </w:r>
            <w:r w:rsidR="00AA04E7"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(61.8%)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80FC" w14:textId="4C76904F" w:rsidR="00620841" w:rsidRPr="00F9092F" w:rsidRDefault="00620841" w:rsidP="00B8733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56 (9</w:t>
            </w:r>
            <w:r w:rsidR="00B8733A" w:rsidRPr="00F90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0FE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C7E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701 (63.0%)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424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24 (80.0%)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C21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620841" w:rsidRPr="00F9092F" w14:paraId="467CBA63" w14:textId="77777777" w:rsidTr="00874C7F">
        <w:trPr>
          <w:trHeight w:val="33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C6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8B5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4B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6F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09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942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45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F5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6B62B042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4121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EA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49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Acceptance of couple violence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A2C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608 (56.1%)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7A2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54 (90.0%)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AE8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5DB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633 (56.9%)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CB1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29 (96.7%)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0A6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6C2B689D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45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17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0F3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Rape attitudes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FE1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327 (30.2%)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1ED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45 (75.0%)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C71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A4E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344 (30.9%)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335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28 (93.3%)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9ED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45ADFC98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313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CD7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Empathy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AE5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716 (66.1%)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A26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31 (51.7%)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8FA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D18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730 (65.6%)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7D7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17 (56.7%)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D14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620841" w:rsidRPr="00F9092F" w14:paraId="76FAA6C4" w14:textId="77777777" w:rsidTr="00874C7F">
        <w:trPr>
          <w:trHeight w:val="282"/>
        </w:trPr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EAC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Family level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2F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95A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E0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79F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EBBF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14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45702943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AC9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B8F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Exposure to spousal abuse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46E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55 (5.1%)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D2B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 (20.0%)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F5F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F1BF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61 (5.5%)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0B4F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 (20.0%)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B203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620841" w:rsidRPr="00F9092F" w14:paraId="7D54AE03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12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93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Low income (&lt;$35,000)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35C4" w14:textId="2DE82EE8" w:rsidR="00620841" w:rsidRPr="00F9092F" w:rsidRDefault="00620841" w:rsidP="00D676F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6F9" w:rsidRPr="00F9092F">
              <w:rPr>
                <w:rFonts w:ascii="Times New Roman" w:hAnsi="Times New Roman" w:cs="Times New Roman"/>
                <w:sz w:val="20"/>
                <w:szCs w:val="20"/>
              </w:rPr>
              <w:t>388.8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676F9" w:rsidRPr="00F9092F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73AD" w14:textId="1FE4AF69" w:rsidR="00620841" w:rsidRPr="00F9092F" w:rsidRDefault="00D676F9" w:rsidP="00D676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20841"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  <w:r w:rsidR="00620841" w:rsidRPr="00F9092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74A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55CD" w14:textId="3DBDAD49" w:rsidR="00620841" w:rsidRPr="00F9092F" w:rsidRDefault="00620841" w:rsidP="00D676F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76F9" w:rsidRPr="00F9092F">
              <w:rPr>
                <w:rFonts w:ascii="Times New Roman" w:hAnsi="Times New Roman" w:cs="Times New Roman"/>
                <w:sz w:val="20"/>
                <w:szCs w:val="20"/>
              </w:rPr>
              <w:t>397.3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676F9" w:rsidRPr="00F9092F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9495" w14:textId="3CA12B50" w:rsidR="00620841" w:rsidRPr="00F9092F" w:rsidRDefault="00D676F9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13.8 (46</w:t>
            </w:r>
            <w:r w:rsidR="00620841" w:rsidRPr="00F9092F">
              <w:rPr>
                <w:rFonts w:ascii="Times New Roman" w:hAnsi="Times New Roman" w:cs="Times New Roman"/>
                <w:sz w:val="20"/>
                <w:szCs w:val="20"/>
              </w:rPr>
              <w:t>.0%)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DC6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620841" w:rsidRPr="00F9092F" w14:paraId="485563CB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971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4F359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Poor caregiver monitoring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545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174 (16.07%)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00CA" w14:textId="77777777" w:rsidR="00620841" w:rsidRPr="00F9092F" w:rsidDel="002039D8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(45%)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3434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412C" w14:textId="77777777" w:rsidR="00620841" w:rsidRPr="00F9092F" w:rsidDel="002039D8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194 (17.43%)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1B0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 (23.33%)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F113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</w:tr>
      <w:tr w:rsidR="00620841" w:rsidRPr="00F9092F" w14:paraId="4F3F5580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4EA5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D90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Poor caregiver-child relationship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8C4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213 (19.67%)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1B65" w14:textId="77777777" w:rsidR="00620841" w:rsidRPr="00F9092F" w:rsidDel="002039D8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21 (35%)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DF2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1045" w14:textId="77777777" w:rsidR="00620841" w:rsidRPr="00F9092F" w:rsidDel="002039D8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226 (20.31%)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01F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 (26.67%)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8D42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</w:tr>
      <w:tr w:rsidR="00620841" w:rsidRPr="00F9092F" w14:paraId="77FE9FF2" w14:textId="77777777" w:rsidTr="00874C7F">
        <w:trPr>
          <w:trHeight w:val="282"/>
        </w:trPr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2F8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B4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47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111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D5B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781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B4B0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38436DE9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936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5807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Peer pressure for women to have sex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BE5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692 (63.9%)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DE9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46 (76.7%)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789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0CC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712 (64.0%)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8A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26 (86.7%)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5BA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620841" w:rsidRPr="00F9092F" w14:paraId="1F83D80F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5B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617E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Peer pressure for men to have sex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FF3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663 (61.2%)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655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49 (81.7%)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0FA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104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687 (61.7%)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4E2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25 (83.3%)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160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620841" w:rsidRPr="00F9092F" w14:paraId="106E7E65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7A9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F9CB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Social support from friends (M: SD)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ED1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5.07 (1.75)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F49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5.08 (1.73)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C94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0.9774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9DD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5.06 (1.75)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E9A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5.38 (1.45)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512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0.3235</w:t>
            </w:r>
          </w:p>
        </w:tc>
      </w:tr>
      <w:tr w:rsidR="00620841" w:rsidRPr="00F9092F" w14:paraId="6507F228" w14:textId="77777777" w:rsidTr="00874C7F">
        <w:trPr>
          <w:trHeight w:val="28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9CC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EE4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Social support from a ‘special person’ (M:SD)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38E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5.58 (1.48)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21C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5.25 (1.52)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FA98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0.0921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D47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5.56 (1.48)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E86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5.56 (1.43)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2F2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</w:tr>
      <w:tr w:rsidR="00620841" w:rsidRPr="00F9092F" w14:paraId="1C5B79DF" w14:textId="77777777" w:rsidTr="00874C7F">
        <w:trPr>
          <w:trHeight w:val="282"/>
        </w:trPr>
        <w:tc>
          <w:tcPr>
            <w:tcW w:w="156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B51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BD1D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0A2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72E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6E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CE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E8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603A4B44" w14:textId="77777777" w:rsidTr="00874C7F">
        <w:trPr>
          <w:trHeight w:val="330"/>
        </w:trPr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F17E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50C7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Violent media exposure (almost all media violent)</w:t>
            </w: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B8AA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879 (81.2%)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2A0E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53 (88.3%)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428F6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84876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905 (81.3%)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4B9FF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(90.0%)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37708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</w:tr>
      <w:tr w:rsidR="00620841" w:rsidRPr="00F9092F" w14:paraId="15064981" w14:textId="77777777" w:rsidTr="00874C7F">
        <w:trPr>
          <w:trHeight w:val="330"/>
        </w:trPr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6655F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FD55B3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Sexual media (almost all media has sexual content)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CD93D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206 (19.0%)</w:t>
            </w:r>
          </w:p>
        </w:tc>
        <w:tc>
          <w:tcPr>
            <w:tcW w:w="5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AE450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11 (18.3%)</w:t>
            </w: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9BCD6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22CAE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205(18.4%)</w:t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CF7A8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12(40.0%)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9D63B1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620841" w:rsidRPr="00F9092F" w14:paraId="553CE2BB" w14:textId="77777777" w:rsidTr="00874C7F">
        <w:trPr>
          <w:trHeight w:val="330"/>
        </w:trPr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94A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440A" w14:textId="77777777" w:rsidR="00620841" w:rsidRPr="00F9092F" w:rsidRDefault="00620841" w:rsidP="007A43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 xml:space="preserve">Pornography </w:t>
            </w:r>
            <w:proofErr w:type="spellStart"/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  <w:r w:rsidRPr="00F909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0A6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D1EE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805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2EA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F5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92D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841" w:rsidRPr="00F9092F" w14:paraId="3AF4C17D" w14:textId="77777777" w:rsidTr="00874C7F">
        <w:trPr>
          <w:trHeight w:val="330"/>
        </w:trPr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D2F8F3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A55407" w14:textId="77777777" w:rsidR="00620841" w:rsidRPr="00F9092F" w:rsidRDefault="00620841" w:rsidP="007A438E">
            <w:pPr>
              <w:widowControl w:val="0"/>
              <w:spacing w:after="0" w:line="240" w:lineRule="auto"/>
              <w:ind w:firstLine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954A8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562 (51.89%)</w:t>
            </w:r>
          </w:p>
        </w:tc>
        <w:tc>
          <w:tcPr>
            <w:tcW w:w="5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95A3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12 (20%)</w:t>
            </w: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E7A25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4C993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568 (51.03%)</w:t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9E74C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6 (20%)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F2A6C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721ECFDD" w14:textId="77777777" w:rsidTr="00874C7F">
        <w:trPr>
          <w:trHeight w:val="330"/>
        </w:trPr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AF9DCB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45563B" w14:textId="77777777" w:rsidR="00620841" w:rsidRPr="00F9092F" w:rsidRDefault="00620841" w:rsidP="007A438E">
            <w:pPr>
              <w:widowControl w:val="0"/>
              <w:spacing w:after="0" w:line="240" w:lineRule="auto"/>
              <w:ind w:firstLine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Non-violent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09D4F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420 (38.78%)</w:t>
            </w:r>
          </w:p>
        </w:tc>
        <w:tc>
          <w:tcPr>
            <w:tcW w:w="5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3C2F7F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27 (45%)</w:t>
            </w: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F6E937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5DA0CD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433 (38.9%)</w:t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EE8655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14 (46.67%)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A424A6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20841" w:rsidRPr="00F9092F" w14:paraId="69B5179A" w14:textId="77777777" w:rsidTr="00874C7F">
        <w:trPr>
          <w:trHeight w:val="330"/>
        </w:trPr>
        <w:tc>
          <w:tcPr>
            <w:tcW w:w="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9502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43C7D" w14:textId="77777777" w:rsidR="00620841" w:rsidRPr="00F9092F" w:rsidRDefault="00620841" w:rsidP="007A438E">
            <w:pPr>
              <w:widowControl w:val="0"/>
              <w:spacing w:after="0" w:line="240" w:lineRule="auto"/>
              <w:ind w:firstLine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Violent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13EDC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101 (9.33%)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5414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21 (35%)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64C50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A54C9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112 (10.06%)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34D9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10 (33.33%)</w:t>
            </w: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40734" w14:textId="77777777" w:rsidR="00620841" w:rsidRPr="00F9092F" w:rsidRDefault="00620841" w:rsidP="007A43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63575440" w14:textId="74A03472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9092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6B5A3F" w:rsidRPr="00F9092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6B5A3F" w:rsidRPr="00F9092F">
        <w:rPr>
          <w:rFonts w:ascii="Times New Roman" w:hAnsi="Times New Roman" w:cs="Times New Roman"/>
          <w:sz w:val="20"/>
          <w:szCs w:val="20"/>
        </w:rPr>
        <w:t xml:space="preserve"> charac</w:t>
      </w:r>
      <w:r w:rsidRPr="00F9092F">
        <w:rPr>
          <w:rFonts w:ascii="Times New Roman" w:hAnsi="Times New Roman" w:cs="Times New Roman"/>
          <w:sz w:val="20"/>
          <w:szCs w:val="20"/>
        </w:rPr>
        <w:t xml:space="preserve">teristics </w:t>
      </w:r>
      <w:proofErr w:type="spellStart"/>
      <w:r w:rsidRPr="00F9092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F9092F">
        <w:rPr>
          <w:rFonts w:ascii="Times New Roman" w:hAnsi="Times New Roman" w:cs="Times New Roman"/>
          <w:sz w:val="20"/>
          <w:szCs w:val="20"/>
        </w:rPr>
        <w:t>Vari</w:t>
      </w:r>
      <w:r w:rsidR="006B5A3F" w:rsidRPr="00F9092F">
        <w:rPr>
          <w:rFonts w:ascii="Times New Roman" w:hAnsi="Times New Roman" w:cs="Times New Roman"/>
          <w:sz w:val="20"/>
          <w:szCs w:val="20"/>
        </w:rPr>
        <w:t>a</w:t>
      </w:r>
      <w:r w:rsidRPr="00F9092F">
        <w:rPr>
          <w:rFonts w:ascii="Times New Roman" w:hAnsi="Times New Roman" w:cs="Times New Roman"/>
          <w:sz w:val="20"/>
          <w:szCs w:val="20"/>
        </w:rPr>
        <w:t>ble</w:t>
      </w:r>
      <w:proofErr w:type="spellEnd"/>
      <w:r w:rsidRPr="00F9092F">
        <w:rPr>
          <w:rFonts w:ascii="Times New Roman" w:hAnsi="Times New Roman" w:cs="Times New Roman"/>
          <w:sz w:val="20"/>
          <w:szCs w:val="20"/>
        </w:rPr>
        <w:t xml:space="preserve"> added in Wave 4; </w:t>
      </w:r>
      <w:proofErr w:type="spellStart"/>
      <w:r w:rsidRPr="00F9092F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F9092F">
        <w:rPr>
          <w:rFonts w:ascii="Times New Roman" w:hAnsi="Times New Roman" w:cs="Times New Roman"/>
          <w:sz w:val="20"/>
          <w:szCs w:val="20"/>
        </w:rPr>
        <w:t>Wave</w:t>
      </w:r>
      <w:proofErr w:type="spellEnd"/>
      <w:r w:rsidRPr="00F9092F">
        <w:rPr>
          <w:rFonts w:ascii="Times New Roman" w:hAnsi="Times New Roman" w:cs="Times New Roman"/>
          <w:sz w:val="20"/>
          <w:szCs w:val="20"/>
        </w:rPr>
        <w:t xml:space="preserve"> 4 variable, unless missing and then Wave 5, unless missing and then Wave 6 </w:t>
      </w:r>
      <w:r w:rsidRPr="00F9092F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F9092F">
        <w:rPr>
          <w:rFonts w:ascii="Times New Roman" w:hAnsi="Times New Roman" w:cs="Times New Roman"/>
          <w:sz w:val="20"/>
          <w:szCs w:val="20"/>
        </w:rPr>
        <w:t xml:space="preserve"> Wave 1 income was used for sexual assault. The first non-missing income data from Wave 4, 5, and 6 were used for all other perpetrations. The numbers for income are not whole numbers, reflecting average values obtained over multiple imputation samples. </w:t>
      </w:r>
    </w:p>
    <w:p w14:paraId="2847FBE9" w14:textId="77777777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7D942" w14:textId="0DC06646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92F">
        <w:rPr>
          <w:rFonts w:ascii="Times New Roman" w:hAnsi="Times New Roman" w:cs="Times New Roman"/>
          <w:sz w:val="20"/>
          <w:szCs w:val="20"/>
        </w:rPr>
        <w:t xml:space="preserve">All variables are dichotomous </w:t>
      </w:r>
      <w:r w:rsidR="009D146E" w:rsidRPr="00F9092F">
        <w:rPr>
          <w:rFonts w:ascii="Times New Roman" w:hAnsi="Times New Roman" w:cs="Times New Roman"/>
          <w:sz w:val="20"/>
          <w:szCs w:val="20"/>
        </w:rPr>
        <w:t xml:space="preserve">except </w:t>
      </w:r>
      <w:r w:rsidRPr="00F9092F">
        <w:rPr>
          <w:rFonts w:ascii="Times New Roman" w:hAnsi="Times New Roman" w:cs="Times New Roman"/>
          <w:sz w:val="20"/>
          <w:szCs w:val="20"/>
        </w:rPr>
        <w:t xml:space="preserve">for age, propensity to anger, social support from friends, and social support from ‘special person’. Thus, the percentage shown reflects those who report the characteristic (e.g., the percent of non-perpetrating sexual harassment youth who report exposure to violent pornographic material). The percentage of those who do not report exposure can be calculated by subtracting the reported percentage from 100% (e.g., 92% of </w:t>
      </w:r>
      <w:r w:rsidRPr="00F9092F">
        <w:rPr>
          <w:rFonts w:ascii="Times New Roman" w:hAnsi="Times New Roman" w:cs="Times New Roman"/>
          <w:sz w:val="20"/>
          <w:szCs w:val="20"/>
        </w:rPr>
        <w:lastRenderedPageBreak/>
        <w:t xml:space="preserve">non-perpetrating </w:t>
      </w:r>
      <w:proofErr w:type="gramStart"/>
      <w:r w:rsidRPr="00F9092F">
        <w:rPr>
          <w:rFonts w:ascii="Times New Roman" w:hAnsi="Times New Roman" w:cs="Times New Roman"/>
          <w:sz w:val="20"/>
          <w:szCs w:val="20"/>
        </w:rPr>
        <w:t>sexual</w:t>
      </w:r>
      <w:proofErr w:type="gramEnd"/>
      <w:r w:rsidRPr="00F9092F">
        <w:rPr>
          <w:rFonts w:ascii="Times New Roman" w:hAnsi="Times New Roman" w:cs="Times New Roman"/>
          <w:sz w:val="20"/>
          <w:szCs w:val="20"/>
        </w:rPr>
        <w:t xml:space="preserve"> harassment youth reported not being exposed to violent pornographic material)</w:t>
      </w:r>
    </w:p>
    <w:p w14:paraId="18769AFC" w14:textId="77777777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47F81" w14:textId="77777777" w:rsidR="00620841" w:rsidRPr="00F9092F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92F">
        <w:rPr>
          <w:rFonts w:ascii="Times New Roman" w:hAnsi="Times New Roman" w:cs="Times New Roman"/>
          <w:sz w:val="20"/>
          <w:szCs w:val="20"/>
        </w:rPr>
        <w:t xml:space="preserve">Data are unweighted because the aim is to make comparisons by SV group through the use of bivariate analyses, rather than to report prevalence rates. </w:t>
      </w:r>
    </w:p>
    <w:p w14:paraId="283C360E" w14:textId="77777777" w:rsidR="00620841" w:rsidRDefault="00620841" w:rsidP="006208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92F">
        <w:rPr>
          <w:rFonts w:ascii="Times New Roman" w:hAnsi="Times New Roman" w:cs="Times New Roman"/>
          <w:sz w:val="20"/>
          <w:szCs w:val="20"/>
        </w:rPr>
        <w:t>TDV: Teen dating violence.</w:t>
      </w:r>
      <w:bookmarkStart w:id="1" w:name="_GoBack"/>
      <w:bookmarkEnd w:id="1"/>
      <w:r w:rsidRPr="00B41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287C9" w14:textId="77777777" w:rsidR="00FB462C" w:rsidRPr="00620841" w:rsidRDefault="00FB462C" w:rsidP="00620841"/>
    <w:sectPr w:rsidR="00FB462C" w:rsidRPr="00620841" w:rsidSect="00830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ele Ybarra" w:date="2017-06-13T15:20:00Z" w:initials="MY">
    <w:p w14:paraId="515AE920" w14:textId="2A2BE55E" w:rsidR="00B82D6B" w:rsidRDefault="00B82D6B">
      <w:pPr>
        <w:pStyle w:val="CommentText"/>
      </w:pPr>
      <w:r>
        <w:rPr>
          <w:rStyle w:val="CommentReference"/>
        </w:rPr>
        <w:annotationRef/>
      </w:r>
      <w:r>
        <w:t>Text edits are noted either as yellow highlights or via track changes. Thanks!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E9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e Ybarra">
    <w15:presenceInfo w15:providerId="None" w15:userId="Michele Ybarra"/>
  </w15:person>
  <w15:person w15:author="Hannah Madison">
    <w15:presenceInfo w15:providerId="None" w15:userId="Hannah Mad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C"/>
    <w:rsid w:val="0020464D"/>
    <w:rsid w:val="004E5B85"/>
    <w:rsid w:val="005E3228"/>
    <w:rsid w:val="0060632C"/>
    <w:rsid w:val="00620841"/>
    <w:rsid w:val="006B5A3F"/>
    <w:rsid w:val="007160E1"/>
    <w:rsid w:val="00791701"/>
    <w:rsid w:val="007C390F"/>
    <w:rsid w:val="007C43FE"/>
    <w:rsid w:val="00830B7D"/>
    <w:rsid w:val="00874C7F"/>
    <w:rsid w:val="009D146E"/>
    <w:rsid w:val="00A21D6C"/>
    <w:rsid w:val="00A50F0A"/>
    <w:rsid w:val="00AA04E7"/>
    <w:rsid w:val="00B82D6B"/>
    <w:rsid w:val="00B8733A"/>
    <w:rsid w:val="00BD7EA9"/>
    <w:rsid w:val="00D676F9"/>
    <w:rsid w:val="00DE4BE5"/>
    <w:rsid w:val="00E036D9"/>
    <w:rsid w:val="00EC2C03"/>
    <w:rsid w:val="00F9092F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RCATUBAY</dc:creator>
  <cp:lastModifiedBy>Saavedra, Jenaline</cp:lastModifiedBy>
  <cp:revision>5</cp:revision>
  <dcterms:created xsi:type="dcterms:W3CDTF">2017-06-13T22:20:00Z</dcterms:created>
  <dcterms:modified xsi:type="dcterms:W3CDTF">2017-06-21T22:13:00Z</dcterms:modified>
</cp:coreProperties>
</file>