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1AC7" w:rsidRPr="00F63133" w:rsidRDefault="00B21AC7" w:rsidP="00B21AC7">
      <w:pPr>
        <w:rPr>
          <w:b/>
          <w:lang w:val="en-US"/>
        </w:rPr>
      </w:pPr>
      <w:r w:rsidRPr="00F63133">
        <w:rPr>
          <w:b/>
          <w:lang w:val="en-US"/>
        </w:rPr>
        <w:t>Supplementary Material</w:t>
      </w:r>
    </w:p>
    <w:p w:rsidR="00B21AC7" w:rsidRPr="00F63133" w:rsidRDefault="00B21AC7" w:rsidP="00B21AC7">
      <w:pPr>
        <w:rPr>
          <w:b/>
          <w:lang w:val="en-US"/>
        </w:rPr>
      </w:pPr>
    </w:p>
    <w:p w:rsidR="00B21AC7" w:rsidRPr="00F63133" w:rsidRDefault="00B21AC7" w:rsidP="00B21AC7">
      <w:pPr>
        <w:rPr>
          <w:b/>
          <w:lang w:val="en-US"/>
        </w:rPr>
      </w:pPr>
      <w:r w:rsidRPr="00F63133">
        <w:rPr>
          <w:b/>
          <w:lang w:val="en-US"/>
        </w:rPr>
        <w:t>VRP production</w:t>
      </w:r>
    </w:p>
    <w:p w:rsidR="00B21AC7" w:rsidRPr="00F63133" w:rsidRDefault="00B21AC7" w:rsidP="00B21AC7">
      <w:pPr>
        <w:rPr>
          <w:lang w:val="en-US"/>
        </w:rPr>
      </w:pPr>
      <w:r w:rsidRPr="00F63133">
        <w:rPr>
          <w:lang w:val="en-US"/>
        </w:rPr>
        <w:t>Six-well plates were seeded with 3.5 × 10</w:t>
      </w:r>
      <w:r w:rsidRPr="00F63133">
        <w:rPr>
          <w:vertAlign w:val="superscript"/>
          <w:lang w:val="en-US"/>
        </w:rPr>
        <w:t>5</w:t>
      </w:r>
      <w:r w:rsidRPr="00F63133">
        <w:rPr>
          <w:lang w:val="en-US"/>
        </w:rPr>
        <w:t xml:space="preserve"> Huh7 cells/well 1 day prior to transfection in 3 mL of DMEM supplemented with 1% non-essential amino acids, 1 mM sodium pyruvate, and 10% FBS. 16–24 h later, cells were transfected with pT7-S (1 </w:t>
      </w:r>
      <w:proofErr w:type="spellStart"/>
      <w:r w:rsidRPr="00F63133">
        <w:rPr>
          <w:lang w:val="en-US"/>
        </w:rPr>
        <w:t>μg</w:t>
      </w:r>
      <w:proofErr w:type="spellEnd"/>
      <w:r w:rsidRPr="00F63133">
        <w:rPr>
          <w:lang w:val="en-US"/>
        </w:rPr>
        <w:t xml:space="preserve">) or pT7-S-P2A-zsGreen (1 </w:t>
      </w:r>
      <w:proofErr w:type="spellStart"/>
      <w:r w:rsidRPr="00F63133">
        <w:rPr>
          <w:lang w:val="en-US"/>
        </w:rPr>
        <w:t>μg</w:t>
      </w:r>
      <w:proofErr w:type="spellEnd"/>
      <w:r w:rsidRPr="00F63133">
        <w:rPr>
          <w:lang w:val="en-US"/>
        </w:rPr>
        <w:t>) to produce fluorescent reporter protein</w:t>
      </w:r>
      <w:r>
        <w:rPr>
          <w:lang w:val="en-US"/>
        </w:rPr>
        <w:fldChar w:fldCharType="begin" w:fldLock="1"/>
      </w:r>
      <w:r>
        <w:rPr>
          <w:lang w:val="en-US"/>
        </w:rPr>
        <w:instrText>ADDIN CSL_CITATION {"citationItems":[{"id":"ITEM-1","itemData":{"DOI":"10.1016/j.antiviral.2017.10.008","ISSN":"01663542","abstract":"© 2017 Crimean-Congo hemorrhagic fever virus (CCHFV), a tick-borne orthonairovirus, causes a severe hemorrhagic disease in humans (Crimean-Congo hemorrhagic fever, CCHF). Currently, no vaccines are approved to prevent CCHF; treatment is limited to supportive care and the use of ribavirin, the therapeutic benefits of which remain unclear. CCHF is part of WHO's priority list of infectious diseases warranting further research and development. To aid in the identification of new antiviral compounds, we generated a recombinant CCHFV expressing a reporter protein, allowing us to quantify virus inhibition by measuring the reduction in fluorescence in infected cells treated with candidate compounds. The screening assay was readily adaptable to high-throughput screening (HTS) of compounds using Huh7 cells, with a signal-to-noise ratio of 50:1, and Z′-factors &gt; 0.6 in both 96- and 384-well formats. A screen of candidate nucleoside analog compounds identified 2′-deoxy-2′-fluorocytidine (EC 50 = 61 ± 18 nM) as having 200 × the potency of ribavirin (EC 50 = 12.5 ± 2.6 μM), as well as 17 × the potency of T-705 (favipiravir), another compound with reported anti-CCHFV activity (EC 50 = 1.03 ± 0.16 μM). Furthermore, we also determined that 2′-deoxy-2′-fluorocytidine acts synergistically with T-705 to inhibit CCHFV replication without causing cytotoxicity. The incorporation of this reporter virus into the high-throughput screening assay described here will allow more rapid identification of effective therapeutic options to combat this emerging human pathogen.","author":[{"dropping-particle":"","family":"Welch","given":"Stephen R.","non-dropping-particle":"","parse-names":false,"suffix":""},{"dropping-particle":"","family":"Scholte","given":"Florine E.M.","non-dropping-particle":"","parse-names":false,"suffix":""},{"dropping-particle":"","family":"Flint","given":"Mike","non-dropping-particle":"","parse-names":false,"suffix":""},{"dropping-particle":"","family":"Chatterjee","given":"Payel","non-dropping-particle":"","parse-names":false,"suffix":""},{"dropping-particle":"","family":"Nichol","given":"Stuart T.","non-dropping-particle":"","parse-names":false,"suffix":""},{"dropping-particle":"","family":"Bergeron","given":"Éric","non-dropping-particle":"","parse-names":false,"suffix":""},{"dropping-particle":"","family":"Spiropoulou","given":"Christina F.","non-dropping-particle":"","parse-names":false,"suffix":""}],"container-title":"Antiviral Research","id":"ITEM-1","issue":"October","issued":{"date-parts":[["2017"]]},"page":"91-99","publisher":"Elsevier","title":"Identification of 2′-deoxy-2′-fluorocytidine as a potent inhibitor of Crimean-Congo hemorrhagic fever virus replication using a recombinant fluorescent reporter virus","type":"article-journal","volume":"147"},"uris":["http://www.mendeley.com/documents/?uuid=07a407fd-e7c0-48c8-9fea-720ffdb1dba8"]}],"mendeley":{"formattedCitation":"&lt;sup&gt;8&lt;/sup&gt;","plainTextFormattedCitation":"8","previouslyFormattedCitation":"&lt;sup&gt;8&lt;/sup&gt;"},"properties":{"noteIndex":0},"schema":"https://github.com/citation-style-language/schema/raw/master/csl-citation.json"}</w:instrText>
      </w:r>
      <w:r>
        <w:rPr>
          <w:lang w:val="en-US"/>
        </w:rPr>
        <w:fldChar w:fldCharType="separate"/>
      </w:r>
      <w:r w:rsidRPr="00C832AA">
        <w:rPr>
          <w:noProof/>
          <w:vertAlign w:val="superscript"/>
          <w:lang w:val="en-US"/>
        </w:rPr>
        <w:t>8</w:t>
      </w:r>
      <w:r>
        <w:rPr>
          <w:lang w:val="en-US"/>
        </w:rPr>
        <w:fldChar w:fldCharType="end"/>
      </w:r>
      <w:r w:rsidRPr="00F63133">
        <w:rPr>
          <w:lang w:val="en-US"/>
        </w:rPr>
        <w:t xml:space="preserve">, together with pT7-L (1 </w:t>
      </w:r>
      <w:proofErr w:type="spellStart"/>
      <w:r w:rsidRPr="00F63133">
        <w:rPr>
          <w:lang w:val="en-US"/>
        </w:rPr>
        <w:t>μg</w:t>
      </w:r>
      <w:proofErr w:type="spellEnd"/>
      <w:r w:rsidRPr="00F63133">
        <w:rPr>
          <w:lang w:val="en-US"/>
        </w:rPr>
        <w:t xml:space="preserve">), </w:t>
      </w:r>
      <w:proofErr w:type="spellStart"/>
      <w:r w:rsidRPr="00F63133">
        <w:rPr>
          <w:lang w:val="en-US"/>
        </w:rPr>
        <w:t>pC</w:t>
      </w:r>
      <w:r>
        <w:rPr>
          <w:lang w:val="en-US"/>
        </w:rPr>
        <w:t>AGGS</w:t>
      </w:r>
      <w:proofErr w:type="spellEnd"/>
      <w:r w:rsidRPr="00F63133">
        <w:rPr>
          <w:lang w:val="en-US"/>
        </w:rPr>
        <w:t xml:space="preserve">-L (0.33 </w:t>
      </w:r>
      <w:proofErr w:type="spellStart"/>
      <w:r w:rsidRPr="00F63133">
        <w:rPr>
          <w:lang w:val="en-US"/>
        </w:rPr>
        <w:t>μg</w:t>
      </w:r>
      <w:proofErr w:type="spellEnd"/>
      <w:r w:rsidRPr="00F63133">
        <w:rPr>
          <w:lang w:val="en-US"/>
        </w:rPr>
        <w:t xml:space="preserve">), </w:t>
      </w:r>
      <w:proofErr w:type="spellStart"/>
      <w:r w:rsidRPr="00F63133">
        <w:rPr>
          <w:lang w:val="en-US"/>
        </w:rPr>
        <w:t>pC</w:t>
      </w:r>
      <w:r>
        <w:rPr>
          <w:lang w:val="en-US"/>
        </w:rPr>
        <w:t>AGGS</w:t>
      </w:r>
      <w:proofErr w:type="spellEnd"/>
      <w:r w:rsidRPr="00F63133">
        <w:rPr>
          <w:lang w:val="en-US"/>
        </w:rPr>
        <w:t xml:space="preserve">-N (0.66 </w:t>
      </w:r>
      <w:proofErr w:type="spellStart"/>
      <w:r w:rsidRPr="00F63133">
        <w:rPr>
          <w:lang w:val="en-US"/>
        </w:rPr>
        <w:t>μg</w:t>
      </w:r>
      <w:proofErr w:type="spellEnd"/>
      <w:r w:rsidRPr="00F63133">
        <w:rPr>
          <w:lang w:val="en-US"/>
        </w:rPr>
        <w:t xml:space="preserve">), </w:t>
      </w:r>
      <w:proofErr w:type="spellStart"/>
      <w:r w:rsidRPr="00F63133">
        <w:rPr>
          <w:lang w:val="en-US"/>
        </w:rPr>
        <w:t>pC</w:t>
      </w:r>
      <w:r>
        <w:rPr>
          <w:lang w:val="en-US"/>
        </w:rPr>
        <w:t>AGGS</w:t>
      </w:r>
      <w:proofErr w:type="spellEnd"/>
      <w:r w:rsidRPr="00F63133">
        <w:rPr>
          <w:lang w:val="en-US"/>
        </w:rPr>
        <w:t xml:space="preserve">-GPC-Oman (1 </w:t>
      </w:r>
      <w:proofErr w:type="spellStart"/>
      <w:r w:rsidRPr="00F63133">
        <w:rPr>
          <w:lang w:val="en-US"/>
        </w:rPr>
        <w:t>μg</w:t>
      </w:r>
      <w:proofErr w:type="spellEnd"/>
      <w:r w:rsidRPr="00F63133">
        <w:rPr>
          <w:lang w:val="en-US"/>
        </w:rPr>
        <w:t>), and pC</w:t>
      </w:r>
      <w:r>
        <w:rPr>
          <w:lang w:val="en-US"/>
        </w:rPr>
        <w:t>AGGS</w:t>
      </w:r>
      <w:r w:rsidRPr="00F63133">
        <w:rPr>
          <w:lang w:val="en-US"/>
        </w:rPr>
        <w:t xml:space="preserve">-T7 (1 </w:t>
      </w:r>
      <w:proofErr w:type="spellStart"/>
      <w:r w:rsidRPr="00F63133">
        <w:rPr>
          <w:lang w:val="en-US"/>
        </w:rPr>
        <w:t>μg</w:t>
      </w:r>
      <w:proofErr w:type="spellEnd"/>
      <w:r w:rsidRPr="00F63133">
        <w:rPr>
          <w:lang w:val="en-US"/>
        </w:rPr>
        <w:t xml:space="preserve">), combined with 12.5 </w:t>
      </w:r>
      <w:proofErr w:type="spellStart"/>
      <w:r w:rsidRPr="00F63133">
        <w:rPr>
          <w:lang w:val="en-US"/>
        </w:rPr>
        <w:t>μL</w:t>
      </w:r>
      <w:proofErr w:type="spellEnd"/>
      <w:r w:rsidRPr="00F63133">
        <w:rPr>
          <w:lang w:val="en-US"/>
        </w:rPr>
        <w:t xml:space="preserve"> of </w:t>
      </w:r>
      <w:proofErr w:type="spellStart"/>
      <w:r w:rsidRPr="00F63133">
        <w:rPr>
          <w:lang w:val="en-US"/>
        </w:rPr>
        <w:t>Mirus</w:t>
      </w:r>
      <w:proofErr w:type="spellEnd"/>
      <w:r w:rsidRPr="00F63133">
        <w:rPr>
          <w:lang w:val="en-US"/>
        </w:rPr>
        <w:t xml:space="preserve"> LT1 transfection reagent (</w:t>
      </w:r>
      <w:proofErr w:type="spellStart"/>
      <w:r w:rsidRPr="00F63133">
        <w:rPr>
          <w:lang w:val="en-US"/>
        </w:rPr>
        <w:t>Mirus</w:t>
      </w:r>
      <w:proofErr w:type="spellEnd"/>
      <w:r w:rsidRPr="00F63133">
        <w:rPr>
          <w:lang w:val="en-US"/>
        </w:rPr>
        <w:t xml:space="preserve"> Bio, Madison, WI, USA) in 250 </w:t>
      </w:r>
      <w:proofErr w:type="spellStart"/>
      <w:r w:rsidRPr="00F63133">
        <w:rPr>
          <w:lang w:val="en-US"/>
        </w:rPr>
        <w:t>μL</w:t>
      </w:r>
      <w:proofErr w:type="spellEnd"/>
      <w:r w:rsidRPr="00F63133">
        <w:rPr>
          <w:lang w:val="en-US"/>
        </w:rPr>
        <w:t xml:space="preserve"> of OPTI-MEM (Life Technologies, Grand Island, NY, USA) (Fig. 1a). Supernatants containing VRPs were harvested 4–5 days post transfection. VRP stocks were titrated</w:t>
      </w:r>
      <w:r>
        <w:rPr>
          <w:lang w:val="en-US"/>
        </w:rPr>
        <w:t xml:space="preserve"> </w:t>
      </w:r>
      <w:r w:rsidRPr="00F63133">
        <w:rPr>
          <w:lang w:val="en-US"/>
        </w:rPr>
        <w:t>by 50 percent tissue culture infective dose (TCID</w:t>
      </w:r>
      <w:r w:rsidRPr="00F63133">
        <w:rPr>
          <w:vertAlign w:val="subscript"/>
          <w:lang w:val="en-US"/>
        </w:rPr>
        <w:t>50</w:t>
      </w:r>
      <w:r w:rsidRPr="00F63133">
        <w:rPr>
          <w:lang w:val="en-US"/>
        </w:rPr>
        <w:t>) on BSR/T7 cells using the Reed-Muench method. Positive wells were scored based on the detection of at least one CCHFV NP positive cells detectable by immunofluorescence using a rabbit anti-NP antibody (</w:t>
      </w:r>
      <w:r>
        <w:rPr>
          <w:lang w:val="en-US"/>
        </w:rPr>
        <w:t xml:space="preserve">#04-0011, IBT </w:t>
      </w:r>
      <w:proofErr w:type="spellStart"/>
      <w:r>
        <w:rPr>
          <w:lang w:val="en-US"/>
        </w:rPr>
        <w:t>Bioservices</w:t>
      </w:r>
      <w:proofErr w:type="spellEnd"/>
      <w:r w:rsidRPr="00F63133">
        <w:rPr>
          <w:lang w:val="en-US"/>
        </w:rPr>
        <w:t>) and Alexa-488 goat anti-rabbit secondary antibody.</w:t>
      </w:r>
    </w:p>
    <w:p w:rsidR="00B21AC7" w:rsidRPr="00F63133" w:rsidRDefault="00B21AC7" w:rsidP="00B21AC7">
      <w:pPr>
        <w:rPr>
          <w:lang w:val="en-US"/>
        </w:rPr>
      </w:pPr>
    </w:p>
    <w:p w:rsidR="00B21AC7" w:rsidRPr="00F63133" w:rsidRDefault="00B21AC7" w:rsidP="00B21AC7">
      <w:pPr>
        <w:rPr>
          <w:b/>
          <w:lang w:val="en-US"/>
        </w:rPr>
      </w:pPr>
      <w:r w:rsidRPr="00F63133">
        <w:rPr>
          <w:b/>
          <w:lang w:val="en-US"/>
        </w:rPr>
        <w:t>Animal experiments</w:t>
      </w:r>
    </w:p>
    <w:p w:rsidR="00B21AC7" w:rsidRDefault="00B21AC7" w:rsidP="00B21AC7">
      <w:pPr>
        <w:rPr>
          <w:lang w:val="en-US"/>
        </w:rPr>
      </w:pPr>
      <w:r w:rsidRPr="00693127">
        <w:t xml:space="preserve">Animal work was approved by </w:t>
      </w:r>
      <w:r>
        <w:t xml:space="preserve">the </w:t>
      </w:r>
      <w:proofErr w:type="spellStart"/>
      <w:r>
        <w:t>Centers</w:t>
      </w:r>
      <w:proofErr w:type="spellEnd"/>
      <w:r>
        <w:t xml:space="preserve"> for Disease Control and Prevention</w:t>
      </w:r>
      <w:r w:rsidRPr="00693127">
        <w:t xml:space="preserve"> IACUC and conducted in accordance with the </w:t>
      </w:r>
      <w:r w:rsidRPr="00693127">
        <w:rPr>
          <w:i/>
          <w:iCs/>
        </w:rPr>
        <w:t>Guide for the Care and Use of Laboratory Animals, 8</w:t>
      </w:r>
      <w:r w:rsidRPr="00693127">
        <w:rPr>
          <w:i/>
          <w:iCs/>
          <w:vertAlign w:val="superscript"/>
        </w:rPr>
        <w:t>th</w:t>
      </w:r>
      <w:r w:rsidRPr="00693127">
        <w:rPr>
          <w:i/>
          <w:iCs/>
          <w:lang w:val="fr-FR"/>
        </w:rPr>
        <w:t xml:space="preserve"> Edition</w:t>
      </w:r>
      <w:r>
        <w:t xml:space="preserve">, </w:t>
      </w:r>
      <w:r w:rsidRPr="00693127">
        <w:t>at an AAALAC-accredited facility</w:t>
      </w:r>
      <w:r>
        <w:t xml:space="preserve">. </w:t>
      </w:r>
      <w:r w:rsidRPr="00F63133">
        <w:rPr>
          <w:lang w:val="en-US"/>
        </w:rPr>
        <w:t xml:space="preserve">Female </w:t>
      </w:r>
      <w:r w:rsidRPr="00CF7F4C">
        <w:t>B6.129S2-</w:t>
      </w:r>
      <w:r w:rsidRPr="00CF7F4C">
        <w:rPr>
          <w:i/>
        </w:rPr>
        <w:t>Ifnar1</w:t>
      </w:r>
      <w:r w:rsidRPr="00CF7F4C">
        <w:rPr>
          <w:i/>
          <w:vertAlign w:val="superscript"/>
        </w:rPr>
        <w:t>tm1Agt</w:t>
      </w:r>
      <w:r w:rsidRPr="00CF7F4C">
        <w:t>/</w:t>
      </w:r>
      <w:proofErr w:type="spellStart"/>
      <w:r w:rsidRPr="00CF7F4C">
        <w:t>Mmjax</w:t>
      </w:r>
      <w:proofErr w:type="spellEnd"/>
      <w:r w:rsidRPr="00CF7F4C">
        <w:t xml:space="preserve"> mice (MMRRC 032045-JAX</w:t>
      </w:r>
      <w:r>
        <w:rPr>
          <w:lang w:val="en-US"/>
        </w:rPr>
        <w:t xml:space="preserve">; </w:t>
      </w:r>
      <w:r w:rsidRPr="00F63133">
        <w:rPr>
          <w:lang w:val="en-US"/>
        </w:rPr>
        <w:t xml:space="preserve">Jackson Laboratories), </w:t>
      </w:r>
      <w:r>
        <w:rPr>
          <w:lang w:val="en-US"/>
        </w:rPr>
        <w:t>8</w:t>
      </w:r>
      <w:r w:rsidRPr="00F63133">
        <w:rPr>
          <w:lang w:val="en-US"/>
        </w:rPr>
        <w:t xml:space="preserve"> weeks old </w:t>
      </w:r>
      <w:r>
        <w:rPr>
          <w:lang w:val="en-US"/>
        </w:rPr>
        <w:t xml:space="preserve">and 17 – 21g </w:t>
      </w:r>
      <w:r w:rsidRPr="00F63133">
        <w:rPr>
          <w:lang w:val="en-US"/>
        </w:rPr>
        <w:t xml:space="preserve">at </w:t>
      </w:r>
      <w:r>
        <w:rPr>
          <w:lang w:val="en-US"/>
        </w:rPr>
        <w:t xml:space="preserve">vaccination, </w:t>
      </w:r>
      <w:r w:rsidRPr="00274F9E">
        <w:rPr>
          <w:lang w:val="en-US"/>
        </w:rPr>
        <w:t xml:space="preserve">were housed in a climate-controlled laboratory with a 12 h day/12 h night cycle. All animals were given </w:t>
      </w:r>
      <w:r>
        <w:rPr>
          <w:lang w:val="en-US"/>
        </w:rPr>
        <w:t xml:space="preserve">sterile water </w:t>
      </w:r>
      <w:r w:rsidRPr="00274F9E">
        <w:rPr>
          <w:lang w:val="en-US"/>
        </w:rPr>
        <w:t>and food</w:t>
      </w:r>
      <w:r>
        <w:rPr>
          <w:lang w:val="en-US"/>
        </w:rPr>
        <w:t xml:space="preserve"> </w:t>
      </w:r>
      <w:r w:rsidRPr="00274F9E">
        <w:rPr>
          <w:i/>
          <w:lang w:val="en-US"/>
        </w:rPr>
        <w:t>ad libitum</w:t>
      </w:r>
      <w:r w:rsidRPr="00274F9E">
        <w:rPr>
          <w:lang w:val="en-US"/>
        </w:rPr>
        <w:t xml:space="preserve">, and </w:t>
      </w:r>
      <w:r>
        <w:rPr>
          <w:lang w:val="en-US"/>
        </w:rPr>
        <w:t xml:space="preserve">group </w:t>
      </w:r>
      <w:r w:rsidRPr="00274F9E">
        <w:rPr>
          <w:lang w:val="en-US"/>
        </w:rPr>
        <w:t xml:space="preserve">housed </w:t>
      </w:r>
      <w:r>
        <w:rPr>
          <w:lang w:val="en-US"/>
        </w:rPr>
        <w:t xml:space="preserve">(4 – 5/cage) on </w:t>
      </w:r>
      <w:r w:rsidRPr="00274F9E">
        <w:rPr>
          <w:lang w:val="en-US"/>
        </w:rPr>
        <w:t xml:space="preserve">autoclaved </w:t>
      </w:r>
      <w:r>
        <w:rPr>
          <w:lang w:val="en-US"/>
        </w:rPr>
        <w:t xml:space="preserve">corn cob </w:t>
      </w:r>
      <w:r w:rsidRPr="00274F9E">
        <w:rPr>
          <w:lang w:val="en-US"/>
        </w:rPr>
        <w:t xml:space="preserve">bedding </w:t>
      </w:r>
      <w:r>
        <w:rPr>
          <w:lang w:val="en-US"/>
        </w:rPr>
        <w:t>(</w:t>
      </w:r>
      <w:r w:rsidRPr="000375A0">
        <w:rPr>
          <w:rFonts w:hint="eastAsia"/>
          <w:lang w:val="en-US"/>
        </w:rPr>
        <w:t>Bed-</w:t>
      </w:r>
      <w:proofErr w:type="spellStart"/>
      <w:r w:rsidRPr="000375A0">
        <w:rPr>
          <w:rFonts w:hint="eastAsia"/>
          <w:lang w:val="en-US"/>
        </w:rPr>
        <w:t>o'Cobs</w:t>
      </w:r>
      <w:proofErr w:type="spellEnd"/>
      <w:r w:rsidRPr="000375A0">
        <w:rPr>
          <w:rFonts w:hint="eastAsia"/>
          <w:lang w:val="en-US"/>
        </w:rPr>
        <w:t xml:space="preserve">® </w:t>
      </w:r>
      <w:r>
        <w:rPr>
          <w:lang w:val="en-US"/>
        </w:rPr>
        <w:t xml:space="preserve">¼”, Anderson </w:t>
      </w:r>
      <w:r>
        <w:rPr>
          <w:lang w:val="en-US"/>
        </w:rPr>
        <w:lastRenderedPageBreak/>
        <w:t xml:space="preserve">Lab Bedding), </w:t>
      </w:r>
      <w:r w:rsidRPr="00274F9E">
        <w:rPr>
          <w:lang w:val="en-US"/>
        </w:rPr>
        <w:t>in an isolator-caging system (</w:t>
      </w:r>
      <w:proofErr w:type="spellStart"/>
      <w:r w:rsidRPr="00274F9E">
        <w:rPr>
          <w:lang w:val="en-US"/>
        </w:rPr>
        <w:t>Thoren</w:t>
      </w:r>
      <w:proofErr w:type="spellEnd"/>
      <w:r w:rsidRPr="00274F9E">
        <w:rPr>
          <w:lang w:val="en-US"/>
        </w:rPr>
        <w:t xml:space="preserve"> Caging, Inc., Hazleton, PA, USA) with a HEPA-filtered inlet and exhaust air supply. The cage environment was enriched with shredded paper, cotton nestlets</w:t>
      </w:r>
      <w:r>
        <w:rPr>
          <w:lang w:val="en-US"/>
        </w:rPr>
        <w:t>, and a hide-away structure</w:t>
      </w:r>
      <w:r w:rsidRPr="00274F9E">
        <w:rPr>
          <w:lang w:val="en-US"/>
        </w:rPr>
        <w:t>.</w:t>
      </w:r>
      <w:r w:rsidRPr="00F63133">
        <w:rPr>
          <w:lang w:val="en-US"/>
        </w:rPr>
        <w:t xml:space="preserve"> </w:t>
      </w:r>
      <w:r>
        <w:rPr>
          <w:lang w:val="en-US"/>
        </w:rPr>
        <w:t>Mice were vaccinated subcutaneously (SC) under isoflurane anesthesia with either a high VRP dose (target dose: 1x10</w:t>
      </w:r>
      <w:r w:rsidRPr="001401DA">
        <w:rPr>
          <w:vertAlign w:val="superscript"/>
          <w:lang w:val="en-US"/>
        </w:rPr>
        <w:t>5</w:t>
      </w:r>
      <w:r>
        <w:rPr>
          <w:lang w:val="en-US"/>
        </w:rPr>
        <w:t>, actual dose: 4.39x10</w:t>
      </w:r>
      <w:r w:rsidRPr="00D708CE">
        <w:rPr>
          <w:vertAlign w:val="superscript"/>
          <w:lang w:val="en-US"/>
        </w:rPr>
        <w:t>5</w:t>
      </w:r>
      <w:r>
        <w:rPr>
          <w:lang w:val="en-US"/>
        </w:rPr>
        <w:t>) or a low dose (target dose: 1x10</w:t>
      </w:r>
      <w:r>
        <w:rPr>
          <w:vertAlign w:val="superscript"/>
          <w:lang w:val="en-US"/>
        </w:rPr>
        <w:t>3</w:t>
      </w:r>
      <w:r>
        <w:rPr>
          <w:lang w:val="en-US"/>
        </w:rPr>
        <w:t>, actual dose: 4.64x10</w:t>
      </w:r>
      <w:r>
        <w:rPr>
          <w:vertAlign w:val="superscript"/>
          <w:lang w:val="en-US"/>
        </w:rPr>
        <w:t>3</w:t>
      </w:r>
      <w:r>
        <w:rPr>
          <w:lang w:val="en-US"/>
        </w:rPr>
        <w:t>). Post vaccination (pre-challenge) blood collection was performed via the submandibular vein using a lancet (</w:t>
      </w:r>
      <w:proofErr w:type="spellStart"/>
      <w:r>
        <w:rPr>
          <w:lang w:val="en-US"/>
        </w:rPr>
        <w:t>Monolet</w:t>
      </w:r>
      <w:r w:rsidRPr="00646A67">
        <w:rPr>
          <w:vertAlign w:val="superscript"/>
          <w:lang w:val="en-US"/>
        </w:rPr>
        <w:t>TM</w:t>
      </w:r>
      <w:proofErr w:type="spellEnd"/>
      <w:r>
        <w:rPr>
          <w:lang w:val="en-US"/>
        </w:rPr>
        <w:t xml:space="preserve">). </w:t>
      </w:r>
      <w:r w:rsidRPr="00634A5E">
        <w:rPr>
          <w:lang w:val="en-US"/>
        </w:rPr>
        <w:t xml:space="preserve">Thirty-two days post vaccination, animals were challenged </w:t>
      </w:r>
      <w:r>
        <w:rPr>
          <w:lang w:val="en-US"/>
        </w:rPr>
        <w:t xml:space="preserve">SC under isoflurane anesthesia </w:t>
      </w:r>
      <w:r w:rsidRPr="00634A5E">
        <w:rPr>
          <w:lang w:val="en-US"/>
        </w:rPr>
        <w:t>with a uniformly lethal dose (</w:t>
      </w:r>
      <w:r>
        <w:rPr>
          <w:lang w:val="en-US"/>
        </w:rPr>
        <w:t xml:space="preserve">target dose: </w:t>
      </w:r>
      <w:r w:rsidRPr="00634A5E">
        <w:rPr>
          <w:lang w:val="en-US"/>
        </w:rPr>
        <w:t>100 TCID</w:t>
      </w:r>
      <w:r w:rsidRPr="00634A5E">
        <w:rPr>
          <w:vertAlign w:val="subscript"/>
          <w:lang w:val="en-US"/>
        </w:rPr>
        <w:t>50</w:t>
      </w:r>
      <w:r w:rsidRPr="001401DA">
        <w:rPr>
          <w:lang w:val="en-US"/>
        </w:rPr>
        <w:t>,</w:t>
      </w:r>
      <w:r>
        <w:rPr>
          <w:lang w:val="en-US"/>
        </w:rPr>
        <w:t xml:space="preserve"> actual dose: 37 </w:t>
      </w:r>
      <w:r w:rsidRPr="00634A5E">
        <w:rPr>
          <w:lang w:val="en-US"/>
        </w:rPr>
        <w:t>TCID</w:t>
      </w:r>
      <w:r w:rsidRPr="00634A5E">
        <w:rPr>
          <w:vertAlign w:val="subscript"/>
          <w:lang w:val="en-US"/>
        </w:rPr>
        <w:t>50</w:t>
      </w:r>
      <w:r w:rsidRPr="00634A5E">
        <w:rPr>
          <w:lang w:val="en-US"/>
        </w:rPr>
        <w:t>) of recombinant CCHFV-IbAr10200</w:t>
      </w:r>
      <w:r>
        <w:rPr>
          <w:lang w:val="en-US"/>
        </w:rPr>
        <w:t xml:space="preserve"> (GenBank </w:t>
      </w:r>
      <w:r w:rsidRPr="00F41A04">
        <w:rPr>
          <w:rFonts w:ascii="Calibri" w:hAnsi="Calibri" w:cs="Calibri"/>
          <w:lang w:val="en-US"/>
        </w:rPr>
        <w:t>﻿</w:t>
      </w:r>
      <w:r w:rsidRPr="00F41A04">
        <w:rPr>
          <w:lang w:val="en-US"/>
        </w:rPr>
        <w:t>KJ648914</w:t>
      </w:r>
      <w:r>
        <w:rPr>
          <w:lang w:val="en-US"/>
        </w:rPr>
        <w:t xml:space="preserve">, </w:t>
      </w:r>
      <w:r w:rsidRPr="00F41A04">
        <w:rPr>
          <w:rFonts w:ascii="Calibri" w:hAnsi="Calibri" w:cs="Calibri"/>
          <w:lang w:val="en-US"/>
        </w:rPr>
        <w:t>﻿</w:t>
      </w:r>
      <w:r w:rsidRPr="00F41A04">
        <w:rPr>
          <w:lang w:val="en-US"/>
        </w:rPr>
        <w:t>KJ648915</w:t>
      </w:r>
      <w:r>
        <w:rPr>
          <w:lang w:val="en-US"/>
        </w:rPr>
        <w:t xml:space="preserve">, and </w:t>
      </w:r>
      <w:r w:rsidRPr="00F41A04">
        <w:rPr>
          <w:rFonts w:ascii="Calibri" w:hAnsi="Calibri" w:cs="Calibri"/>
          <w:lang w:val="en-US"/>
        </w:rPr>
        <w:t>﻿</w:t>
      </w:r>
      <w:r w:rsidRPr="00F41A04">
        <w:rPr>
          <w:lang w:val="en-US"/>
        </w:rPr>
        <w:t>KJ648913</w:t>
      </w:r>
      <w:r>
        <w:rPr>
          <w:lang w:val="en-US"/>
        </w:rPr>
        <w:t>)</w:t>
      </w:r>
      <w:r w:rsidRPr="00634A5E">
        <w:rPr>
          <w:lang w:val="en-US"/>
        </w:rPr>
        <w:t>.</w:t>
      </w:r>
      <w:r>
        <w:rPr>
          <w:lang w:val="en-US"/>
        </w:rPr>
        <w:t xml:space="preserve"> </w:t>
      </w:r>
      <w:r>
        <w:t xml:space="preserve">Clinical signs were scored based on 14 parameters: 2 points each for QDR (quiet, dull, responsive) disposition, hunched back, or ruffled coat; 3 points each for dehydration or abnormal huddling/hypoactivity; 5 points each for presence of neurological signs (ataxia, circling, tremors, or paresis), abnormal breathing, or </w:t>
      </w:r>
      <w:proofErr w:type="spellStart"/>
      <w:r>
        <w:t>anemia</w:t>
      </w:r>
      <w:proofErr w:type="spellEnd"/>
      <w:r>
        <w:t xml:space="preserve">; 7 points for weight loss of &gt;20% from baseline (d-1); 10 points each for inability to bear weight, paralysis, frank </w:t>
      </w:r>
      <w:proofErr w:type="spellStart"/>
      <w:r>
        <w:t>hemorrhage</w:t>
      </w:r>
      <w:proofErr w:type="spellEnd"/>
      <w:r>
        <w:t>/bleeding, moribund state, or weight loss of &gt;25% from baseline. Animals were humanely euthanized when end-point criteria were reached (clinical score ≥ 10), or at study completion (18 days post challenge).</w:t>
      </w:r>
    </w:p>
    <w:p w:rsidR="00B21AC7" w:rsidRDefault="00B21AC7" w:rsidP="00B21AC7">
      <w:pPr>
        <w:rPr>
          <w:b/>
          <w:lang w:val="en-US"/>
        </w:rPr>
      </w:pPr>
    </w:p>
    <w:p w:rsidR="00B21AC7" w:rsidRPr="004D6140" w:rsidRDefault="00B21AC7" w:rsidP="00B21AC7">
      <w:pPr>
        <w:rPr>
          <w:b/>
          <w:lang w:val="en-US"/>
        </w:rPr>
      </w:pPr>
      <w:r w:rsidRPr="004D6140">
        <w:rPr>
          <w:b/>
          <w:lang w:val="en-US"/>
        </w:rPr>
        <w:t>CCHFV-</w:t>
      </w:r>
      <w:proofErr w:type="spellStart"/>
      <w:r w:rsidRPr="004D6140">
        <w:rPr>
          <w:b/>
          <w:lang w:val="en-US"/>
        </w:rPr>
        <w:t>Gc</w:t>
      </w:r>
      <w:proofErr w:type="spellEnd"/>
      <w:r w:rsidRPr="004D6140">
        <w:rPr>
          <w:b/>
          <w:lang w:val="en-US"/>
        </w:rPr>
        <w:t xml:space="preserve"> Construct Design</w:t>
      </w:r>
    </w:p>
    <w:p w:rsidR="00B21AC7" w:rsidRPr="004D6140" w:rsidRDefault="00B21AC7" w:rsidP="00B21AC7">
      <w:pPr>
        <w:rPr>
          <w:lang w:val="en-US"/>
        </w:rPr>
      </w:pPr>
      <w:r>
        <w:rPr>
          <w:lang w:val="en-US"/>
        </w:rPr>
        <w:t>The construct</w:t>
      </w:r>
      <w:r w:rsidRPr="004D6140">
        <w:rPr>
          <w:lang w:val="en-US"/>
        </w:rPr>
        <w:t xml:space="preserve"> of the ectodomain of the CCHFV Glycoprotein (</w:t>
      </w:r>
      <w:proofErr w:type="spellStart"/>
      <w:r w:rsidRPr="004D6140">
        <w:rPr>
          <w:lang w:val="en-US"/>
        </w:rPr>
        <w:t>Gc</w:t>
      </w:r>
      <w:proofErr w:type="spellEnd"/>
      <w:r w:rsidRPr="004D6140">
        <w:rPr>
          <w:lang w:val="en-US"/>
        </w:rPr>
        <w:t xml:space="preserve">) </w:t>
      </w:r>
      <w:r>
        <w:rPr>
          <w:lang w:val="en-US"/>
        </w:rPr>
        <w:t>was</w:t>
      </w:r>
      <w:r w:rsidRPr="004D6140">
        <w:rPr>
          <w:lang w:val="en-US"/>
        </w:rPr>
        <w:t xml:space="preserve"> synthesized by cloning </w:t>
      </w:r>
      <w:r>
        <w:rPr>
          <w:lang w:val="en-US"/>
        </w:rPr>
        <w:t xml:space="preserve">the Oman M segment coding region corresponding to the </w:t>
      </w:r>
      <w:r w:rsidRPr="004D6140">
        <w:rPr>
          <w:lang w:val="en-US"/>
        </w:rPr>
        <w:t xml:space="preserve">N-terminal signal peptide </w:t>
      </w:r>
      <w:r>
        <w:rPr>
          <w:lang w:val="en-US"/>
        </w:rPr>
        <w:t>(aa. 1-29) followed by residues (999</w:t>
      </w:r>
      <w:r w:rsidRPr="004D6140">
        <w:rPr>
          <w:lang w:val="en-US"/>
        </w:rPr>
        <w:t>-1598</w:t>
      </w:r>
      <w:r>
        <w:rPr>
          <w:lang w:val="en-US"/>
        </w:rPr>
        <w:t>) (</w:t>
      </w:r>
      <w:r w:rsidRPr="004D6140">
        <w:rPr>
          <w:lang w:val="en-US"/>
        </w:rPr>
        <w:t>ALT31693.1</w:t>
      </w:r>
      <w:r>
        <w:rPr>
          <w:lang w:val="en-US"/>
        </w:rPr>
        <w:t>)</w:t>
      </w:r>
      <w:r w:rsidRPr="004D6140">
        <w:rPr>
          <w:lang w:val="en-US"/>
        </w:rPr>
        <w:t xml:space="preserve"> </w:t>
      </w:r>
      <w:r>
        <w:rPr>
          <w:lang w:val="en-US"/>
        </w:rPr>
        <w:t xml:space="preserve">and a </w:t>
      </w:r>
      <w:r w:rsidRPr="004D6140">
        <w:rPr>
          <w:lang w:val="en-US"/>
        </w:rPr>
        <w:t xml:space="preserve">C-terminal </w:t>
      </w:r>
      <w:proofErr w:type="spellStart"/>
      <w:r w:rsidRPr="004D6140">
        <w:rPr>
          <w:lang w:val="en-US"/>
        </w:rPr>
        <w:t>HisTag</w:t>
      </w:r>
      <w:proofErr w:type="spellEnd"/>
      <w:r>
        <w:rPr>
          <w:lang w:val="en-US"/>
        </w:rPr>
        <w:t xml:space="preserve"> </w:t>
      </w:r>
      <w:r w:rsidRPr="004D6140">
        <w:rPr>
          <w:lang w:val="en-US"/>
        </w:rPr>
        <w:t xml:space="preserve">into </w:t>
      </w:r>
      <w:r>
        <w:rPr>
          <w:lang w:val="en-US"/>
        </w:rPr>
        <w:t>a pcDNA3.1(+) vector</w:t>
      </w:r>
      <w:r w:rsidRPr="004D6140">
        <w:rPr>
          <w:lang w:val="en-US"/>
        </w:rPr>
        <w:t xml:space="preserve">. </w:t>
      </w:r>
    </w:p>
    <w:p w:rsidR="00B21AC7" w:rsidRPr="004D6140" w:rsidRDefault="00B21AC7" w:rsidP="00B21AC7">
      <w:pPr>
        <w:rPr>
          <w:lang w:val="en-US"/>
        </w:rPr>
      </w:pPr>
    </w:p>
    <w:p w:rsidR="00B21AC7" w:rsidRPr="004D6140" w:rsidRDefault="00B21AC7" w:rsidP="00B21AC7">
      <w:pPr>
        <w:rPr>
          <w:b/>
          <w:lang w:val="en-US"/>
        </w:rPr>
      </w:pPr>
      <w:r w:rsidRPr="004D6140">
        <w:rPr>
          <w:b/>
          <w:lang w:val="en-US"/>
        </w:rPr>
        <w:lastRenderedPageBreak/>
        <w:t>CCHFV-</w:t>
      </w:r>
      <w:proofErr w:type="spellStart"/>
      <w:r w:rsidRPr="004D6140">
        <w:rPr>
          <w:b/>
          <w:lang w:val="en-US"/>
        </w:rPr>
        <w:t>Gc</w:t>
      </w:r>
      <w:proofErr w:type="spellEnd"/>
      <w:r w:rsidRPr="004D6140">
        <w:rPr>
          <w:b/>
          <w:lang w:val="en-US"/>
        </w:rPr>
        <w:t xml:space="preserve"> Expression and Purification</w:t>
      </w:r>
    </w:p>
    <w:p w:rsidR="00B21AC7" w:rsidRPr="004D6140" w:rsidRDefault="00B21AC7" w:rsidP="00B21AC7">
      <w:pPr>
        <w:rPr>
          <w:lang w:val="en-US"/>
        </w:rPr>
      </w:pPr>
      <w:r>
        <w:rPr>
          <w:lang w:val="en-US"/>
        </w:rPr>
        <w:t xml:space="preserve">The </w:t>
      </w:r>
      <w:proofErr w:type="spellStart"/>
      <w:r>
        <w:rPr>
          <w:lang w:val="en-US"/>
        </w:rPr>
        <w:t>Gc</w:t>
      </w:r>
      <w:proofErr w:type="spellEnd"/>
      <w:r>
        <w:rPr>
          <w:lang w:val="en-US"/>
        </w:rPr>
        <w:t xml:space="preserve"> ectodomain </w:t>
      </w:r>
      <w:r w:rsidRPr="004D6140">
        <w:rPr>
          <w:lang w:val="en-US"/>
        </w:rPr>
        <w:t xml:space="preserve">expression </w:t>
      </w:r>
      <w:r>
        <w:rPr>
          <w:lang w:val="en-US"/>
        </w:rPr>
        <w:t>plasmid</w:t>
      </w:r>
      <w:r w:rsidRPr="004D6140">
        <w:rPr>
          <w:lang w:val="en-US"/>
        </w:rPr>
        <w:t xml:space="preserve"> </w:t>
      </w:r>
      <w:r>
        <w:rPr>
          <w:lang w:val="en-US"/>
        </w:rPr>
        <w:t>was</w:t>
      </w:r>
      <w:r w:rsidRPr="004D6140">
        <w:rPr>
          <w:lang w:val="en-US"/>
        </w:rPr>
        <w:t xml:space="preserve"> transformed into HEK Expi293 cells. Cells were grown in 300mL cultures at 37</w:t>
      </w:r>
      <w:r w:rsidRPr="004D6140">
        <w:rPr>
          <w:lang w:val="en-US"/>
        </w:rPr>
        <w:sym w:font="Symbol" w:char="F0B0"/>
      </w:r>
      <w:r w:rsidRPr="004D6140">
        <w:rPr>
          <w:lang w:val="en-US"/>
        </w:rPr>
        <w:t xml:space="preserve">C in Expi293 Expression Medium (Gibco A14351) for 72 </w:t>
      </w:r>
      <w:proofErr w:type="spellStart"/>
      <w:r>
        <w:rPr>
          <w:lang w:val="en-US"/>
        </w:rPr>
        <w:t>hr</w:t>
      </w:r>
      <w:proofErr w:type="spellEnd"/>
      <w:r w:rsidRPr="004D6140">
        <w:rPr>
          <w:lang w:val="en-US"/>
        </w:rPr>
        <w:t xml:space="preserve"> until culture viability dropped below 50%. Cells were harvested by centrifugation at 2500</w:t>
      </w:r>
      <w:r w:rsidRPr="004D6140">
        <w:rPr>
          <w:i/>
          <w:lang w:val="en-US"/>
        </w:rPr>
        <w:t>g</w:t>
      </w:r>
      <w:r w:rsidRPr="004D6140">
        <w:rPr>
          <w:lang w:val="en-US"/>
        </w:rPr>
        <w:t xml:space="preserve"> for 30 min and stored at -80</w:t>
      </w:r>
      <w:r w:rsidRPr="004D6140">
        <w:rPr>
          <w:lang w:val="en-US"/>
        </w:rPr>
        <w:sym w:font="Symbol" w:char="F0B0"/>
      </w:r>
      <w:r w:rsidRPr="004D6140">
        <w:rPr>
          <w:lang w:val="en-US"/>
        </w:rPr>
        <w:t>C. Frozen cell pellets were thawed at room temperature for 30 min and treated with 30mL M-PER (Thermo 78501) for 10 min with shaking. Cell lysates were separated into soluble and insoluble fractions via centrifugation at 14,000</w:t>
      </w:r>
      <w:r w:rsidRPr="004D6140">
        <w:rPr>
          <w:i/>
          <w:lang w:val="en-US"/>
        </w:rPr>
        <w:t>g</w:t>
      </w:r>
      <w:r w:rsidRPr="004D6140">
        <w:rPr>
          <w:lang w:val="en-US"/>
        </w:rPr>
        <w:t xml:space="preserve"> for 15 min. The soluble fractions were</w:t>
      </w:r>
      <w:r>
        <w:rPr>
          <w:lang w:val="en-US"/>
        </w:rPr>
        <w:t xml:space="preserve"> syringe-</w:t>
      </w:r>
      <w:r w:rsidRPr="004D6140">
        <w:rPr>
          <w:lang w:val="en-US"/>
        </w:rPr>
        <w:t xml:space="preserve">filtered through 0.22 </w:t>
      </w:r>
      <w:r w:rsidRPr="004D6140">
        <w:rPr>
          <w:lang w:val="en-US"/>
        </w:rPr>
        <w:sym w:font="Symbol" w:char="F06D"/>
      </w:r>
      <w:r w:rsidRPr="004D6140">
        <w:rPr>
          <w:lang w:val="en-US"/>
        </w:rPr>
        <w:t xml:space="preserve">m membranes. Filtered samples were loaded over a charged 5mL </w:t>
      </w:r>
      <w:proofErr w:type="spellStart"/>
      <w:r w:rsidRPr="004D6140">
        <w:rPr>
          <w:lang w:val="en-US"/>
        </w:rPr>
        <w:t>HisTrap</w:t>
      </w:r>
      <w:proofErr w:type="spellEnd"/>
      <w:r w:rsidRPr="004D6140">
        <w:rPr>
          <w:lang w:val="en-US"/>
        </w:rPr>
        <w:t xml:space="preserve"> HP column, washed with wash buffer [20 mM NaPO</w:t>
      </w:r>
      <w:r w:rsidRPr="004D6140">
        <w:rPr>
          <w:vertAlign w:val="subscript"/>
          <w:lang w:val="en-US"/>
        </w:rPr>
        <w:t>4</w:t>
      </w:r>
      <w:r w:rsidRPr="004D6140">
        <w:rPr>
          <w:lang w:val="en-US"/>
        </w:rPr>
        <w:t xml:space="preserve"> (pH 7.6), 500 mM NaCl, and 20 mM </w:t>
      </w:r>
      <w:proofErr w:type="spellStart"/>
      <w:r w:rsidRPr="004D6140">
        <w:rPr>
          <w:lang w:val="en-US"/>
        </w:rPr>
        <w:t>Imidizole</w:t>
      </w:r>
      <w:proofErr w:type="spellEnd"/>
      <w:r w:rsidRPr="004D6140">
        <w:rPr>
          <w:lang w:val="en-US"/>
        </w:rPr>
        <w:t>] until UV baseline, and eluted over a 3CV gradient from 0-100% elution buffer [20 mM NaPO</w:t>
      </w:r>
      <w:r w:rsidRPr="004D6140">
        <w:rPr>
          <w:vertAlign w:val="subscript"/>
          <w:lang w:val="en-US"/>
        </w:rPr>
        <w:t>4</w:t>
      </w:r>
      <w:r w:rsidRPr="004D6140">
        <w:rPr>
          <w:lang w:val="en-US"/>
        </w:rPr>
        <w:t xml:space="preserve"> (pH 7.6), 500 mM NaCl, and 500 mM </w:t>
      </w:r>
      <w:proofErr w:type="spellStart"/>
      <w:r w:rsidRPr="004D6140">
        <w:rPr>
          <w:lang w:val="en-US"/>
        </w:rPr>
        <w:t>Imidizole</w:t>
      </w:r>
      <w:proofErr w:type="spellEnd"/>
      <w:r w:rsidRPr="004D6140">
        <w:rPr>
          <w:lang w:val="en-US"/>
        </w:rPr>
        <w:t xml:space="preserve">] collecting 2 mL fractions. Pure fractions were </w:t>
      </w:r>
      <w:proofErr w:type="gramStart"/>
      <w:r w:rsidRPr="004D6140">
        <w:rPr>
          <w:lang w:val="en-US"/>
        </w:rPr>
        <w:t>pooled</w:t>
      </w:r>
      <w:proofErr w:type="gramEnd"/>
      <w:r w:rsidRPr="004D6140">
        <w:rPr>
          <w:lang w:val="en-US"/>
        </w:rPr>
        <w:t xml:space="preserve"> and samples were dialyzed twice in 5L of PBS for 2 </w:t>
      </w:r>
      <w:proofErr w:type="spellStart"/>
      <w:r>
        <w:rPr>
          <w:lang w:val="en-US"/>
        </w:rPr>
        <w:t>hr</w:t>
      </w:r>
      <w:proofErr w:type="spellEnd"/>
      <w:r w:rsidRPr="004D6140">
        <w:rPr>
          <w:lang w:val="en-US"/>
        </w:rPr>
        <w:t xml:space="preserve"> at room temperature using the 3.5K </w:t>
      </w:r>
      <w:proofErr w:type="spellStart"/>
      <w:r w:rsidRPr="004D6140">
        <w:rPr>
          <w:lang w:val="en-US"/>
        </w:rPr>
        <w:t>Pur</w:t>
      </w:r>
      <w:proofErr w:type="spellEnd"/>
      <w:r w:rsidRPr="004D6140">
        <w:rPr>
          <w:lang w:val="en-US"/>
        </w:rPr>
        <w:t>-A-</w:t>
      </w:r>
      <w:proofErr w:type="spellStart"/>
      <w:r w:rsidRPr="004D6140">
        <w:rPr>
          <w:lang w:val="en-US"/>
        </w:rPr>
        <w:t>Lyzer</w:t>
      </w:r>
      <w:proofErr w:type="spellEnd"/>
      <w:r w:rsidRPr="004D6140">
        <w:rPr>
          <w:lang w:val="en-US"/>
        </w:rPr>
        <w:t xml:space="preserve"> dialysis kit (Sigma PURG35020).</w:t>
      </w:r>
    </w:p>
    <w:p w:rsidR="00B21AC7" w:rsidRPr="00F63133" w:rsidRDefault="00B21AC7" w:rsidP="00B21AC7">
      <w:pPr>
        <w:rPr>
          <w:lang w:val="en-US"/>
        </w:rPr>
      </w:pPr>
    </w:p>
    <w:p w:rsidR="00B21AC7" w:rsidRPr="00F63133" w:rsidRDefault="00B21AC7" w:rsidP="00B21AC7">
      <w:pPr>
        <w:rPr>
          <w:b/>
          <w:lang w:val="en-US"/>
        </w:rPr>
      </w:pPr>
      <w:r w:rsidRPr="00F63133">
        <w:rPr>
          <w:b/>
          <w:lang w:val="en-US"/>
        </w:rPr>
        <w:t>ELISA</w:t>
      </w:r>
    </w:p>
    <w:p w:rsidR="00B21AC7" w:rsidRPr="00F63133" w:rsidRDefault="00B21AC7" w:rsidP="00B21AC7">
      <w:pPr>
        <w:rPr>
          <w:lang w:val="en-US"/>
        </w:rPr>
      </w:pPr>
      <w:r w:rsidRPr="00F63133">
        <w:rPr>
          <w:lang w:val="en-US"/>
        </w:rPr>
        <w:t xml:space="preserve">To determine serum neutralizing antibody titers, plasma was separated from </w:t>
      </w:r>
      <w:r>
        <w:rPr>
          <w:lang w:val="en-US"/>
        </w:rPr>
        <w:t>whole</w:t>
      </w:r>
      <w:r w:rsidRPr="00F63133">
        <w:rPr>
          <w:lang w:val="en-US"/>
        </w:rPr>
        <w:t xml:space="preserve"> blood </w:t>
      </w:r>
      <w:r>
        <w:rPr>
          <w:lang w:val="en-US"/>
        </w:rPr>
        <w:t xml:space="preserve">collected </w:t>
      </w:r>
      <w:r w:rsidRPr="00F63133">
        <w:rPr>
          <w:lang w:val="en-US"/>
        </w:rPr>
        <w:t>in lithium heparin tube</w:t>
      </w:r>
      <w:r>
        <w:rPr>
          <w:lang w:val="en-US"/>
        </w:rPr>
        <w:t>s</w:t>
      </w:r>
      <w:r w:rsidRPr="00F63133">
        <w:rPr>
          <w:lang w:val="en-US"/>
        </w:rPr>
        <w:t xml:space="preserve"> by centrifuging </w:t>
      </w:r>
      <w:r>
        <w:rPr>
          <w:lang w:val="en-US"/>
        </w:rPr>
        <w:t>3</w:t>
      </w:r>
      <w:r w:rsidRPr="00F63133">
        <w:rPr>
          <w:lang w:val="en-US"/>
        </w:rPr>
        <w:t xml:space="preserve"> min at </w:t>
      </w:r>
      <w:r>
        <w:rPr>
          <w:lang w:val="en-US"/>
        </w:rPr>
        <w:t>8</w:t>
      </w:r>
      <w:r w:rsidRPr="00F63133">
        <w:rPr>
          <w:lang w:val="en-US"/>
        </w:rPr>
        <w:t xml:space="preserve">000 rpm. Samples were inactivated using gamma irradiation (5 million </w:t>
      </w:r>
      <w:proofErr w:type="spellStart"/>
      <w:r w:rsidRPr="00F63133">
        <w:rPr>
          <w:lang w:val="en-US"/>
        </w:rPr>
        <w:t>rads</w:t>
      </w:r>
      <w:proofErr w:type="spellEnd"/>
      <w:r w:rsidRPr="00F63133">
        <w:rPr>
          <w:lang w:val="en-US"/>
        </w:rPr>
        <w:t xml:space="preserve"> from a </w:t>
      </w:r>
      <w:r w:rsidRPr="00F63133">
        <w:rPr>
          <w:vertAlign w:val="superscript"/>
          <w:lang w:val="en-US"/>
        </w:rPr>
        <w:t>60</w:t>
      </w:r>
      <w:r w:rsidRPr="00F63133">
        <w:rPr>
          <w:lang w:val="en-US"/>
        </w:rPr>
        <w:t xml:space="preserve">Co source). CCHFV NP IgG was detected using a commercial ELISA kit (Alpha Diagnostics International AE-320400-1); CCHFV </w:t>
      </w:r>
      <w:proofErr w:type="spellStart"/>
      <w:r w:rsidRPr="00F63133">
        <w:rPr>
          <w:lang w:val="en-US"/>
        </w:rPr>
        <w:t>Gc</w:t>
      </w:r>
      <w:proofErr w:type="spellEnd"/>
      <w:r w:rsidRPr="00F63133">
        <w:rPr>
          <w:lang w:val="en-US"/>
        </w:rPr>
        <w:t xml:space="preserve"> IgG levels were determined using an in-house ELISA assay</w:t>
      </w:r>
      <w:r>
        <w:rPr>
          <w:lang w:val="en-US"/>
        </w:rPr>
        <w:t xml:space="preserve"> using purified </w:t>
      </w:r>
      <w:proofErr w:type="spellStart"/>
      <w:r w:rsidRPr="00F63133">
        <w:rPr>
          <w:lang w:val="en-US"/>
        </w:rPr>
        <w:t>Gc</w:t>
      </w:r>
      <w:proofErr w:type="spellEnd"/>
      <w:r w:rsidRPr="00F63133">
        <w:rPr>
          <w:lang w:val="en-US"/>
        </w:rPr>
        <w:t xml:space="preserve"> </w:t>
      </w:r>
      <w:r>
        <w:rPr>
          <w:lang w:val="en-US"/>
        </w:rPr>
        <w:t xml:space="preserve">ectodomain bound </w:t>
      </w:r>
      <w:r w:rsidRPr="00F63133">
        <w:rPr>
          <w:lang w:val="en-US"/>
        </w:rPr>
        <w:t>to nickel-coated 96-well plates (1 µg per well).</w:t>
      </w:r>
    </w:p>
    <w:p w:rsidR="00C558C0" w:rsidRDefault="00C558C0">
      <w:bookmarkStart w:id="0" w:name="_GoBack"/>
      <w:bookmarkEnd w:id="0"/>
    </w:p>
    <w:sectPr w:rsidR="00C558C0" w:rsidSect="00A63C3E">
      <w:pgSz w:w="11901" w:h="16840" w:code="9"/>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AC7"/>
    <w:rsid w:val="00B21AC7"/>
    <w:rsid w:val="00C558C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5EA8E8-7EB7-406E-891C-7C43B168D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1AC7"/>
    <w:pPr>
      <w:spacing w:after="0" w:line="480" w:lineRule="auto"/>
    </w:pPr>
    <w:rPr>
      <w:rFonts w:ascii="Times New Roman" w:eastAsia="MS Mincho"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1238</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Malathi B.</dc:creator>
  <cp:keywords/>
  <dc:description/>
  <cp:lastModifiedBy>Malathi B.</cp:lastModifiedBy>
  <cp:revision>1</cp:revision>
  <dcterms:created xsi:type="dcterms:W3CDTF">2019-04-03T12:32:00Z</dcterms:created>
  <dcterms:modified xsi:type="dcterms:W3CDTF">2019-04-03T12:32:00Z</dcterms:modified>
</cp:coreProperties>
</file>