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C6" w:rsidRDefault="00563841">
      <w:r>
        <w:rPr>
          <w:noProof/>
        </w:rPr>
        <w:drawing>
          <wp:inline distT="0" distB="0" distL="0" distR="0" wp14:anchorId="08E5753F" wp14:editId="6C1E5A66">
            <wp:extent cx="6229351" cy="35623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63841" w:rsidRDefault="00563841" w:rsidP="00563841">
      <w:pPr>
        <w:pStyle w:val="EndNoteBibliography"/>
        <w:tabs>
          <w:tab w:val="left" w:pos="0"/>
        </w:tabs>
        <w:spacing w:after="0" w:line="480" w:lineRule="auto"/>
      </w:pPr>
      <w:r>
        <w:rPr>
          <w:rFonts w:ascii="Times New Roman" w:hAnsi="Times New Roman" w:cs="Times New Roman"/>
          <w:b/>
          <w:szCs w:val="20"/>
        </w:rPr>
        <w:t xml:space="preserve">Supplementary </w:t>
      </w:r>
      <w:r w:rsidRPr="0045261A">
        <w:rPr>
          <w:rFonts w:ascii="Times New Roman" w:hAnsi="Times New Roman" w:cs="Times New Roman"/>
          <w:b/>
          <w:szCs w:val="20"/>
        </w:rPr>
        <w:t xml:space="preserve">Figure </w:t>
      </w:r>
      <w:r>
        <w:rPr>
          <w:rFonts w:ascii="Times New Roman" w:hAnsi="Times New Roman" w:cs="Times New Roman"/>
          <w:b/>
          <w:szCs w:val="20"/>
        </w:rPr>
        <w:t>1</w:t>
      </w:r>
      <w:r w:rsidRPr="0045261A">
        <w:rPr>
          <w:rFonts w:ascii="Times New Roman" w:hAnsi="Times New Roman" w:cs="Times New Roman"/>
          <w:b/>
          <w:szCs w:val="20"/>
        </w:rPr>
        <w:t xml:space="preserve">. Arrival of internationally imported measles case-patients by month of rash onset </w:t>
      </w:r>
      <w:r>
        <w:rPr>
          <w:rFonts w:ascii="Times New Roman" w:hAnsi="Times New Roman" w:cs="Times New Roman"/>
          <w:b/>
          <w:szCs w:val="20"/>
        </w:rPr>
        <w:t>and residence status</w:t>
      </w:r>
      <w:r w:rsidRPr="0045261A">
        <w:rPr>
          <w:rFonts w:ascii="Times New Roman" w:hAnsi="Times New Roman" w:cs="Times New Roman"/>
          <w:b/>
          <w:szCs w:val="20"/>
        </w:rPr>
        <w:t xml:space="preserve">— United States, 2001–2016. </w:t>
      </w:r>
      <w:r w:rsidRPr="0045261A">
        <w:rPr>
          <w:rFonts w:ascii="Times New Roman" w:hAnsi="Times New Roman" w:cs="Times New Roman"/>
          <w:szCs w:val="20"/>
        </w:rPr>
        <w:t>The gray bars represent the number of imported case-patients reported each month</w:t>
      </w:r>
      <w:r>
        <w:rPr>
          <w:rFonts w:ascii="Times New Roman" w:hAnsi="Times New Roman" w:cs="Times New Roman"/>
          <w:szCs w:val="20"/>
        </w:rPr>
        <w:t>, the solid line represents the proportion of imported case-patients who were U.S. residents reported each month, and the dashed line represents the proportion of imported case-patients who were foreign visitors reported</w:t>
      </w:r>
      <w:bookmarkStart w:id="0" w:name="_GoBack"/>
      <w:bookmarkEnd w:id="0"/>
      <w:r>
        <w:rPr>
          <w:rFonts w:ascii="Times New Roman" w:hAnsi="Times New Roman" w:cs="Times New Roman"/>
          <w:szCs w:val="20"/>
        </w:rPr>
        <w:t xml:space="preserve"> each month. </w:t>
      </w:r>
      <w:r w:rsidRPr="0045261A">
        <w:rPr>
          <w:rFonts w:ascii="Times New Roman" w:hAnsi="Times New Roman" w:cs="Times New Roman"/>
          <w:szCs w:val="20"/>
        </w:rPr>
        <w:t xml:space="preserve"> </w:t>
      </w:r>
    </w:p>
    <w:p w:rsidR="00563841" w:rsidRDefault="00563841"/>
    <w:sectPr w:rsidR="00563841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841"/>
    <w:rsid w:val="00563841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5B89"/>
  <w15:chartTrackingRefBased/>
  <w15:docId w15:val="{11414185-3AB8-446B-83EB-1815C95B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63841"/>
    <w:pPr>
      <w:spacing w:after="200"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63841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cdc.gov\private\M328\xda5\MMR\Measles\Imports%202001-2015\Submission\JAMA\FINAL%20TablesFigur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'Seasonality figure'!$B$1</c:f>
              <c:strCache>
                <c:ptCount val="1"/>
                <c:pt idx="0">
                  <c:v>Number of imported cases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Lit>
              <c:ptCount val="12"/>
              <c:pt idx="0">
                <c:v>Jul</c:v>
              </c:pt>
              <c:pt idx="1">
                <c:v>Aug</c:v>
              </c:pt>
              <c:pt idx="2">
                <c:v>Sep</c:v>
              </c:pt>
              <c:pt idx="3">
                <c:v>Oct</c:v>
              </c:pt>
              <c:pt idx="4">
                <c:v>Nov</c:v>
              </c:pt>
              <c:pt idx="5">
                <c:v>Dec</c:v>
              </c:pt>
              <c:pt idx="6">
                <c:v>Jan</c:v>
              </c:pt>
              <c:pt idx="7">
                <c:v>Feb</c:v>
              </c:pt>
              <c:pt idx="8">
                <c:v>Mar</c:v>
              </c:pt>
              <c:pt idx="9">
                <c:v>Apr</c:v>
              </c:pt>
              <c:pt idx="10">
                <c:v>May</c:v>
              </c:pt>
              <c:pt idx="11">
                <c:v>Jun</c:v>
              </c:pt>
            </c:strLit>
          </c:cat>
          <c:val>
            <c:numRef>
              <c:f>'Seasonality figure'!$B$2:$B$13</c:f>
              <c:numCache>
                <c:formatCode>General</c:formatCode>
                <c:ptCount val="12"/>
                <c:pt idx="0">
                  <c:v>50</c:v>
                </c:pt>
                <c:pt idx="1">
                  <c:v>56</c:v>
                </c:pt>
                <c:pt idx="2">
                  <c:v>19</c:v>
                </c:pt>
                <c:pt idx="3">
                  <c:v>14</c:v>
                </c:pt>
                <c:pt idx="4">
                  <c:v>21</c:v>
                </c:pt>
                <c:pt idx="5">
                  <c:v>24</c:v>
                </c:pt>
                <c:pt idx="6">
                  <c:v>72</c:v>
                </c:pt>
                <c:pt idx="7">
                  <c:v>62</c:v>
                </c:pt>
                <c:pt idx="8">
                  <c:v>66</c:v>
                </c:pt>
                <c:pt idx="9">
                  <c:v>70</c:v>
                </c:pt>
                <c:pt idx="10">
                  <c:v>64</c:v>
                </c:pt>
                <c:pt idx="11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98-49B8-9336-79BD805B15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axId val="278064384"/>
        <c:axId val="278064776"/>
      </c:barChart>
      <c:lineChart>
        <c:grouping val="standard"/>
        <c:varyColors val="0"/>
        <c:ser>
          <c:idx val="2"/>
          <c:order val="2"/>
          <c:tx>
            <c:v>Proportion of US Residents</c:v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/>
                </a:solidFill>
              </a:ln>
              <a:effectLst/>
            </c:spPr>
          </c:marker>
          <c:val>
            <c:numRef>
              <c:f>'Seasonality figure'!$E$2:$E$13</c:f>
              <c:numCache>
                <c:formatCode>0%</c:formatCode>
                <c:ptCount val="12"/>
                <c:pt idx="0">
                  <c:v>8.4302325581395346E-2</c:v>
                </c:pt>
                <c:pt idx="1">
                  <c:v>7.5581395348837205E-2</c:v>
                </c:pt>
                <c:pt idx="2">
                  <c:v>3.1976744186046513E-2</c:v>
                </c:pt>
                <c:pt idx="3">
                  <c:v>2.9069767441860465E-2</c:v>
                </c:pt>
                <c:pt idx="4">
                  <c:v>3.1976744186046513E-2</c:v>
                </c:pt>
                <c:pt idx="5">
                  <c:v>5.232558139534884E-2</c:v>
                </c:pt>
                <c:pt idx="6">
                  <c:v>0.16569767441860464</c:v>
                </c:pt>
                <c:pt idx="7">
                  <c:v>0.11337209302325581</c:v>
                </c:pt>
                <c:pt idx="8">
                  <c:v>0.12209302325581395</c:v>
                </c:pt>
                <c:pt idx="9">
                  <c:v>0.13662790697674418</c:v>
                </c:pt>
                <c:pt idx="10">
                  <c:v>8.7209302325581398E-2</c:v>
                </c:pt>
                <c:pt idx="11">
                  <c:v>6.9767441860465115E-2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798-49B8-9336-79BD805B15B2}"/>
            </c:ext>
          </c:extLst>
        </c:ser>
        <c:ser>
          <c:idx val="3"/>
          <c:order val="3"/>
          <c:tx>
            <c:v>Proportion of Foreign Visitors</c:v>
          </c:tx>
          <c:spPr>
            <a:ln w="28575" cap="rnd">
              <a:solidFill>
                <a:schemeClr val="tx1"/>
              </a:solidFill>
              <a:prstDash val="dash"/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/>
                </a:solidFill>
              </a:ln>
              <a:effectLst/>
            </c:spPr>
          </c:marker>
          <c:val>
            <c:numRef>
              <c:f>'Seasonality figure'!$G$2:$G$13</c:f>
              <c:numCache>
                <c:formatCode>0%</c:formatCode>
                <c:ptCount val="12"/>
                <c:pt idx="0">
                  <c:v>0.10047846889952153</c:v>
                </c:pt>
                <c:pt idx="1">
                  <c:v>0.14354066985645933</c:v>
                </c:pt>
                <c:pt idx="2">
                  <c:v>3.8277511961722487E-2</c:v>
                </c:pt>
                <c:pt idx="3">
                  <c:v>1.9138755980861243E-2</c:v>
                </c:pt>
                <c:pt idx="4">
                  <c:v>4.784688995215311E-2</c:v>
                </c:pt>
                <c:pt idx="5">
                  <c:v>2.8708133971291867E-2</c:v>
                </c:pt>
                <c:pt idx="6">
                  <c:v>7.1770334928229665E-2</c:v>
                </c:pt>
                <c:pt idx="7">
                  <c:v>0.11004784688995216</c:v>
                </c:pt>
                <c:pt idx="8">
                  <c:v>0.11483253588516747</c:v>
                </c:pt>
                <c:pt idx="9">
                  <c:v>0.11004784688995216</c:v>
                </c:pt>
                <c:pt idx="10">
                  <c:v>0.16267942583732056</c:v>
                </c:pt>
                <c:pt idx="11">
                  <c:v>5.2631578947368418E-2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798-49B8-9336-79BD805B15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8065560"/>
        <c:axId val="278065168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'Seasonality figure'!$C$1</c15:sqref>
                        </c15:formulaRef>
                      </c:ext>
                    </c:extLst>
                    <c:strCache>
                      <c:ptCount val="1"/>
                      <c:pt idx="0">
                        <c:v>Proportion of imported cases</c:v>
                      </c:pt>
                    </c:strCache>
                  </c:strRef>
                </c:tx>
                <c:spPr>
                  <a:ln w="28575" cap="rnd">
                    <a:solidFill>
                      <a:schemeClr val="tx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bg1"/>
                    </a:solidFill>
                    <a:ln w="9525">
                      <a:solidFill>
                        <a:schemeClr val="tx1"/>
                      </a:solidFill>
                    </a:ln>
                    <a:effectLst/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'Seasonality figure'!$A$2:$A$13</c15:sqref>
                        </c15:formulaRef>
                      </c:ext>
                    </c:extLst>
                    <c:strCache>
                      <c:ptCount val="12"/>
                      <c:pt idx="0">
                        <c:v>Jul</c:v>
                      </c:pt>
                      <c:pt idx="1">
                        <c:v>Aug</c:v>
                      </c:pt>
                      <c:pt idx="2">
                        <c:v>Sep</c:v>
                      </c:pt>
                      <c:pt idx="3">
                        <c:v>Oct</c:v>
                      </c:pt>
                      <c:pt idx="4">
                        <c:v>Nov</c:v>
                      </c:pt>
                      <c:pt idx="5">
                        <c:v>Dec</c:v>
                      </c:pt>
                      <c:pt idx="6">
                        <c:v>Jan</c:v>
                      </c:pt>
                      <c:pt idx="7">
                        <c:v>Feb</c:v>
                      </c:pt>
                      <c:pt idx="8">
                        <c:v>Mar</c:v>
                      </c:pt>
                      <c:pt idx="9">
                        <c:v>Apr</c:v>
                      </c:pt>
                      <c:pt idx="10">
                        <c:v>May</c:v>
                      </c:pt>
                      <c:pt idx="11">
                        <c:v>Jun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'Seasonality figure'!$C$2:$C$13</c15:sqref>
                        </c15:formulaRef>
                      </c:ext>
                    </c:extLst>
                    <c:numCache>
                      <c:formatCode>0%</c:formatCode>
                      <c:ptCount val="12"/>
                      <c:pt idx="0">
                        <c:v>9.0415913200723327E-2</c:v>
                      </c:pt>
                      <c:pt idx="1">
                        <c:v>0.10126582278481013</c:v>
                      </c:pt>
                      <c:pt idx="2">
                        <c:v>3.4358047016274866E-2</c:v>
                      </c:pt>
                      <c:pt idx="3">
                        <c:v>2.5316455696202531E-2</c:v>
                      </c:pt>
                      <c:pt idx="4">
                        <c:v>3.7974683544303799E-2</c:v>
                      </c:pt>
                      <c:pt idx="5">
                        <c:v>4.3399638336347197E-2</c:v>
                      </c:pt>
                      <c:pt idx="6">
                        <c:v>0.1301989150090416</c:v>
                      </c:pt>
                      <c:pt idx="7">
                        <c:v>0.11211573236889692</c:v>
                      </c:pt>
                      <c:pt idx="8">
                        <c:v>0.11934900542495479</c:v>
                      </c:pt>
                      <c:pt idx="9">
                        <c:v>0.12658227848101267</c:v>
                      </c:pt>
                      <c:pt idx="10">
                        <c:v>0.11573236889692586</c:v>
                      </c:pt>
                      <c:pt idx="11">
                        <c:v>6.3291139240506333E-2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3-5798-49B8-9336-79BD805B15B2}"/>
                  </c:ext>
                </c:extLst>
              </c15:ser>
            </c15:filteredLineSeries>
          </c:ext>
        </c:extLst>
      </c:lineChart>
      <c:catAx>
        <c:axId val="2780643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Month of rash onset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8064776"/>
        <c:crosses val="autoZero"/>
        <c:auto val="1"/>
        <c:lblAlgn val="ctr"/>
        <c:lblOffset val="100"/>
        <c:noMultiLvlLbl val="0"/>
      </c:catAx>
      <c:valAx>
        <c:axId val="27806477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Number of imported cases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8064384"/>
        <c:crosses val="autoZero"/>
        <c:crossBetween val="between"/>
      </c:valAx>
      <c:valAx>
        <c:axId val="278065168"/>
        <c:scaling>
          <c:orientation val="minMax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Proportion of imported cases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8065560"/>
        <c:crosses val="max"/>
        <c:crossBetween val="between"/>
      </c:valAx>
      <c:catAx>
        <c:axId val="27806556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780651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>Centers for Disease Control and Prevention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Adria (CDC/OID/NCIRD) (CTR)</dc:creator>
  <cp:keywords/>
  <dc:description/>
  <cp:lastModifiedBy>Lee, Adria (CDC/OID/NCIRD) (CTR)</cp:lastModifiedBy>
  <cp:revision>1</cp:revision>
  <dcterms:created xsi:type="dcterms:W3CDTF">2018-11-27T15:15:00Z</dcterms:created>
  <dcterms:modified xsi:type="dcterms:W3CDTF">2018-11-27T15:19:00Z</dcterms:modified>
</cp:coreProperties>
</file>