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72CF" w14:textId="10E0F192" w:rsidR="006E61D2" w:rsidRPr="006B5A90" w:rsidRDefault="00DE5AF4" w:rsidP="00B51DB4">
      <w:pPr>
        <w:spacing w:line="480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APPENDIX A. </w:t>
      </w:r>
      <w:r w:rsidR="006E61D2" w:rsidRPr="006B5A90">
        <w:rPr>
          <w:b/>
          <w:sz w:val="22"/>
          <w:szCs w:val="22"/>
        </w:rPr>
        <w:t>SUPPLEMENTARY INFORMATION</w:t>
      </w:r>
    </w:p>
    <w:p w14:paraId="7FFA57CC" w14:textId="77777777" w:rsidR="006E61D2" w:rsidRPr="006B5A90" w:rsidRDefault="006E61D2" w:rsidP="006E61D2">
      <w:pPr>
        <w:spacing w:line="480" w:lineRule="auto"/>
        <w:rPr>
          <w:b/>
          <w:sz w:val="22"/>
          <w:szCs w:val="22"/>
        </w:rPr>
      </w:pPr>
      <w:r w:rsidRPr="006B5A90">
        <w:rPr>
          <w:b/>
          <w:sz w:val="22"/>
          <w:szCs w:val="22"/>
        </w:rPr>
        <w:t xml:space="preserve"> </w:t>
      </w:r>
    </w:p>
    <w:p w14:paraId="3065EDA5" w14:textId="658AC06C" w:rsidR="006E61D2" w:rsidRPr="007A1AF1" w:rsidRDefault="006E61D2" w:rsidP="00B51DB4">
      <w:pPr>
        <w:spacing w:line="480" w:lineRule="auto"/>
        <w:outlineLvl w:val="0"/>
        <w:rPr>
          <w:b/>
          <w:bCs/>
        </w:rPr>
      </w:pPr>
      <w:r w:rsidRPr="007A1AF1">
        <w:rPr>
          <w:b/>
          <w:bCs/>
        </w:rPr>
        <w:t>Real-Time Monitoring of Spray Drift from Three Different Orchard Sprayers</w:t>
      </w:r>
    </w:p>
    <w:p w14:paraId="25E9C443" w14:textId="77777777" w:rsidR="006E61D2" w:rsidRPr="006B5A90" w:rsidRDefault="006E61D2" w:rsidP="006E61D2">
      <w:pPr>
        <w:spacing w:line="480" w:lineRule="auto"/>
        <w:rPr>
          <w:bCs/>
          <w:sz w:val="22"/>
          <w:szCs w:val="22"/>
        </w:rPr>
      </w:pPr>
    </w:p>
    <w:p w14:paraId="141B109D" w14:textId="77777777" w:rsidR="006E61D2" w:rsidRPr="006B5A90" w:rsidRDefault="006E61D2" w:rsidP="006E61D2">
      <w:pPr>
        <w:spacing w:line="480" w:lineRule="auto"/>
        <w:rPr>
          <w:bCs/>
          <w:sz w:val="22"/>
          <w:szCs w:val="22"/>
        </w:rPr>
      </w:pPr>
      <w:r w:rsidRPr="006B5A90">
        <w:rPr>
          <w:bCs/>
          <w:sz w:val="22"/>
          <w:szCs w:val="22"/>
        </w:rPr>
        <w:t>Magali N. Blanco, MS</w:t>
      </w:r>
      <w:r w:rsidRPr="006B5A90">
        <w:rPr>
          <w:bCs/>
          <w:sz w:val="22"/>
          <w:szCs w:val="22"/>
          <w:vertAlign w:val="superscript"/>
        </w:rPr>
        <w:t>1</w:t>
      </w:r>
      <w:r w:rsidRPr="006B5A90">
        <w:rPr>
          <w:bCs/>
          <w:sz w:val="22"/>
          <w:szCs w:val="22"/>
        </w:rPr>
        <w:t xml:space="preserve">; Richard A. Fenske, </w:t>
      </w:r>
      <w:proofErr w:type="spellStart"/>
      <w:r w:rsidRPr="006B5A90">
        <w:rPr>
          <w:bCs/>
          <w:sz w:val="22"/>
          <w:szCs w:val="22"/>
        </w:rPr>
        <w:t>PhD</w:t>
      </w:r>
      <w:r w:rsidRPr="006B5A90">
        <w:rPr>
          <w:bCs/>
          <w:sz w:val="22"/>
          <w:szCs w:val="22"/>
          <w:vertAlign w:val="superscript"/>
        </w:rPr>
        <w:t>1</w:t>
      </w:r>
      <w:proofErr w:type="spellEnd"/>
      <w:r w:rsidRPr="006B5A90">
        <w:rPr>
          <w:bCs/>
          <w:sz w:val="22"/>
          <w:szCs w:val="22"/>
        </w:rPr>
        <w:t xml:space="preserve">; Edward J. </w:t>
      </w:r>
      <w:proofErr w:type="spellStart"/>
      <w:r w:rsidRPr="006B5A90">
        <w:rPr>
          <w:bCs/>
          <w:sz w:val="22"/>
          <w:szCs w:val="22"/>
        </w:rPr>
        <w:t>Kasner</w:t>
      </w:r>
      <w:proofErr w:type="spellEnd"/>
      <w:r w:rsidRPr="006B5A90">
        <w:rPr>
          <w:bCs/>
          <w:sz w:val="22"/>
          <w:szCs w:val="22"/>
        </w:rPr>
        <w:t xml:space="preserve">, </w:t>
      </w:r>
      <w:proofErr w:type="spellStart"/>
      <w:r w:rsidRPr="006B5A90">
        <w:rPr>
          <w:bCs/>
          <w:sz w:val="22"/>
          <w:szCs w:val="22"/>
        </w:rPr>
        <w:t>PhD</w:t>
      </w:r>
      <w:r w:rsidRPr="006B5A90">
        <w:rPr>
          <w:bCs/>
          <w:sz w:val="22"/>
          <w:szCs w:val="22"/>
          <w:vertAlign w:val="superscript"/>
        </w:rPr>
        <w:t>1</w:t>
      </w:r>
      <w:proofErr w:type="spellEnd"/>
      <w:r w:rsidRPr="006B5A90">
        <w:rPr>
          <w:bCs/>
          <w:sz w:val="22"/>
          <w:szCs w:val="22"/>
        </w:rPr>
        <w:t xml:space="preserve">; Michael G. Yost, </w:t>
      </w:r>
      <w:proofErr w:type="spellStart"/>
      <w:r w:rsidRPr="006B5A90">
        <w:rPr>
          <w:bCs/>
          <w:sz w:val="22"/>
          <w:szCs w:val="22"/>
        </w:rPr>
        <w:t>PhD</w:t>
      </w:r>
      <w:r w:rsidRPr="006B5A90">
        <w:rPr>
          <w:bCs/>
          <w:sz w:val="22"/>
          <w:szCs w:val="22"/>
          <w:vertAlign w:val="superscript"/>
        </w:rPr>
        <w:t>1</w:t>
      </w:r>
      <w:proofErr w:type="spellEnd"/>
      <w:r w:rsidRPr="006B5A90">
        <w:rPr>
          <w:bCs/>
          <w:sz w:val="22"/>
          <w:szCs w:val="22"/>
        </w:rPr>
        <w:t xml:space="preserve">; Edmund </w:t>
      </w:r>
      <w:proofErr w:type="spellStart"/>
      <w:r w:rsidRPr="006B5A90">
        <w:rPr>
          <w:bCs/>
          <w:sz w:val="22"/>
          <w:szCs w:val="22"/>
        </w:rPr>
        <w:t>Seto</w:t>
      </w:r>
      <w:proofErr w:type="spellEnd"/>
      <w:r w:rsidRPr="006B5A90">
        <w:rPr>
          <w:bCs/>
          <w:sz w:val="22"/>
          <w:szCs w:val="22"/>
        </w:rPr>
        <w:t xml:space="preserve">, </w:t>
      </w:r>
      <w:proofErr w:type="spellStart"/>
      <w:r w:rsidRPr="006B5A90">
        <w:rPr>
          <w:bCs/>
          <w:sz w:val="22"/>
          <w:szCs w:val="22"/>
        </w:rPr>
        <w:t>PhD</w:t>
      </w:r>
      <w:r w:rsidRPr="006B5A90">
        <w:rPr>
          <w:bCs/>
          <w:sz w:val="22"/>
          <w:szCs w:val="22"/>
          <w:vertAlign w:val="superscript"/>
        </w:rPr>
        <w:t>1</w:t>
      </w:r>
      <w:proofErr w:type="spellEnd"/>
      <w:r w:rsidRPr="006B5A90">
        <w:rPr>
          <w:bCs/>
          <w:sz w:val="22"/>
          <w:szCs w:val="22"/>
        </w:rPr>
        <w:t xml:space="preserve">; Elena Austin, </w:t>
      </w:r>
      <w:proofErr w:type="spellStart"/>
      <w:r w:rsidRPr="006B5A90">
        <w:rPr>
          <w:bCs/>
          <w:sz w:val="22"/>
          <w:szCs w:val="22"/>
        </w:rPr>
        <w:t>PhD</w:t>
      </w:r>
      <w:r w:rsidRPr="006B5A90">
        <w:rPr>
          <w:bCs/>
          <w:sz w:val="22"/>
          <w:szCs w:val="22"/>
          <w:vertAlign w:val="superscript"/>
        </w:rPr>
        <w:t>1</w:t>
      </w:r>
      <w:proofErr w:type="spellEnd"/>
    </w:p>
    <w:p w14:paraId="6D591B71" w14:textId="77777777" w:rsidR="006E61D2" w:rsidRPr="006B5A90" w:rsidRDefault="006E61D2" w:rsidP="006E61D2">
      <w:pPr>
        <w:spacing w:line="480" w:lineRule="auto"/>
        <w:rPr>
          <w:bCs/>
          <w:sz w:val="22"/>
          <w:szCs w:val="22"/>
        </w:rPr>
      </w:pPr>
    </w:p>
    <w:p w14:paraId="0E7EB80A" w14:textId="77777777" w:rsidR="006E61D2" w:rsidRPr="006B5A90" w:rsidRDefault="006E61D2" w:rsidP="00B51DB4">
      <w:pPr>
        <w:spacing w:line="480" w:lineRule="auto"/>
        <w:outlineLvl w:val="0"/>
        <w:rPr>
          <w:sz w:val="22"/>
          <w:szCs w:val="22"/>
        </w:rPr>
      </w:pPr>
      <w:proofErr w:type="spellStart"/>
      <w:r w:rsidRPr="006B5A90">
        <w:rPr>
          <w:sz w:val="22"/>
          <w:szCs w:val="22"/>
          <w:vertAlign w:val="superscript"/>
        </w:rPr>
        <w:t>1</w:t>
      </w:r>
      <w:r w:rsidRPr="006B5A90">
        <w:rPr>
          <w:sz w:val="22"/>
          <w:szCs w:val="22"/>
        </w:rPr>
        <w:t>Environmental</w:t>
      </w:r>
      <w:proofErr w:type="spellEnd"/>
      <w:r w:rsidRPr="006B5A90">
        <w:rPr>
          <w:sz w:val="22"/>
          <w:szCs w:val="22"/>
        </w:rPr>
        <w:t xml:space="preserve"> and Occupational Health Sciences, University of Washington, Seattle, WA, United States</w:t>
      </w:r>
    </w:p>
    <w:p w14:paraId="2E670005" w14:textId="77777777" w:rsidR="006E61D2" w:rsidRPr="006B5A90" w:rsidRDefault="006E61D2" w:rsidP="006E61D2">
      <w:pPr>
        <w:spacing w:line="480" w:lineRule="auto"/>
        <w:rPr>
          <w:sz w:val="22"/>
          <w:szCs w:val="22"/>
        </w:rPr>
      </w:pPr>
    </w:p>
    <w:p w14:paraId="407895FC" w14:textId="77777777" w:rsidR="006E61D2" w:rsidRPr="006B5A90" w:rsidRDefault="006E61D2" w:rsidP="006E61D2">
      <w:pPr>
        <w:spacing w:line="480" w:lineRule="auto"/>
        <w:rPr>
          <w:sz w:val="22"/>
          <w:szCs w:val="22"/>
        </w:rPr>
      </w:pPr>
    </w:p>
    <w:p w14:paraId="6D1EBA0A" w14:textId="77777777" w:rsidR="006E61D2" w:rsidRPr="006B5A90" w:rsidRDefault="006E61D2" w:rsidP="00B51DB4">
      <w:pPr>
        <w:spacing w:line="480" w:lineRule="auto"/>
        <w:outlineLvl w:val="0"/>
        <w:rPr>
          <w:b/>
          <w:sz w:val="22"/>
          <w:szCs w:val="22"/>
        </w:rPr>
      </w:pPr>
      <w:r w:rsidRPr="006B5A90">
        <w:rPr>
          <w:b/>
          <w:sz w:val="22"/>
          <w:szCs w:val="22"/>
        </w:rPr>
        <w:t xml:space="preserve">Contact Author </w:t>
      </w:r>
    </w:p>
    <w:p w14:paraId="4ED3F523" w14:textId="77777777" w:rsidR="006E61D2" w:rsidRPr="006B5A90" w:rsidRDefault="006E61D2" w:rsidP="00B51DB4">
      <w:pPr>
        <w:spacing w:line="480" w:lineRule="auto"/>
        <w:outlineLvl w:val="0"/>
        <w:rPr>
          <w:sz w:val="22"/>
          <w:szCs w:val="22"/>
        </w:rPr>
      </w:pPr>
      <w:r w:rsidRPr="006B5A90">
        <w:rPr>
          <w:sz w:val="22"/>
          <w:szCs w:val="22"/>
        </w:rPr>
        <w:t>Magali N. Blanco</w:t>
      </w:r>
    </w:p>
    <w:p w14:paraId="347021F2" w14:textId="77777777" w:rsidR="006E61D2" w:rsidRPr="006B5A90" w:rsidRDefault="006E61D2" w:rsidP="006E61D2">
      <w:pPr>
        <w:spacing w:line="480" w:lineRule="auto"/>
        <w:rPr>
          <w:sz w:val="22"/>
          <w:szCs w:val="22"/>
        </w:rPr>
      </w:pPr>
      <w:r w:rsidRPr="006B5A90">
        <w:rPr>
          <w:sz w:val="22"/>
          <w:szCs w:val="22"/>
        </w:rPr>
        <w:t xml:space="preserve">HSB </w:t>
      </w:r>
      <w:proofErr w:type="spellStart"/>
      <w:r w:rsidRPr="006B5A90">
        <w:rPr>
          <w:sz w:val="22"/>
          <w:szCs w:val="22"/>
        </w:rPr>
        <w:t>F230</w:t>
      </w:r>
      <w:proofErr w:type="spellEnd"/>
    </w:p>
    <w:p w14:paraId="4CD31FC6" w14:textId="77777777" w:rsidR="006E61D2" w:rsidRPr="006B5A90" w:rsidRDefault="006E61D2" w:rsidP="006E61D2">
      <w:pPr>
        <w:spacing w:line="480" w:lineRule="auto"/>
        <w:rPr>
          <w:sz w:val="22"/>
          <w:szCs w:val="22"/>
        </w:rPr>
      </w:pPr>
      <w:r w:rsidRPr="006B5A90">
        <w:rPr>
          <w:sz w:val="22"/>
          <w:szCs w:val="22"/>
        </w:rPr>
        <w:t>1959 NE Pacific Street</w:t>
      </w:r>
    </w:p>
    <w:p w14:paraId="5A76C71E" w14:textId="77777777" w:rsidR="006E61D2" w:rsidRPr="006B5A90" w:rsidRDefault="006E61D2" w:rsidP="006E61D2">
      <w:pPr>
        <w:spacing w:line="480" w:lineRule="auto"/>
        <w:rPr>
          <w:sz w:val="22"/>
          <w:szCs w:val="22"/>
        </w:rPr>
      </w:pPr>
      <w:r w:rsidRPr="006B5A90">
        <w:rPr>
          <w:sz w:val="22"/>
          <w:szCs w:val="22"/>
        </w:rPr>
        <w:t>Seattle, WA 98195</w:t>
      </w:r>
    </w:p>
    <w:p w14:paraId="393F86F5" w14:textId="77777777" w:rsidR="006E61D2" w:rsidRDefault="0014099D" w:rsidP="006E61D2">
      <w:pPr>
        <w:spacing w:line="480" w:lineRule="auto"/>
      </w:pPr>
      <w:hyperlink r:id="rId6" w:history="1">
        <w:r w:rsidR="006E61D2" w:rsidRPr="006B5A90">
          <w:rPr>
            <w:rStyle w:val="Hyperlink"/>
            <w:sz w:val="22"/>
            <w:szCs w:val="22"/>
          </w:rPr>
          <w:t>magali@uw.edu</w:t>
        </w:r>
      </w:hyperlink>
      <w:r w:rsidR="006E61D2" w:rsidRPr="006B5A90">
        <w:rPr>
          <w:sz w:val="22"/>
          <w:szCs w:val="22"/>
        </w:rPr>
        <w:br w:type="page"/>
      </w:r>
    </w:p>
    <w:p w14:paraId="55292AFC" w14:textId="39EA5B5F" w:rsidR="006E61D2" w:rsidRDefault="006E61D2" w:rsidP="006E61D2">
      <w:r>
        <w:lastRenderedPageBreak/>
        <w:t>F</w:t>
      </w:r>
      <w:r w:rsidR="00B51DB4">
        <w:t xml:space="preserve">igure </w:t>
      </w:r>
      <w:proofErr w:type="spellStart"/>
      <w:r w:rsidR="00B51DB4">
        <w:t>A.</w:t>
      </w:r>
      <w:r>
        <w:t>1</w:t>
      </w:r>
      <w:proofErr w:type="spellEnd"/>
      <w:r>
        <w:t>. Histogram</w:t>
      </w:r>
      <w:r w:rsidR="00A61934">
        <w:t>s</w:t>
      </w:r>
      <w:r>
        <w:t xml:space="preserve"> of particle mass concentration (PMC) by sprayer type</w:t>
      </w:r>
      <w:r w:rsidR="00F80E41">
        <w:t xml:space="preserve"> show that data were log normal</w:t>
      </w:r>
      <w:r>
        <w:t>. The x-axis</w:t>
      </w:r>
      <w:r w:rsidRPr="000425AD">
        <w:t xml:space="preserve"> is on the log scale.  </w:t>
      </w:r>
    </w:p>
    <w:p w14:paraId="2762F86A" w14:textId="40AD879E" w:rsidR="006E61D2" w:rsidRDefault="006E61D2" w:rsidP="006E61D2"/>
    <w:p w14:paraId="5C38A21F" w14:textId="5A769CFF" w:rsidR="00F80E41" w:rsidRDefault="00F80E41" w:rsidP="006E61D2">
      <w:r>
        <w:rPr>
          <w:noProof/>
        </w:rPr>
        <w:drawing>
          <wp:inline distT="0" distB="0" distL="0" distR="0" wp14:anchorId="1371D222" wp14:editId="5C59C495">
            <wp:extent cx="5943600" cy="4754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F1v2.facet_wrap_PMC_his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0BF72" w14:textId="60C7391E" w:rsidR="006E61D2" w:rsidRPr="00E827E3" w:rsidRDefault="006E61D2" w:rsidP="006E61D2">
      <w:pPr>
        <w:jc w:val="center"/>
        <w:rPr>
          <w:b/>
        </w:rPr>
      </w:pPr>
      <w:r>
        <w:rPr>
          <w:sz w:val="22"/>
          <w:szCs w:val="22"/>
        </w:rPr>
        <w:br w:type="page"/>
      </w:r>
    </w:p>
    <w:p w14:paraId="7C713117" w14:textId="76F38269" w:rsidR="00BF7D4E" w:rsidRDefault="00BF7D4E" w:rsidP="00BF7D4E">
      <w:bookmarkStart w:id="0" w:name="_Ref508892607"/>
      <w:r>
        <w:lastRenderedPageBreak/>
        <w:t xml:space="preserve">Figure </w:t>
      </w:r>
      <w:proofErr w:type="spellStart"/>
      <w:r>
        <w:t>A.2</w:t>
      </w:r>
      <w:proofErr w:type="spellEnd"/>
      <w:r w:rsidR="00FB26EF">
        <w:t>. Time series plot comparing one-minute particle mass concentrations (PMC) during spray events and control periods for one of our study days (September 28</w:t>
      </w:r>
      <w:r w:rsidR="00FB26EF" w:rsidRPr="00EA0F7A">
        <w:rPr>
          <w:vertAlign w:val="superscript"/>
        </w:rPr>
        <w:t>th</w:t>
      </w:r>
      <w:r w:rsidR="00FB26EF">
        <w:t>, 2016).</w:t>
      </w:r>
    </w:p>
    <w:p w14:paraId="3830616D" w14:textId="77777777" w:rsidR="00FB26EF" w:rsidRDefault="00FB26EF" w:rsidP="00BF7D4E"/>
    <w:p w14:paraId="3EE54412" w14:textId="0D0A465B" w:rsidR="00BF7D4E" w:rsidRDefault="00FB26EF">
      <w:r>
        <w:rPr>
          <w:noProof/>
        </w:rPr>
        <w:drawing>
          <wp:inline distT="0" distB="0" distL="0" distR="0" wp14:anchorId="5E39B672" wp14:editId="4BB93428">
            <wp:extent cx="5943600" cy="4754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x_Fig_A2.PMC_over_Time_Sept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 w:rsidR="00BF7D4E">
        <w:br w:type="page"/>
      </w:r>
    </w:p>
    <w:p w14:paraId="1F5787AB" w14:textId="141D30C9" w:rsidR="00FC755D" w:rsidRDefault="00FC755D" w:rsidP="00FC755D">
      <w:r>
        <w:lastRenderedPageBreak/>
        <w:t xml:space="preserve">Table </w:t>
      </w:r>
      <w:proofErr w:type="spellStart"/>
      <w:r>
        <w:t>A.</w:t>
      </w:r>
      <w:r w:rsidRPr="00143FA5">
        <w:fldChar w:fldCharType="begin"/>
      </w:r>
      <w:r w:rsidRPr="00143FA5">
        <w:instrText xml:space="preserve"> SEQ Table \* ARABIC </w:instrText>
      </w:r>
      <w:r w:rsidRPr="00143FA5">
        <w:fldChar w:fldCharType="separate"/>
      </w:r>
      <w:r>
        <w:rPr>
          <w:noProof/>
        </w:rPr>
        <w:t>1</w:t>
      </w:r>
      <w:proofErr w:type="spellEnd"/>
      <w:r w:rsidRPr="00143FA5">
        <w:fldChar w:fldCharType="end"/>
      </w:r>
      <w:bookmarkEnd w:id="0"/>
      <w:r w:rsidRPr="00143FA5">
        <w:t>. Randomiz</w:t>
      </w:r>
      <w:r>
        <w:t xml:space="preserve">ed </w:t>
      </w:r>
      <w:r w:rsidRPr="00143FA5">
        <w:t xml:space="preserve">order </w:t>
      </w:r>
      <w:r>
        <w:t>for</w:t>
      </w:r>
      <w:r w:rsidRPr="00143FA5">
        <w:t xml:space="preserve"> spray quadrant</w:t>
      </w:r>
      <w:r>
        <w:t>s and application technologies</w:t>
      </w:r>
      <w:r w:rsidRPr="00143FA5">
        <w:t xml:space="preserve">. </w:t>
      </w:r>
    </w:p>
    <w:p w14:paraId="32BE7632" w14:textId="77777777" w:rsidR="00FC755D" w:rsidRPr="00143FA5" w:rsidRDefault="00FC755D" w:rsidP="00FC755D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852"/>
        <w:gridCol w:w="1587"/>
        <w:gridCol w:w="1221"/>
        <w:gridCol w:w="1221"/>
        <w:gridCol w:w="1221"/>
        <w:gridCol w:w="318"/>
        <w:gridCol w:w="958"/>
        <w:gridCol w:w="975"/>
        <w:gridCol w:w="1007"/>
      </w:tblGrid>
      <w:tr w:rsidR="00FC755D" w:rsidRPr="00143FA5" w14:paraId="1080C796" w14:textId="77777777" w:rsidTr="003A6BE0">
        <w:trPr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</w:tcBorders>
            <w:vAlign w:val="center"/>
          </w:tcPr>
          <w:p w14:paraId="7BFC7B4B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Day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</w:tcBorders>
            <w:vAlign w:val="center"/>
          </w:tcPr>
          <w:p w14:paraId="2012D3B9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Date</w:t>
            </w:r>
          </w:p>
          <w:p w14:paraId="0D513434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(m/d/</w:t>
            </w:r>
            <w:proofErr w:type="gramStart"/>
            <w:r w:rsidRPr="00931F50">
              <w:rPr>
                <w:sz w:val="22"/>
                <w:szCs w:val="22"/>
              </w:rPr>
              <w:t>y)</w:t>
            </w:r>
            <w:r w:rsidRPr="00931F50">
              <w:rPr>
                <w:sz w:val="22"/>
                <w:szCs w:val="22"/>
                <w:vertAlign w:val="superscript"/>
              </w:rPr>
              <w:t>a</w:t>
            </w:r>
            <w:proofErr w:type="gramEnd"/>
          </w:p>
        </w:tc>
        <w:tc>
          <w:tcPr>
            <w:tcW w:w="1955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F4C7A1D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Quadrant-Technology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</w:tcBorders>
            <w:vAlign w:val="center"/>
          </w:tcPr>
          <w:p w14:paraId="33F5B8D3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04E17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Spray Event Count</w:t>
            </w:r>
          </w:p>
        </w:tc>
      </w:tr>
      <w:tr w:rsidR="00FC755D" w:rsidRPr="00143FA5" w14:paraId="5C603CD5" w14:textId="77777777" w:rsidTr="003A6BE0">
        <w:trPr>
          <w:jc w:val="center"/>
        </w:trPr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</w:tcPr>
          <w:p w14:paraId="37758974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vMerge/>
            <w:tcBorders>
              <w:bottom w:val="single" w:sz="4" w:space="0" w:color="auto"/>
            </w:tcBorders>
            <w:vAlign w:val="center"/>
          </w:tcPr>
          <w:p w14:paraId="3326F751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EA9F89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vAlign w:val="center"/>
          </w:tcPr>
          <w:p w14:paraId="5BF7450D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0EE59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AFA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49203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DAT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27A72" w14:textId="77777777" w:rsidR="00FC755D" w:rsidRPr="00931F50" w:rsidRDefault="00FC755D" w:rsidP="003A6BE0">
            <w:pPr>
              <w:jc w:val="center"/>
              <w:rPr>
                <w:sz w:val="22"/>
                <w:szCs w:val="22"/>
              </w:rPr>
            </w:pPr>
            <w:r w:rsidRPr="00931F50">
              <w:rPr>
                <w:sz w:val="22"/>
                <w:szCs w:val="22"/>
              </w:rPr>
              <w:t>MFT</w:t>
            </w:r>
          </w:p>
        </w:tc>
      </w:tr>
      <w:tr w:rsidR="00FC755D" w:rsidRPr="00143FA5" w14:paraId="649304D0" w14:textId="77777777" w:rsidTr="003A6BE0">
        <w:trPr>
          <w:jc w:val="center"/>
        </w:trPr>
        <w:tc>
          <w:tcPr>
            <w:tcW w:w="455" w:type="pct"/>
            <w:tcBorders>
              <w:top w:val="single" w:sz="4" w:space="0" w:color="auto"/>
            </w:tcBorders>
            <w:vAlign w:val="center"/>
          </w:tcPr>
          <w:p w14:paraId="730A93E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14:paraId="77D95E5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6/10/2016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14:paraId="6905CE0E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EBED8D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3-AFA</w:t>
            </w:r>
          </w:p>
          <w:p w14:paraId="1A90625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4-AFA</w:t>
            </w:r>
          </w:p>
          <w:p w14:paraId="3019F8C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2-AFA</w:t>
            </w:r>
          </w:p>
          <w:p w14:paraId="6F69BB3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1-AFA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14:paraId="46400D6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224F6CA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3-MFT</w:t>
            </w:r>
          </w:p>
          <w:p w14:paraId="5C083801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4-MFT</w:t>
            </w:r>
          </w:p>
          <w:p w14:paraId="4259697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2-MFT</w:t>
            </w:r>
          </w:p>
          <w:p w14:paraId="7B2EB6D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1-MFT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14:paraId="4A28548E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  <w:p w14:paraId="0840A35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  <w:p w14:paraId="32C69BE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  <w:p w14:paraId="0857538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</w:tcBorders>
            <w:vAlign w:val="center"/>
          </w:tcPr>
          <w:p w14:paraId="192BD90E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4232A95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2C97D58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vertAlign w:val="superscript"/>
              </w:rPr>
              <w:t>b</w:t>
            </w:r>
          </w:p>
          <w:p w14:paraId="57E7BB9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</w:t>
            </w:r>
          </w:p>
          <w:p w14:paraId="7013787F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</w:t>
            </w:r>
          </w:p>
          <w:p w14:paraId="3602A3A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1E4C75A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764ABF3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  <w:p w14:paraId="2C97881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  <w:p w14:paraId="4C4D8B3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  <w:p w14:paraId="55E380A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13CC145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734F68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</w:t>
            </w:r>
          </w:p>
          <w:p w14:paraId="65E2068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</w:t>
            </w:r>
          </w:p>
          <w:p w14:paraId="2B2194C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</w:t>
            </w:r>
          </w:p>
          <w:p w14:paraId="42557C6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</w:t>
            </w:r>
          </w:p>
        </w:tc>
      </w:tr>
      <w:tr w:rsidR="00FC755D" w:rsidRPr="00143FA5" w14:paraId="30DE27AA" w14:textId="77777777" w:rsidTr="003A6BE0">
        <w:trPr>
          <w:jc w:val="center"/>
        </w:trPr>
        <w:tc>
          <w:tcPr>
            <w:tcW w:w="455" w:type="pct"/>
            <w:vAlign w:val="center"/>
          </w:tcPr>
          <w:p w14:paraId="772C87A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</w:t>
            </w:r>
          </w:p>
        </w:tc>
        <w:tc>
          <w:tcPr>
            <w:tcW w:w="848" w:type="pct"/>
            <w:vAlign w:val="center"/>
          </w:tcPr>
          <w:p w14:paraId="025C5D86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9/28/2016</w:t>
            </w:r>
          </w:p>
        </w:tc>
        <w:tc>
          <w:tcPr>
            <w:tcW w:w="652" w:type="pct"/>
            <w:vAlign w:val="center"/>
          </w:tcPr>
          <w:p w14:paraId="2C7C80F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3F6C992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2-AFA</w:t>
            </w:r>
          </w:p>
          <w:p w14:paraId="443BCBE6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1-AFA</w:t>
            </w:r>
          </w:p>
          <w:p w14:paraId="450A1DE1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3-AFA</w:t>
            </w:r>
          </w:p>
          <w:p w14:paraId="30292D16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4-AFA</w:t>
            </w:r>
          </w:p>
        </w:tc>
        <w:tc>
          <w:tcPr>
            <w:tcW w:w="652" w:type="pct"/>
            <w:vAlign w:val="center"/>
          </w:tcPr>
          <w:p w14:paraId="36B3717F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D15DA1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2-DAT</w:t>
            </w:r>
          </w:p>
          <w:p w14:paraId="6A5BC29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1-DAT</w:t>
            </w:r>
          </w:p>
          <w:p w14:paraId="5D4459A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3-DAT</w:t>
            </w:r>
          </w:p>
          <w:p w14:paraId="2230CDE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4-DAT</w:t>
            </w:r>
          </w:p>
        </w:tc>
        <w:tc>
          <w:tcPr>
            <w:tcW w:w="652" w:type="pct"/>
            <w:vAlign w:val="center"/>
          </w:tcPr>
          <w:p w14:paraId="455846D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66A2DF8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2-MFT</w:t>
            </w:r>
          </w:p>
          <w:p w14:paraId="1167139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1-MFT</w:t>
            </w:r>
          </w:p>
          <w:p w14:paraId="3A66785E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3-MFT</w:t>
            </w:r>
          </w:p>
          <w:p w14:paraId="08248E0F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4-MFT</w:t>
            </w:r>
          </w:p>
        </w:tc>
        <w:tc>
          <w:tcPr>
            <w:tcW w:w="170" w:type="pct"/>
            <w:vAlign w:val="center"/>
          </w:tcPr>
          <w:p w14:paraId="7D6A9C1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7DF39CA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05CDEC1F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</w:t>
            </w:r>
          </w:p>
          <w:p w14:paraId="47E803F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5</w:t>
            </w:r>
          </w:p>
          <w:p w14:paraId="2AEC854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6</w:t>
            </w:r>
          </w:p>
          <w:p w14:paraId="4EC2B6C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7</w:t>
            </w:r>
          </w:p>
        </w:tc>
        <w:tc>
          <w:tcPr>
            <w:tcW w:w="521" w:type="pct"/>
            <w:vAlign w:val="center"/>
          </w:tcPr>
          <w:p w14:paraId="1EEA1DE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688D55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</w:t>
            </w:r>
          </w:p>
          <w:p w14:paraId="1A6D68F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</w:t>
            </w:r>
          </w:p>
          <w:p w14:paraId="725F7C1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</w:t>
            </w:r>
          </w:p>
          <w:p w14:paraId="5428E52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</w:t>
            </w:r>
          </w:p>
        </w:tc>
        <w:tc>
          <w:tcPr>
            <w:tcW w:w="539" w:type="pct"/>
            <w:vAlign w:val="center"/>
          </w:tcPr>
          <w:p w14:paraId="3FEB349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3D4CC27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5</w:t>
            </w:r>
          </w:p>
          <w:p w14:paraId="44CD51F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6</w:t>
            </w:r>
          </w:p>
          <w:p w14:paraId="13CEE29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7</w:t>
            </w:r>
          </w:p>
          <w:p w14:paraId="02D7EE5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8</w:t>
            </w:r>
          </w:p>
        </w:tc>
      </w:tr>
      <w:tr w:rsidR="00FC755D" w:rsidRPr="00143FA5" w14:paraId="6181D8CA" w14:textId="77777777" w:rsidTr="003A6BE0">
        <w:trPr>
          <w:jc w:val="center"/>
        </w:trPr>
        <w:tc>
          <w:tcPr>
            <w:tcW w:w="455" w:type="pct"/>
            <w:vAlign w:val="center"/>
          </w:tcPr>
          <w:p w14:paraId="55A46BDE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</w:t>
            </w:r>
          </w:p>
        </w:tc>
        <w:tc>
          <w:tcPr>
            <w:tcW w:w="848" w:type="pct"/>
            <w:vAlign w:val="center"/>
          </w:tcPr>
          <w:p w14:paraId="1FCAFC9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9/29/2016</w:t>
            </w:r>
          </w:p>
        </w:tc>
        <w:tc>
          <w:tcPr>
            <w:tcW w:w="652" w:type="pct"/>
            <w:vAlign w:val="center"/>
          </w:tcPr>
          <w:p w14:paraId="4948F7A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0F50E65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1-DAT</w:t>
            </w:r>
          </w:p>
          <w:p w14:paraId="2DA1149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3-DAT</w:t>
            </w:r>
          </w:p>
          <w:p w14:paraId="17A0745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4-DAT</w:t>
            </w:r>
          </w:p>
          <w:p w14:paraId="019B4AD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2-DAT</w:t>
            </w:r>
          </w:p>
        </w:tc>
        <w:tc>
          <w:tcPr>
            <w:tcW w:w="652" w:type="pct"/>
            <w:vAlign w:val="center"/>
          </w:tcPr>
          <w:p w14:paraId="3D93579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5894709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1-MFT</w:t>
            </w:r>
          </w:p>
          <w:p w14:paraId="51AFEDE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3-MFT</w:t>
            </w:r>
          </w:p>
          <w:p w14:paraId="6547893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4-MFT</w:t>
            </w:r>
          </w:p>
          <w:p w14:paraId="0468074F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2-MFT</w:t>
            </w:r>
          </w:p>
        </w:tc>
        <w:tc>
          <w:tcPr>
            <w:tcW w:w="652" w:type="pct"/>
            <w:vAlign w:val="center"/>
          </w:tcPr>
          <w:p w14:paraId="25ED0CA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20A7FC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1-AFA</w:t>
            </w:r>
          </w:p>
          <w:p w14:paraId="37D43EA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3-AFA</w:t>
            </w:r>
          </w:p>
          <w:p w14:paraId="6475165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4-AFA</w:t>
            </w:r>
          </w:p>
          <w:p w14:paraId="7AE7CB5E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2-AFA</w:t>
            </w:r>
          </w:p>
        </w:tc>
        <w:tc>
          <w:tcPr>
            <w:tcW w:w="170" w:type="pct"/>
            <w:vAlign w:val="center"/>
          </w:tcPr>
          <w:p w14:paraId="2971D05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0E521809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7E70CBD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8</w:t>
            </w:r>
          </w:p>
          <w:p w14:paraId="4849B8C6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9</w:t>
            </w:r>
          </w:p>
          <w:p w14:paraId="4F42558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10</w:t>
            </w:r>
          </w:p>
          <w:p w14:paraId="3ED7EE7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11</w:t>
            </w:r>
          </w:p>
        </w:tc>
        <w:tc>
          <w:tcPr>
            <w:tcW w:w="521" w:type="pct"/>
            <w:vAlign w:val="center"/>
          </w:tcPr>
          <w:p w14:paraId="7CE41D9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564F822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5</w:t>
            </w:r>
          </w:p>
          <w:p w14:paraId="4340951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6</w:t>
            </w:r>
          </w:p>
          <w:p w14:paraId="1FA4706B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7</w:t>
            </w:r>
          </w:p>
          <w:p w14:paraId="0279834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8</w:t>
            </w:r>
          </w:p>
        </w:tc>
        <w:tc>
          <w:tcPr>
            <w:tcW w:w="539" w:type="pct"/>
            <w:vAlign w:val="center"/>
          </w:tcPr>
          <w:p w14:paraId="0AADFC6F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4FB9E64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9</w:t>
            </w:r>
          </w:p>
          <w:p w14:paraId="29C4D661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10</w:t>
            </w:r>
          </w:p>
          <w:p w14:paraId="7F611D8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11</w:t>
            </w:r>
          </w:p>
          <w:p w14:paraId="4BB7B40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12</w:t>
            </w:r>
          </w:p>
        </w:tc>
      </w:tr>
      <w:tr w:rsidR="00FC755D" w:rsidRPr="00143FA5" w14:paraId="6CD90F4B" w14:textId="77777777" w:rsidTr="003A6BE0">
        <w:trPr>
          <w:jc w:val="center"/>
        </w:trPr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4D66A75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762E3B9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9/30/2016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66B04C1E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4651350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2-MFT</w:t>
            </w:r>
          </w:p>
          <w:p w14:paraId="04A2939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1-MFT</w:t>
            </w:r>
          </w:p>
          <w:p w14:paraId="6C0401A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4-MFT</w:t>
            </w:r>
          </w:p>
          <w:p w14:paraId="70C07E0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3-MFT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23AF668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AFDF5E2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2-AFA</w:t>
            </w:r>
          </w:p>
          <w:p w14:paraId="1BCE9D9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1-AFA</w:t>
            </w:r>
          </w:p>
          <w:p w14:paraId="6080966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4-AFA</w:t>
            </w:r>
          </w:p>
          <w:p w14:paraId="4017B501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3-AFA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6887C64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3BCF30C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2-DAT</w:t>
            </w:r>
          </w:p>
          <w:p w14:paraId="168EC34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1-DAT</w:t>
            </w:r>
          </w:p>
          <w:p w14:paraId="7DE5EF6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4-DAT</w:t>
            </w:r>
          </w:p>
          <w:p w14:paraId="791E2B3D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3-DAT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vAlign w:val="center"/>
          </w:tcPr>
          <w:p w14:paraId="156DC7D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2F9910C6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1E254B3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12</w:t>
            </w:r>
          </w:p>
          <w:p w14:paraId="17C2EA7A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13</w:t>
            </w:r>
          </w:p>
          <w:p w14:paraId="2BAA02F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14</w:t>
            </w:r>
          </w:p>
          <w:p w14:paraId="3440A3D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15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2EDAF881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217C2E9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9</w:t>
            </w:r>
          </w:p>
          <w:p w14:paraId="3413A2B5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10</w:t>
            </w:r>
          </w:p>
          <w:p w14:paraId="7055C368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11</w:t>
            </w:r>
          </w:p>
          <w:p w14:paraId="25365BD4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12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316D8EFC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</w:p>
          <w:p w14:paraId="53133183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13</w:t>
            </w:r>
          </w:p>
          <w:p w14:paraId="225F51DF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14</w:t>
            </w:r>
          </w:p>
          <w:p w14:paraId="3DD4A55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15</w:t>
            </w:r>
          </w:p>
          <w:p w14:paraId="21D7BF77" w14:textId="77777777" w:rsidR="00FC755D" w:rsidRPr="00143FA5" w:rsidRDefault="00FC755D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16</w:t>
            </w:r>
          </w:p>
        </w:tc>
      </w:tr>
    </w:tbl>
    <w:p w14:paraId="5E2CB2FF" w14:textId="77777777" w:rsidR="00FC755D" w:rsidRDefault="00FC755D" w:rsidP="00FC755D">
      <w:pPr>
        <w:rPr>
          <w:sz w:val="22"/>
          <w:szCs w:val="22"/>
        </w:rPr>
      </w:pPr>
      <w:r>
        <w:rPr>
          <w:sz w:val="22"/>
          <w:szCs w:val="22"/>
        </w:rPr>
        <w:t>Note: Each day, the spray quadrant order</w:t>
      </w:r>
      <w:r w:rsidRPr="00143F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</w:t>
      </w:r>
      <w:r w:rsidRPr="00143FA5">
        <w:rPr>
          <w:sz w:val="22"/>
          <w:szCs w:val="22"/>
        </w:rPr>
        <w:t xml:space="preserve">randomized, </w:t>
      </w:r>
      <w:r>
        <w:rPr>
          <w:sz w:val="22"/>
          <w:szCs w:val="22"/>
        </w:rPr>
        <w:t xml:space="preserve">while </w:t>
      </w:r>
      <w:r w:rsidRPr="00143FA5">
        <w:rPr>
          <w:sz w:val="22"/>
          <w:szCs w:val="22"/>
        </w:rPr>
        <w:t xml:space="preserve">the application technology order was rotated </w:t>
      </w:r>
      <w:r>
        <w:rPr>
          <w:sz w:val="22"/>
          <w:szCs w:val="22"/>
        </w:rPr>
        <w:t>so that each technology had a day where it was the first to spray</w:t>
      </w:r>
      <w:r w:rsidRPr="00143FA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43FA5">
        <w:rPr>
          <w:sz w:val="22"/>
          <w:szCs w:val="22"/>
        </w:rPr>
        <w:t xml:space="preserve">For example, on our second sampling day, Quadrant 2 was sprayed by the AFA sprayer, followed by the DAT sprayer and finally, the MFT sprayer. Quadrants 1, 3 and 4 were afterwards sprayed in the same order. </w:t>
      </w:r>
      <w:r>
        <w:rPr>
          <w:sz w:val="22"/>
          <w:szCs w:val="22"/>
        </w:rPr>
        <w:t xml:space="preserve">On our third sampling day, the quadrant spray order was again randomized, but this time, the DAT was the first to spray, followed by the MFT and finally, the AFA sprayer. </w:t>
      </w:r>
    </w:p>
    <w:p w14:paraId="73DBB920" w14:textId="77777777" w:rsidR="00FC755D" w:rsidRPr="00A74669" w:rsidRDefault="00FC755D" w:rsidP="00FC755D">
      <w:pPr>
        <w:rPr>
          <w:sz w:val="22"/>
          <w:szCs w:val="22"/>
        </w:rPr>
      </w:pPr>
      <w:proofErr w:type="spellStart"/>
      <w:r w:rsidRPr="00143FA5">
        <w:rPr>
          <w:sz w:val="22"/>
          <w:szCs w:val="22"/>
          <w:vertAlign w:val="superscript"/>
        </w:rPr>
        <w:t>a</w:t>
      </w:r>
      <w:r>
        <w:rPr>
          <w:sz w:val="22"/>
          <w:szCs w:val="22"/>
        </w:rPr>
        <w:t>month</w:t>
      </w:r>
      <w:proofErr w:type="spellEnd"/>
      <w:r>
        <w:rPr>
          <w:sz w:val="22"/>
          <w:szCs w:val="22"/>
        </w:rPr>
        <w:t>/day/year</w:t>
      </w:r>
    </w:p>
    <w:p w14:paraId="4F59EE52" w14:textId="5D4F7297" w:rsidR="00FC755D" w:rsidRDefault="00FC755D" w:rsidP="00FC755D">
      <w:pPr>
        <w:rPr>
          <w:sz w:val="22"/>
          <w:szCs w:val="22"/>
        </w:rPr>
      </w:pPr>
      <w:proofErr w:type="spellStart"/>
      <w:r>
        <w:rPr>
          <w:sz w:val="22"/>
          <w:szCs w:val="22"/>
          <w:vertAlign w:val="superscript"/>
        </w:rPr>
        <w:t>b</w:t>
      </w:r>
      <w:r w:rsidRPr="00143FA5">
        <w:rPr>
          <w:sz w:val="22"/>
          <w:szCs w:val="22"/>
        </w:rPr>
        <w:t>This</w:t>
      </w:r>
      <w:proofErr w:type="spellEnd"/>
      <w:r w:rsidRPr="00143FA5">
        <w:rPr>
          <w:sz w:val="22"/>
          <w:szCs w:val="22"/>
        </w:rPr>
        <w:t xml:space="preserve"> spray event was dropped from our analyses because the wind was not blowing south towards our sample field.  </w:t>
      </w:r>
    </w:p>
    <w:p w14:paraId="4BEBEB4A" w14:textId="156554EC" w:rsidR="00AC3AB7" w:rsidRDefault="00AC3AB7" w:rsidP="00FC755D">
      <w:pPr>
        <w:rPr>
          <w:b/>
          <w:sz w:val="22"/>
          <w:szCs w:val="22"/>
        </w:rPr>
      </w:pPr>
    </w:p>
    <w:p w14:paraId="481896A1" w14:textId="77777777" w:rsidR="00FC755D" w:rsidRDefault="00FC755D" w:rsidP="00FC755D">
      <w:pPr>
        <w:rPr>
          <w:b/>
          <w:sz w:val="22"/>
          <w:szCs w:val="22"/>
        </w:rPr>
      </w:pPr>
    </w:p>
    <w:p w14:paraId="57958D38" w14:textId="77777777" w:rsidR="00FC755D" w:rsidRDefault="00FC755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1D3016" w14:textId="77822A16" w:rsidR="006E61D2" w:rsidRDefault="00B51DB4" w:rsidP="00B51DB4">
      <w:pPr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Table </w:t>
      </w:r>
      <w:proofErr w:type="spellStart"/>
      <w:r>
        <w:rPr>
          <w:sz w:val="22"/>
          <w:szCs w:val="22"/>
        </w:rPr>
        <w:t>A.</w:t>
      </w:r>
      <w:r w:rsidR="00FC755D">
        <w:rPr>
          <w:sz w:val="22"/>
          <w:szCs w:val="22"/>
        </w:rPr>
        <w:t>2</w:t>
      </w:r>
      <w:proofErr w:type="spellEnd"/>
      <w:r w:rsidR="006E61D2">
        <w:rPr>
          <w:sz w:val="22"/>
          <w:szCs w:val="22"/>
        </w:rPr>
        <w:t>. Sprayer Calibration Settings.</w:t>
      </w:r>
    </w:p>
    <w:p w14:paraId="69CA9441" w14:textId="77777777" w:rsidR="006E61D2" w:rsidRDefault="006E61D2" w:rsidP="006E61D2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2332"/>
        <w:gridCol w:w="2332"/>
        <w:gridCol w:w="2327"/>
      </w:tblGrid>
      <w:tr w:rsidR="006E61D2" w14:paraId="0F539A2A" w14:textId="77777777" w:rsidTr="003A6BE0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BA680C5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Calibration Settings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DA6C268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AFA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617CFC80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12EFA9D9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MFT</w:t>
            </w:r>
          </w:p>
        </w:tc>
      </w:tr>
      <w:tr w:rsidR="006E61D2" w14:paraId="0F3B60D1" w14:textId="77777777" w:rsidTr="003A6BE0">
        <w:tc>
          <w:tcPr>
            <w:tcW w:w="2517" w:type="dxa"/>
            <w:tcBorders>
              <w:top w:val="single" w:sz="4" w:space="0" w:color="auto"/>
            </w:tcBorders>
          </w:tcPr>
          <w:p w14:paraId="154DF6CE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Pressure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B02037E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gramStart"/>
            <w:r>
              <w:rPr>
                <w:sz w:val="22"/>
                <w:szCs w:val="22"/>
              </w:rPr>
              <w:t>bar</w:t>
            </w:r>
            <w:proofErr w:type="gramEnd"/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474CDDA0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 bar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6ADF2FD8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 bar</w:t>
            </w:r>
          </w:p>
        </w:tc>
      </w:tr>
      <w:tr w:rsidR="006E61D2" w14:paraId="55B715AE" w14:textId="77777777" w:rsidTr="003A6BE0">
        <w:tc>
          <w:tcPr>
            <w:tcW w:w="2517" w:type="dxa"/>
          </w:tcPr>
          <w:p w14:paraId="73FDE267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Nozzles</w:t>
            </w:r>
          </w:p>
        </w:tc>
        <w:tc>
          <w:tcPr>
            <w:tcW w:w="2517" w:type="dxa"/>
          </w:tcPr>
          <w:p w14:paraId="6DE37743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Disc-core (D3-D5 nozzles with 25 cores)</w:t>
            </w:r>
          </w:p>
        </w:tc>
        <w:tc>
          <w:tcPr>
            <w:tcW w:w="2518" w:type="dxa"/>
          </w:tcPr>
          <w:p w14:paraId="4A632A45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EF17A6">
              <w:rPr>
                <w:sz w:val="22"/>
                <w:szCs w:val="22"/>
              </w:rPr>
              <w:t>isc-core (</w:t>
            </w:r>
            <w:proofErr w:type="spellStart"/>
            <w:r w:rsidRPr="00EF17A6">
              <w:rPr>
                <w:sz w:val="22"/>
                <w:szCs w:val="22"/>
              </w:rPr>
              <w:t>D3</w:t>
            </w:r>
            <w:proofErr w:type="spellEnd"/>
            <w:r w:rsidRPr="00EF17A6">
              <w:rPr>
                <w:sz w:val="22"/>
                <w:szCs w:val="22"/>
              </w:rPr>
              <w:t xml:space="preserve"> nozzles with 25 cores)</w:t>
            </w:r>
          </w:p>
        </w:tc>
        <w:tc>
          <w:tcPr>
            <w:tcW w:w="2518" w:type="dxa"/>
          </w:tcPr>
          <w:p w14:paraId="59596651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EF17A6">
              <w:rPr>
                <w:sz w:val="22"/>
                <w:szCs w:val="22"/>
              </w:rPr>
              <w:t>ne-piece (VK08 and VK04)</w:t>
            </w:r>
          </w:p>
        </w:tc>
      </w:tr>
      <w:tr w:rsidR="006E61D2" w14:paraId="5FD5A6F4" w14:textId="77777777" w:rsidTr="003A6BE0">
        <w:tc>
          <w:tcPr>
            <w:tcW w:w="2517" w:type="dxa"/>
          </w:tcPr>
          <w:p w14:paraId="6BC78F65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Droplet </w:t>
            </w:r>
            <w:proofErr w:type="spellStart"/>
            <w:r>
              <w:rPr>
                <w:sz w:val="22"/>
                <w:szCs w:val="22"/>
              </w:rPr>
              <w:t>Size</w:t>
            </w:r>
            <w:r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517" w:type="dxa"/>
          </w:tcPr>
          <w:p w14:paraId="61D51811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Fine</w:t>
            </w:r>
          </w:p>
        </w:tc>
        <w:tc>
          <w:tcPr>
            <w:tcW w:w="2518" w:type="dxa"/>
          </w:tcPr>
          <w:p w14:paraId="4709201D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Fine</w:t>
            </w:r>
          </w:p>
        </w:tc>
        <w:tc>
          <w:tcPr>
            <w:tcW w:w="2518" w:type="dxa"/>
          </w:tcPr>
          <w:p w14:paraId="4421CD81" w14:textId="77777777" w:rsidR="006E61D2" w:rsidRPr="00EF17A6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fine</w:t>
            </w:r>
          </w:p>
        </w:tc>
      </w:tr>
      <w:tr w:rsidR="006E61D2" w14:paraId="59A9C994" w14:textId="77777777" w:rsidTr="003A6BE0">
        <w:tc>
          <w:tcPr>
            <w:tcW w:w="2517" w:type="dxa"/>
          </w:tcPr>
          <w:p w14:paraId="2272B75C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Droplet Diameter</w:t>
            </w:r>
          </w:p>
        </w:tc>
        <w:tc>
          <w:tcPr>
            <w:tcW w:w="2517" w:type="dxa"/>
          </w:tcPr>
          <w:p w14:paraId="25F0FA4C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110-125 µm</w:t>
            </w:r>
          </w:p>
        </w:tc>
        <w:tc>
          <w:tcPr>
            <w:tcW w:w="2518" w:type="dxa"/>
          </w:tcPr>
          <w:p w14:paraId="28BF0017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125-130 µm</w:t>
            </w:r>
          </w:p>
        </w:tc>
        <w:tc>
          <w:tcPr>
            <w:tcW w:w="2518" w:type="dxa"/>
          </w:tcPr>
          <w:p w14:paraId="42733AF6" w14:textId="77777777" w:rsidR="006E61D2" w:rsidRDefault="006E61D2" w:rsidP="003A6BE0">
            <w:pPr>
              <w:rPr>
                <w:sz w:val="22"/>
                <w:szCs w:val="22"/>
              </w:rPr>
            </w:pPr>
            <w:r w:rsidRPr="00EF17A6">
              <w:rPr>
                <w:sz w:val="22"/>
                <w:szCs w:val="22"/>
              </w:rPr>
              <w:t>61-105 µm</w:t>
            </w:r>
          </w:p>
        </w:tc>
      </w:tr>
      <w:tr w:rsidR="006E61D2" w14:paraId="3053759B" w14:textId="77777777" w:rsidTr="003A6BE0">
        <w:tc>
          <w:tcPr>
            <w:tcW w:w="2517" w:type="dxa"/>
          </w:tcPr>
          <w:p w14:paraId="61A72747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Tower Height</w:t>
            </w:r>
          </w:p>
        </w:tc>
        <w:tc>
          <w:tcPr>
            <w:tcW w:w="2517" w:type="dxa"/>
            <w:vAlign w:val="center"/>
          </w:tcPr>
          <w:p w14:paraId="649AB9F0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8" w:type="dxa"/>
          </w:tcPr>
          <w:p w14:paraId="1EDC22A7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 m</w:t>
            </w:r>
          </w:p>
        </w:tc>
        <w:tc>
          <w:tcPr>
            <w:tcW w:w="2518" w:type="dxa"/>
          </w:tcPr>
          <w:p w14:paraId="7E2A1ACF" w14:textId="77777777" w:rsidR="006E61D2" w:rsidRDefault="006E61D2" w:rsidP="003A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 m</w:t>
            </w:r>
          </w:p>
        </w:tc>
      </w:tr>
    </w:tbl>
    <w:p w14:paraId="0CD37F46" w14:textId="77777777" w:rsidR="006E61D2" w:rsidRDefault="006E61D2" w:rsidP="006E61D2">
      <w:pPr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Pr="00143FA5">
        <w:rPr>
          <w:sz w:val="22"/>
          <w:szCs w:val="22"/>
        </w:rPr>
        <w:t xml:space="preserve">All sprayers were calibrated while </w:t>
      </w:r>
      <w:r>
        <w:rPr>
          <w:sz w:val="22"/>
          <w:szCs w:val="22"/>
        </w:rPr>
        <w:t xml:space="preserve">running at 1.3 m/s, </w:t>
      </w:r>
      <w:r w:rsidRPr="00143FA5">
        <w:rPr>
          <w:sz w:val="22"/>
          <w:szCs w:val="22"/>
        </w:rPr>
        <w:t>ou</w:t>
      </w:r>
      <w:r>
        <w:rPr>
          <w:sz w:val="22"/>
          <w:szCs w:val="22"/>
        </w:rPr>
        <w:t xml:space="preserve">tputting 935 L/ha, </w:t>
      </w:r>
      <w:r w:rsidRPr="00143FA5">
        <w:rPr>
          <w:sz w:val="22"/>
          <w:szCs w:val="22"/>
        </w:rPr>
        <w:t xml:space="preserve">using an air volume flow rate of approximately 566-850 </w:t>
      </w:r>
      <w:proofErr w:type="spellStart"/>
      <w:r w:rsidRPr="00143FA5">
        <w:rPr>
          <w:sz w:val="22"/>
          <w:szCs w:val="22"/>
        </w:rPr>
        <w:t>m</w:t>
      </w:r>
      <w:r w:rsidRPr="00143FA5">
        <w:rPr>
          <w:sz w:val="22"/>
          <w:szCs w:val="22"/>
          <w:vertAlign w:val="superscript"/>
        </w:rPr>
        <w:t>3</w:t>
      </w:r>
      <w:proofErr w:type="spellEnd"/>
      <w:r w:rsidRPr="00143FA5">
        <w:rPr>
          <w:sz w:val="22"/>
          <w:szCs w:val="22"/>
        </w:rPr>
        <w:t>/min</w:t>
      </w:r>
      <w:r>
        <w:rPr>
          <w:sz w:val="22"/>
          <w:szCs w:val="22"/>
        </w:rPr>
        <w:t xml:space="preserve"> </w:t>
      </w:r>
      <w:r w:rsidRPr="00143FA5">
        <w:rPr>
          <w:sz w:val="22"/>
          <w:szCs w:val="22"/>
        </w:rPr>
        <w:t>and using nozzles that produced hollow cone spray patterns</w:t>
      </w:r>
      <w:r>
        <w:rPr>
          <w:sz w:val="22"/>
          <w:szCs w:val="22"/>
        </w:rPr>
        <w:t xml:space="preserve">.  </w:t>
      </w:r>
    </w:p>
    <w:p w14:paraId="28C64A3E" w14:textId="77777777" w:rsidR="006E61D2" w:rsidRPr="00B90808" w:rsidRDefault="006E61D2" w:rsidP="006E61D2">
      <w:proofErr w:type="spellStart"/>
      <w:r w:rsidRPr="00524468">
        <w:rPr>
          <w:vertAlign w:val="superscript"/>
        </w:rPr>
        <w:t>a</w:t>
      </w:r>
      <w:r>
        <w:t>categories</w:t>
      </w:r>
      <w:proofErr w:type="spellEnd"/>
      <w:r>
        <w:t xml:space="preserve"> are defined by the ASABE 572.1 droplet size classification standard </w:t>
      </w:r>
      <w:r>
        <w:fldChar w:fldCharType="begin"/>
      </w:r>
      <w:r>
        <w:instrText xml:space="preserve"> ADDIN ZOTERO_ITEM CSL_CITATION {"citationID":"2xadigV5","properties":{"formattedCitation":"(ASABE 2013)","plainCitation":"(ASABE 2013)","noteIndex":0},"citationItems":[{"id":2190,"uris":["http://zotero.org/users/3323845/items/EYNVYVGM"],"uri":["http://zotero.org/users/3323845/items/EYNVYVGM"],"itemData":{"id":2190,"type":"webpage","title":"ASABE S572.1 Droplet Size Classification","container-title":"American Society of Agricultural and Biological Engineers (ASABE)","URL":"https://cdn2.hubspot.net/hub/95784/file-32015844-pdf/docs/asabe_s572.1_droplet_size_classification.pdf","author":[{"family":"ASABE","given":""}],"issued":{"date-parts":[["2013"]]},"accessed":{"date-parts":[["2018",5,16]]}}}],"schema":"https://github.com/citation-style-language/schema/raw/master/csl-citation.json"} </w:instrText>
      </w:r>
      <w:r>
        <w:fldChar w:fldCharType="separate"/>
      </w:r>
      <w:r>
        <w:rPr>
          <w:noProof/>
        </w:rPr>
        <w:t>(ASABE 2013)</w:t>
      </w:r>
      <w:r>
        <w:fldChar w:fldCharType="end"/>
      </w:r>
      <w:r w:rsidRPr="00524468">
        <w:rPr>
          <w:vertAlign w:val="superscript"/>
        </w:rPr>
        <w:br w:type="page"/>
      </w:r>
    </w:p>
    <w:p w14:paraId="5A1AEDA3" w14:textId="78947CB5" w:rsidR="006E61D2" w:rsidRPr="00143FA5" w:rsidRDefault="00B51DB4" w:rsidP="006E61D2">
      <w:r>
        <w:lastRenderedPageBreak/>
        <w:t xml:space="preserve">Table </w:t>
      </w:r>
      <w:proofErr w:type="spellStart"/>
      <w:r>
        <w:t>A.</w:t>
      </w:r>
      <w:r w:rsidR="00FC755D">
        <w:t>3</w:t>
      </w:r>
      <w:proofErr w:type="spellEnd"/>
      <w:r w:rsidR="006E61D2">
        <w:t>. Q</w:t>
      </w:r>
      <w:r w:rsidR="006E61D2" w:rsidRPr="00143FA5">
        <w:t xml:space="preserve">uantile regression of </w:t>
      </w:r>
      <w:r w:rsidR="006E61D2">
        <w:t>50</w:t>
      </w:r>
      <w:r w:rsidR="006E61D2" w:rsidRPr="00783869">
        <w:rPr>
          <w:vertAlign w:val="superscript"/>
        </w:rPr>
        <w:t>th</w:t>
      </w:r>
      <w:r w:rsidR="006E61D2">
        <w:t xml:space="preserve"> percentile </w:t>
      </w:r>
      <w:r w:rsidR="006E61D2" w:rsidRPr="00143FA5">
        <w:t>PMC (</w:t>
      </w:r>
      <w:proofErr w:type="spellStart"/>
      <w:r w:rsidR="006E61D2" w:rsidRPr="00143FA5">
        <w:t>μg</w:t>
      </w:r>
      <w:proofErr w:type="spellEnd"/>
      <w:r w:rsidR="006E61D2" w:rsidRPr="00143FA5">
        <w:t>/</w:t>
      </w:r>
      <w:proofErr w:type="spellStart"/>
      <w:r w:rsidR="006E61D2" w:rsidRPr="00143FA5">
        <w:t>m</w:t>
      </w:r>
      <w:r w:rsidR="006E61D2" w:rsidRPr="00143FA5">
        <w:rPr>
          <w:vertAlign w:val="superscript"/>
        </w:rPr>
        <w:t>3</w:t>
      </w:r>
      <w:proofErr w:type="spellEnd"/>
      <w:r w:rsidR="006E61D2" w:rsidRPr="00143FA5">
        <w:t xml:space="preserve">) </w:t>
      </w:r>
      <w:r w:rsidR="006E61D2">
        <w:t>by</w:t>
      </w:r>
      <w:r w:rsidR="006E61D2" w:rsidRPr="00143FA5">
        <w:t xml:space="preserve"> sprayer type, </w:t>
      </w:r>
      <w:r w:rsidR="006E61D2">
        <w:t xml:space="preserve">adjusting for </w:t>
      </w:r>
      <w:r w:rsidR="006E61D2" w:rsidRPr="00143FA5">
        <w:t>sampling height and wind speed</w:t>
      </w:r>
      <w:r w:rsidR="006E61D2">
        <w:t>.</w:t>
      </w:r>
    </w:p>
    <w:tbl>
      <w:tblPr>
        <w:tblW w:w="216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7E0" w:firstRow="1" w:lastRow="1" w:firstColumn="1" w:lastColumn="1" w:noHBand="1" w:noVBand="1"/>
      </w:tblPr>
      <w:tblGrid>
        <w:gridCol w:w="1765"/>
        <w:gridCol w:w="2284"/>
      </w:tblGrid>
      <w:tr w:rsidR="006E61D2" w:rsidRPr="00143FA5" w14:paraId="0FF4A082" w14:textId="77777777" w:rsidTr="003A6BE0">
        <w:trPr>
          <w:trHeight w:val="406"/>
          <w:jc w:val="center"/>
        </w:trPr>
        <w:tc>
          <w:tcPr>
            <w:tcW w:w="2180" w:type="pct"/>
            <w:tcBorders>
              <w:bottom w:val="single" w:sz="4" w:space="0" w:color="auto"/>
            </w:tcBorders>
            <w:vAlign w:val="center"/>
          </w:tcPr>
          <w:p w14:paraId="561B5A22" w14:textId="77777777" w:rsidR="006E61D2" w:rsidRPr="00143FA5" w:rsidRDefault="006E61D2" w:rsidP="003A6BE0">
            <w:pPr>
              <w:jc w:val="center"/>
              <w:rPr>
                <w:sz w:val="22"/>
                <w:szCs w:val="22"/>
              </w:rPr>
            </w:pPr>
            <w:r w:rsidRPr="00143FA5">
              <w:rPr>
                <w:sz w:val="22"/>
                <w:szCs w:val="22"/>
              </w:rPr>
              <w:t>Covariate</w:t>
            </w:r>
          </w:p>
        </w:tc>
        <w:tc>
          <w:tcPr>
            <w:tcW w:w="2820" w:type="pct"/>
            <w:tcBorders>
              <w:bottom w:val="single" w:sz="4" w:space="0" w:color="auto"/>
            </w:tcBorders>
            <w:vAlign w:val="bottom"/>
          </w:tcPr>
          <w:p w14:paraId="725DB4F9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FA5">
              <w:rPr>
                <w:rFonts w:ascii="Times New Roman" w:hAnsi="Times New Roman" w:cs="Times New Roman"/>
                <w:sz w:val="22"/>
                <w:szCs w:val="22"/>
              </w:rPr>
              <w:t>Coefficient (95% CI)</w:t>
            </w:r>
          </w:p>
        </w:tc>
      </w:tr>
      <w:tr w:rsidR="006E61D2" w:rsidRPr="00143FA5" w14:paraId="0BC05824" w14:textId="77777777" w:rsidTr="003A6BE0">
        <w:trPr>
          <w:trHeight w:val="559"/>
          <w:jc w:val="center"/>
        </w:trPr>
        <w:tc>
          <w:tcPr>
            <w:tcW w:w="2180" w:type="pct"/>
            <w:tcBorders>
              <w:top w:val="single" w:sz="4" w:space="0" w:color="auto"/>
              <w:bottom w:val="nil"/>
            </w:tcBorders>
            <w:vAlign w:val="center"/>
          </w:tcPr>
          <w:p w14:paraId="36BE4C01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FA5">
              <w:rPr>
                <w:rFonts w:ascii="Times New Roman" w:hAnsi="Times New Roman" w:cs="Times New Roman"/>
                <w:sz w:val="22"/>
                <w:szCs w:val="22"/>
              </w:rPr>
              <w:t>(Intercept)</w:t>
            </w:r>
          </w:p>
        </w:tc>
        <w:tc>
          <w:tcPr>
            <w:tcW w:w="2820" w:type="pct"/>
            <w:tcBorders>
              <w:top w:val="single" w:sz="4" w:space="0" w:color="auto"/>
              <w:bottom w:val="nil"/>
            </w:tcBorders>
            <w:vAlign w:val="center"/>
          </w:tcPr>
          <w:p w14:paraId="3D76A5B8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14.7 (12.7, 17.3)</w:t>
            </w:r>
          </w:p>
        </w:tc>
      </w:tr>
      <w:tr w:rsidR="006E61D2" w:rsidRPr="00143FA5" w14:paraId="514D9916" w14:textId="77777777" w:rsidTr="003A6BE0">
        <w:trPr>
          <w:trHeight w:val="559"/>
          <w:jc w:val="center"/>
        </w:trPr>
        <w:tc>
          <w:tcPr>
            <w:tcW w:w="2180" w:type="pct"/>
            <w:tcBorders>
              <w:top w:val="nil"/>
              <w:bottom w:val="nil"/>
            </w:tcBorders>
            <w:vAlign w:val="center"/>
          </w:tcPr>
          <w:p w14:paraId="6D021DD0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FA5">
              <w:rPr>
                <w:rFonts w:ascii="Times New Roman" w:hAnsi="Times New Roman" w:cs="Times New Roman"/>
                <w:sz w:val="22"/>
                <w:szCs w:val="22"/>
              </w:rPr>
              <w:t>AFA Sprayer</w:t>
            </w:r>
          </w:p>
        </w:tc>
        <w:tc>
          <w:tcPr>
            <w:tcW w:w="2820" w:type="pct"/>
            <w:tcBorders>
              <w:top w:val="nil"/>
              <w:bottom w:val="nil"/>
            </w:tcBorders>
            <w:vAlign w:val="center"/>
          </w:tcPr>
          <w:p w14:paraId="053EB25F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24.5 (20.4, 28.6) </w:t>
            </w:r>
          </w:p>
        </w:tc>
      </w:tr>
      <w:tr w:rsidR="006E61D2" w:rsidRPr="00143FA5" w14:paraId="2CF2231C" w14:textId="77777777" w:rsidTr="003A6BE0">
        <w:trPr>
          <w:trHeight w:val="559"/>
          <w:jc w:val="center"/>
        </w:trPr>
        <w:tc>
          <w:tcPr>
            <w:tcW w:w="2180" w:type="pct"/>
            <w:tcBorders>
              <w:top w:val="nil"/>
              <w:bottom w:val="nil"/>
            </w:tcBorders>
            <w:vAlign w:val="center"/>
          </w:tcPr>
          <w:p w14:paraId="28F6D223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FA5">
              <w:rPr>
                <w:rFonts w:ascii="Times New Roman" w:hAnsi="Times New Roman" w:cs="Times New Roman"/>
                <w:sz w:val="22"/>
                <w:szCs w:val="22"/>
              </w:rPr>
              <w:t>DAT Sprayer</w:t>
            </w:r>
          </w:p>
        </w:tc>
        <w:tc>
          <w:tcPr>
            <w:tcW w:w="2820" w:type="pct"/>
            <w:tcBorders>
              <w:top w:val="nil"/>
              <w:bottom w:val="nil"/>
            </w:tcBorders>
            <w:vAlign w:val="center"/>
          </w:tcPr>
          <w:p w14:paraId="1FE846D5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19.8 (16.2, 22.8)</w:t>
            </w:r>
          </w:p>
        </w:tc>
      </w:tr>
      <w:tr w:rsidR="006E61D2" w:rsidRPr="00143FA5" w14:paraId="00FCA01A" w14:textId="77777777" w:rsidTr="003A6BE0">
        <w:trPr>
          <w:trHeight w:val="559"/>
          <w:jc w:val="center"/>
        </w:trPr>
        <w:tc>
          <w:tcPr>
            <w:tcW w:w="2180" w:type="pct"/>
            <w:tcBorders>
              <w:top w:val="nil"/>
              <w:bottom w:val="nil"/>
            </w:tcBorders>
            <w:vAlign w:val="center"/>
          </w:tcPr>
          <w:p w14:paraId="6039B8D2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FA5">
              <w:rPr>
                <w:rFonts w:ascii="Times New Roman" w:hAnsi="Times New Roman" w:cs="Times New Roman"/>
                <w:sz w:val="22"/>
                <w:szCs w:val="22"/>
              </w:rPr>
              <w:t>MFT Sprayer</w:t>
            </w:r>
          </w:p>
        </w:tc>
        <w:tc>
          <w:tcPr>
            <w:tcW w:w="2820" w:type="pct"/>
            <w:tcBorders>
              <w:top w:val="nil"/>
              <w:bottom w:val="nil"/>
            </w:tcBorders>
            <w:vAlign w:val="center"/>
          </w:tcPr>
          <w:p w14:paraId="21742D5A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6.9 (5.5, 8.4)</w:t>
            </w:r>
          </w:p>
        </w:tc>
      </w:tr>
      <w:tr w:rsidR="006E61D2" w:rsidRPr="00143FA5" w14:paraId="36C2331F" w14:textId="77777777" w:rsidTr="003A6BE0">
        <w:trPr>
          <w:trHeight w:val="559"/>
          <w:jc w:val="center"/>
        </w:trPr>
        <w:tc>
          <w:tcPr>
            <w:tcW w:w="2180" w:type="pct"/>
            <w:tcBorders>
              <w:top w:val="nil"/>
              <w:bottom w:val="nil"/>
            </w:tcBorders>
            <w:vAlign w:val="center"/>
          </w:tcPr>
          <w:p w14:paraId="7696C714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Above</w:t>
            </w:r>
            <w:r w:rsidRPr="00143FA5">
              <w:rPr>
                <w:rFonts w:ascii="Times New Roman" w:hAnsi="Times New Roman" w:cs="Times New Roman"/>
                <w:sz w:val="22"/>
                <w:szCs w:val="22"/>
              </w:rPr>
              <w:t xml:space="preserve"> Canopy</w:t>
            </w:r>
          </w:p>
        </w:tc>
        <w:tc>
          <w:tcPr>
            <w:tcW w:w="2820" w:type="pct"/>
            <w:tcBorders>
              <w:top w:val="nil"/>
              <w:bottom w:val="nil"/>
            </w:tcBorders>
            <w:vAlign w:val="center"/>
          </w:tcPr>
          <w:p w14:paraId="11604EF8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-3.0 (-4.5, -1.6)</w:t>
            </w:r>
          </w:p>
        </w:tc>
      </w:tr>
      <w:tr w:rsidR="006E61D2" w:rsidRPr="00143FA5" w14:paraId="65CE6C3C" w14:textId="77777777" w:rsidTr="003A6BE0">
        <w:trPr>
          <w:trHeight w:val="559"/>
          <w:jc w:val="center"/>
        </w:trPr>
        <w:tc>
          <w:tcPr>
            <w:tcW w:w="2180" w:type="pct"/>
            <w:tcBorders>
              <w:top w:val="nil"/>
              <w:bottom w:val="single" w:sz="4" w:space="0" w:color="auto"/>
            </w:tcBorders>
            <w:vAlign w:val="center"/>
          </w:tcPr>
          <w:p w14:paraId="532FFA7C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3FA5">
              <w:rPr>
                <w:rFonts w:ascii="Times New Roman" w:hAnsi="Times New Roman" w:cs="Times New Roman"/>
                <w:sz w:val="22"/>
                <w:szCs w:val="22"/>
              </w:rPr>
              <w:t>Wind (m/s)</w:t>
            </w:r>
          </w:p>
        </w:tc>
        <w:tc>
          <w:tcPr>
            <w:tcW w:w="2820" w:type="pct"/>
            <w:tcBorders>
              <w:top w:val="nil"/>
              <w:bottom w:val="single" w:sz="4" w:space="0" w:color="auto"/>
            </w:tcBorders>
            <w:vAlign w:val="center"/>
          </w:tcPr>
          <w:p w14:paraId="72A95929" w14:textId="77777777" w:rsidR="006E61D2" w:rsidRPr="00143FA5" w:rsidRDefault="006E61D2" w:rsidP="003A6BE0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-1.9 (-2.5, -1.4)</w:t>
            </w:r>
          </w:p>
        </w:tc>
      </w:tr>
    </w:tbl>
    <w:p w14:paraId="3B1B1AD4" w14:textId="77777777" w:rsidR="006E61D2" w:rsidRPr="00287378" w:rsidRDefault="006E61D2" w:rsidP="006E61D2">
      <w:r w:rsidRPr="00603625">
        <w:rPr>
          <w:sz w:val="22"/>
          <w:szCs w:val="22"/>
        </w:rPr>
        <w:t>Note: Results are based on 2,927 one-minute spray event and 849 one-minute control observations</w:t>
      </w:r>
      <w:r>
        <w:rPr>
          <w:sz w:val="22"/>
          <w:szCs w:val="22"/>
        </w:rPr>
        <w:t>.</w:t>
      </w:r>
      <w:r w:rsidRPr="00603625">
        <w:rPr>
          <w:sz w:val="22"/>
          <w:szCs w:val="22"/>
        </w:rPr>
        <w:t xml:space="preserve"> </w:t>
      </w:r>
      <w:r w:rsidRPr="006D37EC">
        <w:rPr>
          <w:sz w:val="22"/>
          <w:szCs w:val="22"/>
        </w:rPr>
        <w:t xml:space="preserve">The intercept represents the background PMC level at a sampling height </w:t>
      </w:r>
      <w:r>
        <w:rPr>
          <w:sz w:val="22"/>
          <w:szCs w:val="22"/>
        </w:rPr>
        <w:t>below</w:t>
      </w:r>
      <w:r w:rsidRPr="006D37EC">
        <w:rPr>
          <w:sz w:val="22"/>
          <w:szCs w:val="22"/>
        </w:rPr>
        <w:t xml:space="preserve"> the canopy with no wind</w:t>
      </w:r>
      <w:r w:rsidRPr="0053761F">
        <w:rPr>
          <w:sz w:val="22"/>
          <w:szCs w:val="22"/>
        </w:rPr>
        <w:t>. All covariates were statistically significant.</w:t>
      </w:r>
    </w:p>
    <w:p w14:paraId="3B5F4990" w14:textId="77777777" w:rsidR="003A6BE0" w:rsidRDefault="003A6BE0"/>
    <w:sectPr w:rsidR="003A6BE0" w:rsidSect="0085109A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DA56E" w14:textId="77777777" w:rsidR="0014099D" w:rsidRDefault="0014099D">
      <w:r>
        <w:separator/>
      </w:r>
    </w:p>
  </w:endnote>
  <w:endnote w:type="continuationSeparator" w:id="0">
    <w:p w14:paraId="526B9DDA" w14:textId="77777777" w:rsidR="0014099D" w:rsidRDefault="0014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8498" w14:textId="77777777" w:rsidR="003A6BE0" w:rsidRDefault="003A2955" w:rsidP="003A6BE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48B51" w14:textId="77777777" w:rsidR="003A6BE0" w:rsidRDefault="003A6BE0" w:rsidP="003A6B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8E2DD" w14:textId="77777777" w:rsidR="003A6BE0" w:rsidRDefault="003A2955" w:rsidP="003A6BE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9542289" w14:textId="77777777" w:rsidR="003A6BE0" w:rsidRDefault="003A6BE0" w:rsidP="003A6B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E88B8" w14:textId="77777777" w:rsidR="0014099D" w:rsidRDefault="0014099D">
      <w:r>
        <w:separator/>
      </w:r>
    </w:p>
  </w:footnote>
  <w:footnote w:type="continuationSeparator" w:id="0">
    <w:p w14:paraId="4B3751C3" w14:textId="77777777" w:rsidR="0014099D" w:rsidRDefault="0014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FF90E" w14:textId="055D3D42" w:rsidR="003A6BE0" w:rsidRPr="00006D2D" w:rsidRDefault="003A6BE0" w:rsidP="003A6BE0">
    <w:pPr>
      <w:widowControl w:val="0"/>
      <w:autoSpaceDE w:val="0"/>
      <w:autoSpaceDN w:val="0"/>
      <w:adjustRightInd w:val="0"/>
      <w:spacing w:after="240"/>
      <w:rPr>
        <w:rFonts w:ascii="Calibri" w:hAnsi="Calibri" w:cs="Times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1D"/>
    <w:rsid w:val="0000045B"/>
    <w:rsid w:val="000376CB"/>
    <w:rsid w:val="0005382B"/>
    <w:rsid w:val="00082161"/>
    <w:rsid w:val="000A7128"/>
    <w:rsid w:val="000B7C8F"/>
    <w:rsid w:val="000E5127"/>
    <w:rsid w:val="000F4D82"/>
    <w:rsid w:val="001121D8"/>
    <w:rsid w:val="001124FC"/>
    <w:rsid w:val="00123ED4"/>
    <w:rsid w:val="0014099D"/>
    <w:rsid w:val="00163614"/>
    <w:rsid w:val="00196ABD"/>
    <w:rsid w:val="001A15BF"/>
    <w:rsid w:val="001B2217"/>
    <w:rsid w:val="001B4160"/>
    <w:rsid w:val="001D7AEC"/>
    <w:rsid w:val="00222DCA"/>
    <w:rsid w:val="002B2B85"/>
    <w:rsid w:val="002E6735"/>
    <w:rsid w:val="0030380A"/>
    <w:rsid w:val="003703EB"/>
    <w:rsid w:val="00382978"/>
    <w:rsid w:val="003A2572"/>
    <w:rsid w:val="003A2955"/>
    <w:rsid w:val="003A6BE0"/>
    <w:rsid w:val="003B5877"/>
    <w:rsid w:val="003D0513"/>
    <w:rsid w:val="00416DE1"/>
    <w:rsid w:val="00451D5F"/>
    <w:rsid w:val="00463DBD"/>
    <w:rsid w:val="00471797"/>
    <w:rsid w:val="004A508F"/>
    <w:rsid w:val="0052621F"/>
    <w:rsid w:val="005B03E5"/>
    <w:rsid w:val="005B399A"/>
    <w:rsid w:val="005D2A35"/>
    <w:rsid w:val="006207EA"/>
    <w:rsid w:val="00625EEC"/>
    <w:rsid w:val="00632629"/>
    <w:rsid w:val="00661CDC"/>
    <w:rsid w:val="00675875"/>
    <w:rsid w:val="006A7980"/>
    <w:rsid w:val="006E61D2"/>
    <w:rsid w:val="006E6D53"/>
    <w:rsid w:val="007172DA"/>
    <w:rsid w:val="007A1AF1"/>
    <w:rsid w:val="007A4266"/>
    <w:rsid w:val="007B651D"/>
    <w:rsid w:val="007C0EA8"/>
    <w:rsid w:val="007C702C"/>
    <w:rsid w:val="007F5CE5"/>
    <w:rsid w:val="00815ED3"/>
    <w:rsid w:val="00831419"/>
    <w:rsid w:val="008359EE"/>
    <w:rsid w:val="0085109A"/>
    <w:rsid w:val="0086071A"/>
    <w:rsid w:val="00876634"/>
    <w:rsid w:val="00877345"/>
    <w:rsid w:val="008A6730"/>
    <w:rsid w:val="008D2D32"/>
    <w:rsid w:val="008D6B1E"/>
    <w:rsid w:val="008D73C2"/>
    <w:rsid w:val="009052A8"/>
    <w:rsid w:val="00920389"/>
    <w:rsid w:val="00952E6E"/>
    <w:rsid w:val="0095436E"/>
    <w:rsid w:val="00966F73"/>
    <w:rsid w:val="00967B1C"/>
    <w:rsid w:val="00992F43"/>
    <w:rsid w:val="009F6843"/>
    <w:rsid w:val="00A07043"/>
    <w:rsid w:val="00A342F0"/>
    <w:rsid w:val="00A51494"/>
    <w:rsid w:val="00A61934"/>
    <w:rsid w:val="00A84AB2"/>
    <w:rsid w:val="00AC3AB7"/>
    <w:rsid w:val="00AC6ACC"/>
    <w:rsid w:val="00AD6D4D"/>
    <w:rsid w:val="00AF1480"/>
    <w:rsid w:val="00B059FE"/>
    <w:rsid w:val="00B07539"/>
    <w:rsid w:val="00B51DB4"/>
    <w:rsid w:val="00B755EC"/>
    <w:rsid w:val="00B87DB9"/>
    <w:rsid w:val="00BA4CC2"/>
    <w:rsid w:val="00BC13BC"/>
    <w:rsid w:val="00BC5E5A"/>
    <w:rsid w:val="00BF7D4E"/>
    <w:rsid w:val="00C22E3D"/>
    <w:rsid w:val="00C335D2"/>
    <w:rsid w:val="00C64E93"/>
    <w:rsid w:val="00C662E8"/>
    <w:rsid w:val="00CA3C5B"/>
    <w:rsid w:val="00CA4421"/>
    <w:rsid w:val="00CF061A"/>
    <w:rsid w:val="00D02A83"/>
    <w:rsid w:val="00D23BC9"/>
    <w:rsid w:val="00D31A06"/>
    <w:rsid w:val="00D35132"/>
    <w:rsid w:val="00D376C7"/>
    <w:rsid w:val="00D44287"/>
    <w:rsid w:val="00D8160D"/>
    <w:rsid w:val="00DA192E"/>
    <w:rsid w:val="00DA67BA"/>
    <w:rsid w:val="00DE5AF4"/>
    <w:rsid w:val="00DF0D51"/>
    <w:rsid w:val="00DF3A66"/>
    <w:rsid w:val="00E126D0"/>
    <w:rsid w:val="00E15B3D"/>
    <w:rsid w:val="00E57047"/>
    <w:rsid w:val="00EA67C5"/>
    <w:rsid w:val="00EC51B1"/>
    <w:rsid w:val="00ED33E3"/>
    <w:rsid w:val="00F32F0B"/>
    <w:rsid w:val="00F43671"/>
    <w:rsid w:val="00F75F51"/>
    <w:rsid w:val="00F80E41"/>
    <w:rsid w:val="00F92D3A"/>
    <w:rsid w:val="00FA2A5C"/>
    <w:rsid w:val="00FB26EF"/>
    <w:rsid w:val="00FC31BD"/>
    <w:rsid w:val="00FC755D"/>
    <w:rsid w:val="00FD4F7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568EA"/>
  <w15:chartTrackingRefBased/>
  <w15:docId w15:val="{1207453D-31AE-5D4C-B6C2-AC20464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149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A51494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A51494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A51494"/>
  </w:style>
  <w:style w:type="paragraph" w:styleId="Footer">
    <w:name w:val="footer"/>
    <w:basedOn w:val="Normal"/>
    <w:link w:val="FooterChar"/>
    <w:uiPriority w:val="99"/>
    <w:unhideWhenUsed/>
    <w:rsid w:val="00A514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1494"/>
  </w:style>
  <w:style w:type="character" w:styleId="PageNumber">
    <w:name w:val="page number"/>
    <w:basedOn w:val="DefaultParagraphFont"/>
    <w:uiPriority w:val="99"/>
    <w:semiHidden/>
    <w:unhideWhenUsed/>
    <w:rsid w:val="00A51494"/>
  </w:style>
  <w:style w:type="paragraph" w:styleId="BalloonText">
    <w:name w:val="Balloon Text"/>
    <w:basedOn w:val="Normal"/>
    <w:link w:val="BalloonTextChar"/>
    <w:uiPriority w:val="99"/>
    <w:semiHidden/>
    <w:unhideWhenUsed/>
    <w:rsid w:val="00A514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94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61D2"/>
    <w:rPr>
      <w:color w:val="0563C1" w:themeColor="hyperlink"/>
      <w:u w:val="single"/>
    </w:rPr>
  </w:style>
  <w:style w:type="paragraph" w:customStyle="1" w:styleId="Compact">
    <w:name w:val="Compact"/>
    <w:basedOn w:val="BodyText"/>
    <w:qFormat/>
    <w:rsid w:val="006E61D2"/>
    <w:pPr>
      <w:spacing w:before="36" w:after="36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6E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E61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61D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6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1D2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link w:val="CaptionChar"/>
    <w:unhideWhenUsed/>
    <w:qFormat/>
    <w:rsid w:val="00FC755D"/>
    <w:pPr>
      <w:spacing w:after="200"/>
    </w:pPr>
    <w:rPr>
      <w:rFonts w:eastAsiaTheme="minorHAnsi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FC755D"/>
    <w:rPr>
      <w:rFonts w:ascii="Times New Roman" w:hAnsi="Times New Roman" w:cs="Times New Roman"/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ali@uw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N. Blanco</dc:creator>
  <cp:keywords/>
  <dc:description/>
  <cp:lastModifiedBy>Magali N. Blanco</cp:lastModifiedBy>
  <cp:revision>3</cp:revision>
  <dcterms:created xsi:type="dcterms:W3CDTF">2019-01-21T23:14:00Z</dcterms:created>
  <dcterms:modified xsi:type="dcterms:W3CDTF">2019-01-21T23:15:00Z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zotero-version="5.0.58"&gt;&lt;session id="5EjAcxcb"/&gt;&lt;style id="http://www.zotero.org/styles/environmental-health-perspectives" hasBibliography="1" bibliographyStyleHasBeenSet="0"/&gt;&lt;prefs&gt;&lt;pref name="fieldType" value="Field"/&gt;&lt;pref name=</vt:lpwstr>
  </property>
  <property fmtid="{D5CDD505-2E9C-101B-9397-08002B2CF9AE}" pid="3" name="ZOTERO_PREF_2">
    <vt:lpwstr>"automaticJournalAbbreviations" value="true"/&gt;&lt;/prefs&gt;&lt;/data&gt;</vt:lpwstr>
  </property>
</Properties>
</file>