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B0" w:rsidRPr="006C45B7" w:rsidRDefault="006646B0" w:rsidP="006646B0">
      <w:pPr>
        <w:rPr>
          <w:b/>
        </w:rPr>
      </w:pPr>
      <w:r w:rsidRPr="006C45B7">
        <w:rPr>
          <w:rFonts w:cs="Arial"/>
          <w:b/>
        </w:rPr>
        <w:t xml:space="preserve">Supplemental Table 1. </w:t>
      </w:r>
      <w:r w:rsidRPr="006C45B7">
        <w:rPr>
          <w:b/>
        </w:rPr>
        <w:t xml:space="preserve">Codes Used to Identify Heart Failure and Comorbidities, </w:t>
      </w:r>
      <w:r w:rsidRPr="006C45B7">
        <w:rPr>
          <w:b/>
          <w:bCs/>
          <w:color w:val="000000"/>
        </w:rPr>
        <w:t xml:space="preserve">Nationwide Emergency Department Sample, National (Nationwide) Inpatient Sample and National Vital Statistics System, </w:t>
      </w:r>
      <w:r w:rsidRPr="006C45B7">
        <w:rPr>
          <w:b/>
        </w:rPr>
        <w:t>2006-2014</w:t>
      </w:r>
    </w:p>
    <w:p w:rsidR="006646B0" w:rsidRPr="00073182" w:rsidRDefault="006646B0" w:rsidP="006646B0">
      <w:pPr>
        <w:pStyle w:val="PlainText"/>
        <w:rPr>
          <w:rFonts w:asciiTheme="minorHAnsi" w:hAnsiTheme="minorHAnsi"/>
          <w:bCs/>
          <w:sz w:val="24"/>
          <w:szCs w:val="24"/>
        </w:rPr>
      </w:pPr>
    </w:p>
    <w:tbl>
      <w:tblPr>
        <w:tblW w:w="547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611"/>
        <w:gridCol w:w="3960"/>
      </w:tblGrid>
      <w:tr w:rsidR="006646B0" w:rsidRPr="001110D2" w:rsidTr="00C94987">
        <w:trPr>
          <w:trHeight w:val="432"/>
        </w:trPr>
        <w:tc>
          <w:tcPr>
            <w:tcW w:w="1523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Outcome</w:t>
            </w:r>
          </w:p>
        </w:tc>
        <w:tc>
          <w:tcPr>
            <w:tcW w:w="1381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ICD9-CM or CCS codes for NIS and NEDS</w:t>
            </w:r>
          </w:p>
        </w:tc>
        <w:tc>
          <w:tcPr>
            <w:tcW w:w="2095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ICD 10 for NVSS</w:t>
            </w:r>
          </w:p>
        </w:tc>
      </w:tr>
      <w:tr w:rsidR="006646B0" w:rsidRPr="001110D2" w:rsidTr="00C94987">
        <w:trPr>
          <w:trHeight w:val="432"/>
        </w:trPr>
        <w:tc>
          <w:tcPr>
            <w:tcW w:w="1523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Heart failure</w:t>
            </w:r>
          </w:p>
        </w:tc>
        <w:tc>
          <w:tcPr>
            <w:tcW w:w="1381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428, 402.01, 402.11, 402.91, 404.11, 404.13, 404.91, 404.93</w:t>
            </w:r>
          </w:p>
        </w:tc>
        <w:tc>
          <w:tcPr>
            <w:tcW w:w="2095" w:type="pct"/>
            <w:vAlign w:val="center"/>
          </w:tcPr>
          <w:p w:rsidR="006646B0" w:rsidRPr="001110D2" w:rsidRDefault="006646B0" w:rsidP="00C94987">
            <w:pPr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I50, I11.0, I13.0, I13.2</w:t>
            </w:r>
          </w:p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</w:p>
        </w:tc>
      </w:tr>
      <w:tr w:rsidR="006646B0" w:rsidRPr="001110D2" w:rsidTr="00C94987">
        <w:trPr>
          <w:trHeight w:val="432"/>
        </w:trPr>
        <w:tc>
          <w:tcPr>
            <w:tcW w:w="1523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Asthma</w:t>
            </w:r>
          </w:p>
        </w:tc>
        <w:tc>
          <w:tcPr>
            <w:tcW w:w="1381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CCS=128</w:t>
            </w:r>
          </w:p>
        </w:tc>
        <w:tc>
          <w:tcPr>
            <w:tcW w:w="2095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J45, J46</w:t>
            </w:r>
          </w:p>
        </w:tc>
      </w:tr>
      <w:tr w:rsidR="006646B0" w:rsidRPr="001110D2" w:rsidTr="00C94987">
        <w:trPr>
          <w:trHeight w:val="432"/>
        </w:trPr>
        <w:tc>
          <w:tcPr>
            <w:tcW w:w="1523" w:type="pct"/>
            <w:vAlign w:val="center"/>
          </w:tcPr>
          <w:p w:rsidR="006646B0" w:rsidRPr="001110D2" w:rsidRDefault="00C26B7E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Atrial fibrillation/flu</w:t>
            </w:r>
            <w:r w:rsidR="006646B0" w:rsidRPr="001110D2">
              <w:rPr>
                <w:rFonts w:cstheme="minorHAnsi"/>
                <w:sz w:val="20"/>
                <w:szCs w:val="20"/>
              </w:rPr>
              <w:t>tter</w:t>
            </w:r>
          </w:p>
        </w:tc>
        <w:tc>
          <w:tcPr>
            <w:tcW w:w="1381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ICD9=427</w:t>
            </w:r>
            <w:r w:rsidR="00897476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95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I48</w:t>
            </w:r>
          </w:p>
        </w:tc>
      </w:tr>
      <w:tr w:rsidR="006646B0" w:rsidRPr="001110D2" w:rsidTr="00C94987">
        <w:trPr>
          <w:trHeight w:val="432"/>
        </w:trPr>
        <w:tc>
          <w:tcPr>
            <w:tcW w:w="1523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Chronic kidney disease (CKD)</w:t>
            </w:r>
          </w:p>
        </w:tc>
        <w:tc>
          <w:tcPr>
            <w:tcW w:w="1381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>CCS=158</w:t>
            </w:r>
          </w:p>
        </w:tc>
        <w:tc>
          <w:tcPr>
            <w:tcW w:w="2095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>N18, Y84.1</w:t>
            </w:r>
          </w:p>
        </w:tc>
      </w:tr>
      <w:tr w:rsidR="006646B0" w:rsidRPr="001110D2" w:rsidTr="00C94987">
        <w:trPr>
          <w:trHeight w:val="432"/>
        </w:trPr>
        <w:tc>
          <w:tcPr>
            <w:tcW w:w="1523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C</w:t>
            </w:r>
            <w:r w:rsidR="00C50E37">
              <w:rPr>
                <w:rFonts w:cstheme="minorHAnsi"/>
                <w:sz w:val="20"/>
                <w:szCs w:val="20"/>
              </w:rPr>
              <w:t>hronic obstructive pulmonary disease (C</w:t>
            </w:r>
            <w:r w:rsidRPr="001110D2">
              <w:rPr>
                <w:rFonts w:cstheme="minorHAnsi"/>
                <w:sz w:val="20"/>
                <w:szCs w:val="20"/>
              </w:rPr>
              <w:t>OPD</w:t>
            </w:r>
            <w:r w:rsidR="00C50E3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81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>CCS=127</w:t>
            </w:r>
          </w:p>
        </w:tc>
        <w:tc>
          <w:tcPr>
            <w:tcW w:w="2095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>J40, J41, J42, J43, J44, J47</w:t>
            </w:r>
          </w:p>
        </w:tc>
      </w:tr>
      <w:tr w:rsidR="006646B0" w:rsidRPr="001110D2" w:rsidTr="00C94987">
        <w:trPr>
          <w:trHeight w:val="432"/>
        </w:trPr>
        <w:tc>
          <w:tcPr>
            <w:tcW w:w="1523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Depression</w:t>
            </w:r>
          </w:p>
        </w:tc>
        <w:tc>
          <w:tcPr>
            <w:tcW w:w="1381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>ICD 9 in (296, 298</w:t>
            </w:r>
            <w:r w:rsidR="00897476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>0, 311, 301</w:t>
            </w:r>
            <w:r w:rsidR="00897476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>12)</w:t>
            </w:r>
          </w:p>
        </w:tc>
        <w:tc>
          <w:tcPr>
            <w:tcW w:w="2095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>F32, F33, F34</w:t>
            </w:r>
            <w:r w:rsidR="00C94987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6646B0" w:rsidRPr="001110D2" w:rsidTr="00C94987">
        <w:trPr>
          <w:trHeight w:val="432"/>
        </w:trPr>
        <w:tc>
          <w:tcPr>
            <w:tcW w:w="1523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Dementia or Alzheimer’s</w:t>
            </w:r>
          </w:p>
        </w:tc>
        <w:tc>
          <w:tcPr>
            <w:tcW w:w="1381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>CCS=653</w:t>
            </w:r>
          </w:p>
        </w:tc>
        <w:tc>
          <w:tcPr>
            <w:tcW w:w="2095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>F01, F03, F04, F05, F07, F09, G30, G31, R54</w:t>
            </w:r>
          </w:p>
        </w:tc>
      </w:tr>
      <w:tr w:rsidR="006646B0" w:rsidRPr="001110D2" w:rsidTr="00C94987">
        <w:trPr>
          <w:trHeight w:val="432"/>
        </w:trPr>
        <w:tc>
          <w:tcPr>
            <w:tcW w:w="1523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Diabetes</w:t>
            </w:r>
          </w:p>
        </w:tc>
        <w:tc>
          <w:tcPr>
            <w:tcW w:w="1381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>CCS in (49,50)</w:t>
            </w:r>
          </w:p>
        </w:tc>
        <w:tc>
          <w:tcPr>
            <w:tcW w:w="2095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>E10-E14, R73.0, R73.9, R81, R82.4, Y42.3</w:t>
            </w:r>
          </w:p>
        </w:tc>
      </w:tr>
      <w:tr w:rsidR="006646B0" w:rsidRPr="001110D2" w:rsidTr="00C94987">
        <w:trPr>
          <w:trHeight w:val="432"/>
        </w:trPr>
        <w:tc>
          <w:tcPr>
            <w:tcW w:w="1523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Hypertension</w:t>
            </w:r>
          </w:p>
        </w:tc>
        <w:tc>
          <w:tcPr>
            <w:tcW w:w="1381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CCS in (98,99) and excluded </w:t>
            </w:r>
            <w:r w:rsidRPr="001110D2">
              <w:rPr>
                <w:rFonts w:cstheme="minorHAnsi"/>
                <w:sz w:val="20"/>
                <w:szCs w:val="20"/>
              </w:rPr>
              <w:t>ICD 9 in (402.01, 402.11, 402.91, 404.11, 404.13, 404.91, 404.93)</w:t>
            </w:r>
          </w:p>
        </w:tc>
        <w:tc>
          <w:tcPr>
            <w:tcW w:w="2095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I10, I11.9, I12, </w:t>
            </w:r>
            <w:r w:rsidRPr="001110D2">
              <w:rPr>
                <w:rFonts w:cstheme="minorHAnsi"/>
                <w:sz w:val="20"/>
                <w:szCs w:val="20"/>
              </w:rPr>
              <w:t xml:space="preserve">I13.1, I13.9, </w:t>
            </w:r>
            <w:r w:rsidRPr="001110D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I15.0, I15.9, I67.4</w:t>
            </w:r>
          </w:p>
        </w:tc>
      </w:tr>
      <w:tr w:rsidR="006646B0" w:rsidRPr="001110D2" w:rsidTr="00C94987">
        <w:trPr>
          <w:trHeight w:val="432"/>
        </w:trPr>
        <w:tc>
          <w:tcPr>
            <w:tcW w:w="1523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Ischemic heart disease</w:t>
            </w:r>
          </w:p>
        </w:tc>
        <w:tc>
          <w:tcPr>
            <w:tcW w:w="1381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CCS in (100, 101)</w:t>
            </w:r>
          </w:p>
        </w:tc>
        <w:tc>
          <w:tcPr>
            <w:tcW w:w="2095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I20, I21, I22, I24, I25</w:t>
            </w:r>
          </w:p>
        </w:tc>
      </w:tr>
      <w:tr w:rsidR="006646B0" w:rsidRPr="001110D2" w:rsidTr="00C94987">
        <w:trPr>
          <w:trHeight w:val="432"/>
        </w:trPr>
        <w:tc>
          <w:tcPr>
            <w:tcW w:w="1523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Pneumonia</w:t>
            </w:r>
          </w:p>
        </w:tc>
        <w:tc>
          <w:tcPr>
            <w:tcW w:w="1381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CCS=122</w:t>
            </w:r>
          </w:p>
        </w:tc>
        <w:tc>
          <w:tcPr>
            <w:tcW w:w="2095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A20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2, A21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2, A22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1, A31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0, A43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0, A48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1,  B01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2, B05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2, B25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0, B37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1, B38, B39, B58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3, B59, J12, J13, J14, J15, J16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0, J16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8, J18, J85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1, J11</w:t>
            </w:r>
            <w:r w:rsidR="001F0F8E">
              <w:rPr>
                <w:rFonts w:cstheme="minorHAnsi"/>
                <w:sz w:val="20"/>
                <w:szCs w:val="20"/>
              </w:rPr>
              <w:t>.</w:t>
            </w:r>
            <w:r w:rsidRPr="001110D2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646B0" w:rsidRPr="001110D2" w:rsidTr="00C94987">
        <w:trPr>
          <w:trHeight w:val="432"/>
        </w:trPr>
        <w:tc>
          <w:tcPr>
            <w:tcW w:w="1523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Cerebrovascular disease (stroke)</w:t>
            </w:r>
            <w:bookmarkStart w:id="0" w:name="_GoBack"/>
            <w:bookmarkEnd w:id="0"/>
          </w:p>
        </w:tc>
        <w:tc>
          <w:tcPr>
            <w:tcW w:w="1381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CCS=109</w:t>
            </w:r>
          </w:p>
        </w:tc>
        <w:tc>
          <w:tcPr>
            <w:tcW w:w="2095" w:type="pct"/>
            <w:vAlign w:val="center"/>
          </w:tcPr>
          <w:p w:rsidR="006646B0" w:rsidRPr="001110D2" w:rsidRDefault="006646B0" w:rsidP="00C94987">
            <w:pPr>
              <w:adjustRightInd w:val="0"/>
              <w:spacing w:before="10" w:after="10"/>
              <w:rPr>
                <w:rFonts w:cstheme="minorHAnsi"/>
                <w:sz w:val="20"/>
                <w:szCs w:val="20"/>
              </w:rPr>
            </w:pPr>
            <w:r w:rsidRPr="001110D2">
              <w:rPr>
                <w:rFonts w:cstheme="minorHAnsi"/>
                <w:sz w:val="20"/>
                <w:szCs w:val="20"/>
              </w:rPr>
              <w:t>I60-I64, I69</w:t>
            </w:r>
          </w:p>
        </w:tc>
      </w:tr>
    </w:tbl>
    <w:p w:rsidR="006646B0" w:rsidRDefault="006646B0" w:rsidP="006646B0">
      <w:pPr>
        <w:ind w:left="-810"/>
        <w:rPr>
          <w:rFonts w:ascii="Calibri" w:hAnsi="Calibri" w:cs="Arial"/>
          <w:b/>
        </w:rPr>
      </w:pPr>
    </w:p>
    <w:p w:rsidR="006646B0" w:rsidRDefault="006646B0" w:rsidP="006646B0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:rsidR="006646B0" w:rsidRDefault="006646B0" w:rsidP="006646B0">
      <w:pPr>
        <w:ind w:left="-810"/>
        <w:rPr>
          <w:rFonts w:ascii="Calibri" w:hAnsi="Calibri"/>
          <w:b/>
        </w:rPr>
      </w:pPr>
      <w:r w:rsidRPr="006C45B7">
        <w:rPr>
          <w:rFonts w:ascii="Calibri" w:hAnsi="Calibri" w:cs="Arial"/>
          <w:b/>
        </w:rPr>
        <w:lastRenderedPageBreak/>
        <w:t>Supplemental Table 2:</w:t>
      </w:r>
      <w:r w:rsidRPr="006C45B7">
        <w:rPr>
          <w:rFonts w:ascii="Calibri" w:hAnsi="Calibri"/>
          <w:b/>
        </w:rPr>
        <w:t xml:space="preserve"> Trends in </w:t>
      </w:r>
      <w:r>
        <w:rPr>
          <w:rFonts w:ascii="Calibri" w:hAnsi="Calibri"/>
          <w:b/>
        </w:rPr>
        <w:t>total unique</w:t>
      </w:r>
      <w:r w:rsidRPr="006C45B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acute heart failure </w:t>
      </w:r>
      <w:r w:rsidRPr="006C45B7">
        <w:rPr>
          <w:rFonts w:ascii="Calibri" w:hAnsi="Calibri"/>
          <w:b/>
        </w:rPr>
        <w:t xml:space="preserve">events, by age category and primary or comorbid </w:t>
      </w:r>
      <w:r>
        <w:rPr>
          <w:rFonts w:ascii="Calibri" w:hAnsi="Calibri"/>
          <w:b/>
        </w:rPr>
        <w:t>heart failure</w:t>
      </w:r>
      <w:r w:rsidRPr="006C45B7">
        <w:rPr>
          <w:rFonts w:ascii="Calibri" w:hAnsi="Calibri"/>
          <w:b/>
        </w:rPr>
        <w:t xml:space="preserve">, </w:t>
      </w:r>
      <w:r w:rsidRPr="00FB209C">
        <w:rPr>
          <w:b/>
          <w:bCs/>
          <w:color w:val="000000"/>
        </w:rPr>
        <w:t>Nationwide Emergency Department Sample, National (Nationwide) Inpatient Sample and National Vital Statistics System</w:t>
      </w:r>
      <w:r w:rsidRPr="006C45B7">
        <w:rPr>
          <w:rFonts w:ascii="Calibri" w:hAnsi="Calibri"/>
          <w:b/>
          <w:bCs/>
          <w:color w:val="000000"/>
        </w:rPr>
        <w:t xml:space="preserve">, </w:t>
      </w:r>
      <w:r w:rsidRPr="006C45B7">
        <w:rPr>
          <w:rFonts w:ascii="Calibri" w:hAnsi="Calibri"/>
          <w:b/>
        </w:rPr>
        <w:t>2006-2014*</w:t>
      </w:r>
    </w:p>
    <w:p w:rsidR="006646B0" w:rsidRDefault="006646B0" w:rsidP="006646B0"/>
    <w:tbl>
      <w:tblPr>
        <w:tblStyle w:val="TableGrid24"/>
        <w:tblW w:w="5472" w:type="pct"/>
        <w:tblInd w:w="-815" w:type="dxa"/>
        <w:tblLook w:val="04A0" w:firstRow="1" w:lastRow="0" w:firstColumn="1" w:lastColumn="0" w:noHBand="0" w:noVBand="1"/>
      </w:tblPr>
      <w:tblGrid>
        <w:gridCol w:w="2358"/>
        <w:gridCol w:w="1034"/>
        <w:gridCol w:w="1207"/>
        <w:gridCol w:w="1033"/>
        <w:gridCol w:w="1273"/>
        <w:gridCol w:w="1271"/>
        <w:gridCol w:w="1269"/>
      </w:tblGrid>
      <w:tr w:rsidR="006646B0" w:rsidRPr="00077B54" w:rsidTr="00C94987">
        <w:trPr>
          <w:trHeight w:val="413"/>
        </w:trPr>
        <w:tc>
          <w:tcPr>
            <w:tcW w:w="1248" w:type="pct"/>
            <w:vMerge w:val="restar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86" w:type="pct"/>
            <w:gridSpan w:val="2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  <w:b/>
              </w:rPr>
              <w:t>Primary Heart Failure Events</w:t>
            </w:r>
          </w:p>
        </w:tc>
        <w:tc>
          <w:tcPr>
            <w:tcW w:w="1221" w:type="pct"/>
            <w:gridSpan w:val="2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  <w:b/>
              </w:rPr>
              <w:t>Comorbid Heart Failure Events</w:t>
            </w:r>
          </w:p>
        </w:tc>
        <w:tc>
          <w:tcPr>
            <w:tcW w:w="1345" w:type="pct"/>
            <w:gridSpan w:val="2"/>
          </w:tcPr>
          <w:p w:rsidR="006646B0" w:rsidRPr="00023F4C" w:rsidRDefault="006646B0" w:rsidP="00C94987">
            <w:pPr>
              <w:jc w:val="center"/>
              <w:rPr>
                <w:rFonts w:ascii="Calibri" w:hAnsi="Calibri" w:cs="Calibri"/>
                <w:b/>
              </w:rPr>
            </w:pPr>
            <w:r w:rsidRPr="00023F4C">
              <w:rPr>
                <w:rFonts w:ascii="Calibri" w:hAnsi="Calibri" w:cs="Calibri"/>
                <w:b/>
              </w:rPr>
              <w:t>Primary or Comorbid HF Events</w:t>
            </w:r>
          </w:p>
        </w:tc>
      </w:tr>
      <w:tr w:rsidR="006646B0" w:rsidRPr="00077B54" w:rsidTr="00C94987">
        <w:trPr>
          <w:trHeight w:val="413"/>
        </w:trPr>
        <w:tc>
          <w:tcPr>
            <w:tcW w:w="1248" w:type="pct"/>
            <w:vMerge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  <w:b/>
              </w:rPr>
              <w:t>N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  <w:b/>
              </w:rPr>
              <w:t>Rate per 100,000</w:t>
            </w:r>
          </w:p>
        </w:tc>
        <w:tc>
          <w:tcPr>
            <w:tcW w:w="547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  <w:b/>
              </w:rPr>
              <w:t>N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  <w:b/>
              </w:rPr>
              <w:t>Rate per 100,000</w:t>
            </w:r>
          </w:p>
        </w:tc>
        <w:tc>
          <w:tcPr>
            <w:tcW w:w="673" w:type="pct"/>
            <w:vAlign w:val="center"/>
          </w:tcPr>
          <w:p w:rsidR="006646B0" w:rsidRPr="00023F4C" w:rsidRDefault="006646B0" w:rsidP="00C94987">
            <w:pPr>
              <w:jc w:val="center"/>
              <w:rPr>
                <w:rFonts w:ascii="Calibri" w:hAnsi="Calibri" w:cs="Calibri"/>
                <w:b/>
              </w:rPr>
            </w:pPr>
            <w:r w:rsidRPr="00023F4C">
              <w:rPr>
                <w:rFonts w:ascii="Calibri" w:hAnsi="Calibri" w:cs="Calibri"/>
                <w:b/>
              </w:rPr>
              <w:t>N</w:t>
            </w:r>
          </w:p>
        </w:tc>
        <w:tc>
          <w:tcPr>
            <w:tcW w:w="672" w:type="pct"/>
            <w:vAlign w:val="center"/>
          </w:tcPr>
          <w:p w:rsidR="006646B0" w:rsidRPr="00023F4C" w:rsidRDefault="006646B0" w:rsidP="00C94987">
            <w:pPr>
              <w:jc w:val="center"/>
              <w:rPr>
                <w:rFonts w:ascii="Calibri" w:hAnsi="Calibri" w:cs="Calibri"/>
                <w:b/>
              </w:rPr>
            </w:pPr>
            <w:r w:rsidRPr="00023F4C">
              <w:rPr>
                <w:rFonts w:ascii="Calibri" w:hAnsi="Calibri" w:cs="Calibri"/>
                <w:b/>
              </w:rPr>
              <w:t>Rate per 100,000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  <w:b/>
              </w:rPr>
              <w:t>2006*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1188402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3253562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1467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4441964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33950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66747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100696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157168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351849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969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509016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121014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1384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311037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3558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432051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4942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251829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3593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690645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9853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942474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13446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21277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69425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90702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111296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335863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447159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1171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111495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1089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334597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3267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446092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4355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380374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3384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1093400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9727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1473774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13110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  <w:b/>
              </w:rPr>
              <w:t>2007*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1120030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3229841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1433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4349871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1930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33117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64782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97899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151611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362019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974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513631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1382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115238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1284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310204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3456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425443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4740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236904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3316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679243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9508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916147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12824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19988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69693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89681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107418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344012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881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451430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1156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102389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978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330744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3159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433133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4137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353363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3118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1069145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9433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1422507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12551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  <w:b/>
              </w:rPr>
              <w:t>2008*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1131985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3341419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1456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4473405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1949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</w:rPr>
              <w:t xml:space="preserve"> Men18-44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30418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66287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96705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</w:rPr>
              <w:t xml:space="preserve"> 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149573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375702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993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525275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1388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</w:rPr>
              <w:t xml:space="preserve"> 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115677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325595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3483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441272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4720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</w:rPr>
              <w:t xml:space="preserve"> 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250753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3450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705121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9701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955874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13151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</w:rPr>
              <w:t xml:space="preserve"> Women 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18228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72368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90595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</w:rPr>
              <w:t xml:space="preserve"> Women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103856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354595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892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458450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1153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</w:rPr>
              <w:t xml:space="preserve"> Women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102988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949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338800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3122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441789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4070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</w:rPr>
              <w:t xml:space="preserve"> Women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360494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3159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1102950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9666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1463443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12825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  <w:b/>
              </w:rPr>
              <w:t>2009*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1156793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496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3496098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1501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4652891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30389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73378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103767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158240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417124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1082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575364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1492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121687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1258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350661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3624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472348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4881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254546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3449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724868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9820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979413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13269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18312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77966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96278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106878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390492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964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497370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1227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105208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940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357400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3193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462608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4133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361532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3152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1104211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9626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1465743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12777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  <w:b/>
              </w:rPr>
              <w:t>2010*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1108281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3586868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1515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4695149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1983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30376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77959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108334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156909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444473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1133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601382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1533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114647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1152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355023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3566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469669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4717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243517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3234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732916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9733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976433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12967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</w:rPr>
              <w:t xml:space="preserve"> Women 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18496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87555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106051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lastRenderedPageBreak/>
              <w:t xml:space="preserve"> Women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102599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412270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1001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514869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97712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851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362920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3162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460632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4014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344025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2972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1113753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9622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1457778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12594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  <w:b/>
              </w:rPr>
              <w:t>2011*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1117249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3912362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1635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5029611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2102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28427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83222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111649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151604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487372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1207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638976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1582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116626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1113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392212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3743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508838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4856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247361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3317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801931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10755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1049292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14072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17831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90840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108671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102456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451232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1064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553687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1305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99745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831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399993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3331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499738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4161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353200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3092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1205560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10552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1558760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13644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  <w:b/>
              </w:rPr>
              <w:t>2012*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1052497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3901854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1597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4954351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2028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27883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86713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114595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146283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506090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1253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652372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1615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112572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1004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405696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3619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518268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4623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233685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3070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790625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10386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1024310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13456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16433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90712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107145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95258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453865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1069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549123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1294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96271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753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409367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3201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505638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3954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324112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2810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1158788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10048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1482900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12858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  <w:b/>
              </w:rPr>
              <w:t>2013*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1087436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4072870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1635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5160306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2071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29051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93795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122846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156313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546344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1348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702657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1734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  <w:b/>
              </w:rPr>
            </w:pPr>
            <w:r w:rsidRPr="00077B54">
              <w:rPr>
                <w:rFonts w:ascii="Calibri" w:hAnsi="Calibri" w:cs="Calibri"/>
              </w:rPr>
              <w:t xml:space="preserve"> 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120540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1022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438948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3721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559488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4742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241298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3093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816835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10469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1058133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13562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16696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97824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114521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101176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478846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1125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580021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1363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100279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747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432697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3225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532976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3972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322083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2756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1167582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9992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1489664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12749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  <w:b/>
              </w:rPr>
              <w:t>2014*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1140891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4289755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1689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5430646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2138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31309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101902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133211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169487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606490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1488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775976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1904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129470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1048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473467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3834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602936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4883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249372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3116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838126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10474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1087498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13590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18-44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18737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110566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129303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45-64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107147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526687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1231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633834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1481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65-74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106004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460804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3280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566808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4034</w:t>
            </w:r>
          </w:p>
        </w:tc>
      </w:tr>
      <w:tr w:rsidR="006646B0" w:rsidRPr="00077B54" w:rsidTr="00C94987">
        <w:tc>
          <w:tcPr>
            <w:tcW w:w="1248" w:type="pct"/>
          </w:tcPr>
          <w:p w:rsidR="006646B0" w:rsidRPr="00077B54" w:rsidRDefault="006646B0" w:rsidP="00C94987">
            <w:pPr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 xml:space="preserve"> Women 75+ years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329366</w:t>
            </w:r>
          </w:p>
        </w:tc>
        <w:tc>
          <w:tcPr>
            <w:tcW w:w="639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2781</w:t>
            </w:r>
          </w:p>
        </w:tc>
        <w:tc>
          <w:tcPr>
            <w:tcW w:w="547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1171714</w:t>
            </w:r>
          </w:p>
        </w:tc>
        <w:tc>
          <w:tcPr>
            <w:tcW w:w="674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9894</w:t>
            </w:r>
          </w:p>
        </w:tc>
        <w:tc>
          <w:tcPr>
            <w:tcW w:w="673" w:type="pct"/>
            <w:vAlign w:val="bottom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 w:rsidRPr="00077B54">
              <w:rPr>
                <w:rFonts w:ascii="Calibri" w:hAnsi="Calibri" w:cs="Calibri"/>
              </w:rPr>
              <w:t>1501079</w:t>
            </w:r>
          </w:p>
        </w:tc>
        <w:tc>
          <w:tcPr>
            <w:tcW w:w="672" w:type="pct"/>
            <w:vAlign w:val="center"/>
          </w:tcPr>
          <w:p w:rsidR="006646B0" w:rsidRPr="00077B54" w:rsidRDefault="006646B0" w:rsidP="00C949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12675</w:t>
            </w:r>
          </w:p>
        </w:tc>
      </w:tr>
    </w:tbl>
    <w:p w:rsidR="006646B0" w:rsidRPr="00E2366F" w:rsidRDefault="006646B0" w:rsidP="006646B0">
      <w:pPr>
        <w:spacing w:after="200"/>
        <w:ind w:left="-810"/>
        <w:rPr>
          <w:rFonts w:ascii="Calibri" w:hAnsi="Calibri"/>
          <w:sz w:val="20"/>
          <w:szCs w:val="20"/>
        </w:rPr>
      </w:pPr>
      <w:r w:rsidRPr="00E2366F">
        <w:rPr>
          <w:rFonts w:ascii="Calibri" w:hAnsi="Calibri"/>
          <w:sz w:val="20"/>
          <w:szCs w:val="20"/>
        </w:rPr>
        <w:t>*</w:t>
      </w:r>
      <w:r w:rsidRPr="00E2366F">
        <w:rPr>
          <w:rFonts w:ascii="Calibri" w:hAnsi="Calibri"/>
          <w:color w:val="000000"/>
          <w:sz w:val="20"/>
          <w:szCs w:val="20"/>
        </w:rPr>
        <w:t xml:space="preserve"> Standardized by age to the 2010 U.S. Census Population distribution among adults aged ≥18 years</w:t>
      </w:r>
      <w:r w:rsidRPr="00E2366F">
        <w:rPr>
          <w:rFonts w:ascii="Calibri" w:hAnsi="Calibri"/>
          <w:sz w:val="20"/>
          <w:szCs w:val="20"/>
        </w:rPr>
        <w:t>;  The crude age-sex specific rates were reported for sub group estimates; To be consistent with the earlier years, only 24 secondary codes in NIS and NEDS were included for the trend analyses.</w:t>
      </w:r>
    </w:p>
    <w:p w:rsidR="006646B0" w:rsidRDefault="006646B0" w:rsidP="006646B0">
      <w:pPr>
        <w:spacing w:after="200" w:line="276" w:lineRule="auto"/>
        <w:ind w:left="-630"/>
        <w:rPr>
          <w:rFonts w:ascii="Calibri" w:hAnsi="Calibri"/>
          <w:b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br w:type="page"/>
      </w:r>
      <w:r w:rsidRPr="00D600B5">
        <w:rPr>
          <w:rFonts w:ascii="Calibri" w:hAnsi="Calibri" w:cs="Arial"/>
          <w:b/>
        </w:rPr>
        <w:lastRenderedPageBreak/>
        <w:t xml:space="preserve">Supplemental Table 3: </w:t>
      </w:r>
      <w:r w:rsidRPr="00D600B5">
        <w:rPr>
          <w:rFonts w:ascii="Calibri" w:hAnsi="Calibri"/>
          <w:b/>
        </w:rPr>
        <w:t xml:space="preserve">Trends in primary </w:t>
      </w:r>
      <w:r>
        <w:rPr>
          <w:rFonts w:ascii="Calibri" w:hAnsi="Calibri"/>
          <w:b/>
        </w:rPr>
        <w:t>heart failure</w:t>
      </w:r>
      <w:r w:rsidRPr="00D600B5">
        <w:rPr>
          <w:rFonts w:ascii="Calibri" w:hAnsi="Calibri"/>
          <w:b/>
        </w:rPr>
        <w:t xml:space="preserve"> events, </w:t>
      </w:r>
      <w:r w:rsidRPr="00FB209C">
        <w:rPr>
          <w:b/>
          <w:bCs/>
          <w:color w:val="000000"/>
        </w:rPr>
        <w:t>Nationwide Emergency Department Sample, National (Nationwide) Inpatient Sample and National Vital Statistics System</w:t>
      </w:r>
      <w:r w:rsidRPr="00D600B5">
        <w:rPr>
          <w:rFonts w:ascii="Calibri" w:hAnsi="Calibri"/>
          <w:b/>
          <w:bCs/>
          <w:color w:val="000000"/>
        </w:rPr>
        <w:t xml:space="preserve">, </w:t>
      </w:r>
      <w:r w:rsidRPr="00D600B5">
        <w:rPr>
          <w:rFonts w:ascii="Calibri" w:hAnsi="Calibri"/>
          <w:b/>
        </w:rPr>
        <w:t>2006-2014*</w:t>
      </w:r>
    </w:p>
    <w:tbl>
      <w:tblPr>
        <w:tblStyle w:val="TableGrid23"/>
        <w:tblW w:w="6049" w:type="pct"/>
        <w:tblInd w:w="-905" w:type="dxa"/>
        <w:tblLook w:val="04A0" w:firstRow="1" w:lastRow="0" w:firstColumn="1" w:lastColumn="0" w:noHBand="0" w:noVBand="1"/>
      </w:tblPr>
      <w:tblGrid>
        <w:gridCol w:w="1633"/>
        <w:gridCol w:w="977"/>
        <w:gridCol w:w="1169"/>
        <w:gridCol w:w="1261"/>
        <w:gridCol w:w="990"/>
        <w:gridCol w:w="1080"/>
        <w:gridCol w:w="900"/>
        <w:gridCol w:w="1080"/>
        <w:gridCol w:w="1351"/>
      </w:tblGrid>
      <w:tr w:rsidR="006646B0" w:rsidRPr="00D600B5" w:rsidTr="00C94987">
        <w:trPr>
          <w:trHeight w:val="413"/>
        </w:trPr>
        <w:tc>
          <w:tcPr>
            <w:tcW w:w="782" w:type="pct"/>
            <w:vMerge w:val="restart"/>
          </w:tcPr>
          <w:p w:rsidR="006646B0" w:rsidRPr="00D600B5" w:rsidRDefault="006646B0" w:rsidP="00C9498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18" w:type="pct"/>
            <w:gridSpan w:val="8"/>
            <w:vAlign w:val="center"/>
          </w:tcPr>
          <w:p w:rsidR="006646B0" w:rsidRPr="00D600B5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Heart Failure</w:t>
            </w:r>
            <w:r w:rsidRPr="00D600B5">
              <w:rPr>
                <w:rFonts w:asciiTheme="minorHAnsi" w:hAnsiTheme="minorHAnsi"/>
                <w:b/>
              </w:rPr>
              <w:t xml:space="preserve"> as Primary Diagnosis</w:t>
            </w:r>
          </w:p>
        </w:tc>
      </w:tr>
      <w:tr w:rsidR="006646B0" w:rsidRPr="00D600B5" w:rsidTr="00C94987">
        <w:trPr>
          <w:trHeight w:val="413"/>
        </w:trPr>
        <w:tc>
          <w:tcPr>
            <w:tcW w:w="782" w:type="pct"/>
            <w:vMerge/>
          </w:tcPr>
          <w:p w:rsidR="006646B0" w:rsidRPr="00D600B5" w:rsidRDefault="006646B0" w:rsidP="00C9498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28" w:type="pct"/>
            <w:gridSpan w:val="2"/>
            <w:vAlign w:val="center"/>
          </w:tcPr>
          <w:p w:rsidR="006646B0" w:rsidRPr="00001D04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001D04">
              <w:rPr>
                <w:rFonts w:asciiTheme="minorHAnsi" w:hAnsiTheme="minorHAnsi"/>
                <w:b/>
              </w:rPr>
              <w:t>Unique  Emergency Department Visits</w:t>
            </w:r>
          </w:p>
        </w:tc>
        <w:tc>
          <w:tcPr>
            <w:tcW w:w="1077" w:type="pct"/>
            <w:gridSpan w:val="2"/>
            <w:vAlign w:val="center"/>
          </w:tcPr>
          <w:p w:rsidR="006646B0" w:rsidRPr="00001D04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001D04">
              <w:rPr>
                <w:rFonts w:asciiTheme="minorHAnsi" w:hAnsiTheme="minorHAnsi"/>
                <w:b/>
              </w:rPr>
              <w:t>Unique</w:t>
            </w:r>
          </w:p>
          <w:p w:rsidR="006646B0" w:rsidRPr="00001D04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001D04">
              <w:rPr>
                <w:rFonts w:asciiTheme="minorHAnsi" w:hAnsiTheme="minorHAnsi"/>
                <w:b/>
              </w:rPr>
              <w:t>Acute Hospitalizations</w:t>
            </w:r>
          </w:p>
        </w:tc>
        <w:tc>
          <w:tcPr>
            <w:tcW w:w="948" w:type="pct"/>
            <w:gridSpan w:val="2"/>
            <w:vAlign w:val="center"/>
          </w:tcPr>
          <w:p w:rsidR="006646B0" w:rsidRPr="00001D04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001D04">
              <w:rPr>
                <w:rFonts w:asciiTheme="minorHAnsi" w:hAnsiTheme="minorHAnsi"/>
                <w:b/>
              </w:rPr>
              <w:t>Unique</w:t>
            </w:r>
          </w:p>
          <w:p w:rsidR="006646B0" w:rsidRPr="00001D04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001D04">
              <w:rPr>
                <w:rFonts w:asciiTheme="minorHAnsi" w:hAnsiTheme="minorHAnsi"/>
                <w:b/>
              </w:rPr>
              <w:t>Deaths</w:t>
            </w:r>
          </w:p>
        </w:tc>
        <w:tc>
          <w:tcPr>
            <w:tcW w:w="1164" w:type="pct"/>
            <w:gridSpan w:val="2"/>
            <w:vAlign w:val="center"/>
          </w:tcPr>
          <w:p w:rsidR="006646B0" w:rsidRPr="00001D04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001D04">
              <w:rPr>
                <w:rFonts w:asciiTheme="minorHAnsi" w:hAnsiTheme="minorHAnsi"/>
                <w:b/>
              </w:rPr>
              <w:t>Total Events</w:t>
            </w:r>
          </w:p>
          <w:p w:rsidR="006646B0" w:rsidRPr="00001D04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001D04">
              <w:rPr>
                <w:rFonts w:asciiTheme="minorHAnsi" w:hAnsiTheme="minorHAnsi"/>
                <w:b/>
              </w:rPr>
              <w:t>(unique)</w:t>
            </w:r>
          </w:p>
        </w:tc>
      </w:tr>
      <w:tr w:rsidR="006646B0" w:rsidRPr="00D600B5" w:rsidTr="00C94987">
        <w:trPr>
          <w:trHeight w:val="413"/>
        </w:trPr>
        <w:tc>
          <w:tcPr>
            <w:tcW w:w="782" w:type="pct"/>
            <w:vMerge/>
          </w:tcPr>
          <w:p w:rsidR="006646B0" w:rsidRPr="00D600B5" w:rsidRDefault="006646B0" w:rsidP="00C9498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8" w:type="pct"/>
            <w:vAlign w:val="center"/>
          </w:tcPr>
          <w:p w:rsidR="006646B0" w:rsidRPr="00D600B5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D600B5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560" w:type="pct"/>
            <w:vAlign w:val="center"/>
          </w:tcPr>
          <w:p w:rsidR="006646B0" w:rsidRPr="00D600B5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D600B5">
              <w:rPr>
                <w:rFonts w:asciiTheme="minorHAnsi" w:hAnsiTheme="minorHAnsi"/>
                <w:b/>
              </w:rPr>
              <w:t>Rate per 100,000</w:t>
            </w:r>
          </w:p>
        </w:tc>
        <w:tc>
          <w:tcPr>
            <w:tcW w:w="604" w:type="pct"/>
            <w:vAlign w:val="center"/>
          </w:tcPr>
          <w:p w:rsidR="006646B0" w:rsidRPr="00D600B5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D600B5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474" w:type="pct"/>
            <w:vAlign w:val="center"/>
          </w:tcPr>
          <w:p w:rsidR="006646B0" w:rsidRPr="00D600B5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D600B5">
              <w:rPr>
                <w:rFonts w:asciiTheme="minorHAnsi" w:hAnsiTheme="minorHAnsi"/>
                <w:b/>
              </w:rPr>
              <w:t>Rate per 100,000</w:t>
            </w:r>
          </w:p>
        </w:tc>
        <w:tc>
          <w:tcPr>
            <w:tcW w:w="517" w:type="pct"/>
            <w:vAlign w:val="center"/>
          </w:tcPr>
          <w:p w:rsidR="006646B0" w:rsidRPr="00D600B5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D600B5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431" w:type="pct"/>
            <w:vAlign w:val="center"/>
          </w:tcPr>
          <w:p w:rsidR="006646B0" w:rsidRPr="00D600B5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D600B5">
              <w:rPr>
                <w:rFonts w:asciiTheme="minorHAnsi" w:hAnsiTheme="minorHAnsi"/>
                <w:b/>
              </w:rPr>
              <w:t>Rate per 100,000</w:t>
            </w:r>
          </w:p>
        </w:tc>
        <w:tc>
          <w:tcPr>
            <w:tcW w:w="517" w:type="pct"/>
            <w:vAlign w:val="center"/>
          </w:tcPr>
          <w:p w:rsidR="006646B0" w:rsidRPr="00D600B5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D600B5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647" w:type="pct"/>
            <w:vAlign w:val="center"/>
          </w:tcPr>
          <w:p w:rsidR="006646B0" w:rsidRPr="00D600B5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D600B5">
              <w:rPr>
                <w:rFonts w:asciiTheme="minorHAnsi" w:hAnsiTheme="minorHAnsi"/>
                <w:b/>
              </w:rPr>
              <w:t>Rate per 100,000</w:t>
            </w:r>
          </w:p>
        </w:tc>
      </w:tr>
      <w:tr w:rsidR="006646B0" w:rsidRPr="00D600B5" w:rsidTr="00C94987">
        <w:tc>
          <w:tcPr>
            <w:tcW w:w="782" w:type="pct"/>
          </w:tcPr>
          <w:p w:rsidR="006646B0" w:rsidRPr="00D600B5" w:rsidRDefault="006646B0" w:rsidP="00C94987">
            <w:pPr>
              <w:rPr>
                <w:rFonts w:asciiTheme="minorHAnsi" w:hAnsiTheme="minorHAnsi"/>
                <w:b/>
              </w:rPr>
            </w:pPr>
            <w:r w:rsidRPr="00D600B5">
              <w:rPr>
                <w:rFonts w:asciiTheme="minorHAnsi" w:hAnsiTheme="minorHAnsi"/>
                <w:b/>
              </w:rPr>
              <w:t>2006*</w:t>
            </w:r>
          </w:p>
        </w:tc>
        <w:tc>
          <w:tcPr>
            <w:tcW w:w="468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171592</w:t>
            </w:r>
          </w:p>
        </w:tc>
        <w:tc>
          <w:tcPr>
            <w:tcW w:w="560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78</w:t>
            </w:r>
          </w:p>
        </w:tc>
        <w:tc>
          <w:tcPr>
            <w:tcW w:w="6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944298</w:t>
            </w:r>
          </w:p>
        </w:tc>
        <w:tc>
          <w:tcPr>
            <w:tcW w:w="474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427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72512</w:t>
            </w:r>
          </w:p>
        </w:tc>
        <w:tc>
          <w:tcPr>
            <w:tcW w:w="43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32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1188402</w:t>
            </w:r>
          </w:p>
        </w:tc>
        <w:tc>
          <w:tcPr>
            <w:tcW w:w="64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536</w:t>
            </w:r>
          </w:p>
        </w:tc>
      </w:tr>
      <w:tr w:rsidR="006646B0" w:rsidRPr="00D600B5" w:rsidTr="00C94987">
        <w:tc>
          <w:tcPr>
            <w:tcW w:w="782" w:type="pct"/>
          </w:tcPr>
          <w:p w:rsidR="006646B0" w:rsidRPr="00D600B5" w:rsidRDefault="006646B0" w:rsidP="00C94987">
            <w:pPr>
              <w:rPr>
                <w:rFonts w:asciiTheme="minorHAnsi" w:hAnsiTheme="minorHAnsi"/>
                <w:b/>
              </w:rPr>
            </w:pPr>
            <w:r w:rsidRPr="00D600B5">
              <w:rPr>
                <w:rFonts w:asciiTheme="minorHAnsi" w:hAnsiTheme="minorHAnsi"/>
                <w:b/>
              </w:rPr>
              <w:t>2007*</w:t>
            </w:r>
          </w:p>
        </w:tc>
        <w:tc>
          <w:tcPr>
            <w:tcW w:w="468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155036</w:t>
            </w:r>
          </w:p>
        </w:tc>
        <w:tc>
          <w:tcPr>
            <w:tcW w:w="560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69</w:t>
            </w:r>
          </w:p>
        </w:tc>
        <w:tc>
          <w:tcPr>
            <w:tcW w:w="6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895985</w:t>
            </w:r>
          </w:p>
        </w:tc>
        <w:tc>
          <w:tcPr>
            <w:tcW w:w="474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398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69009</w:t>
            </w:r>
          </w:p>
        </w:tc>
        <w:tc>
          <w:tcPr>
            <w:tcW w:w="43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30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1120030</w:t>
            </w:r>
          </w:p>
        </w:tc>
        <w:tc>
          <w:tcPr>
            <w:tcW w:w="64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497</w:t>
            </w:r>
          </w:p>
        </w:tc>
      </w:tr>
      <w:tr w:rsidR="006646B0" w:rsidRPr="00D600B5" w:rsidTr="00C94987">
        <w:tc>
          <w:tcPr>
            <w:tcW w:w="782" w:type="pct"/>
          </w:tcPr>
          <w:p w:rsidR="006646B0" w:rsidRPr="00D600B5" w:rsidRDefault="006646B0" w:rsidP="00C94987">
            <w:pPr>
              <w:rPr>
                <w:rFonts w:asciiTheme="minorHAnsi" w:hAnsiTheme="minorHAnsi"/>
              </w:rPr>
            </w:pPr>
            <w:r w:rsidRPr="00D600B5">
              <w:rPr>
                <w:rFonts w:asciiTheme="minorHAnsi" w:hAnsiTheme="minorHAnsi"/>
                <w:b/>
              </w:rPr>
              <w:t>2008*</w:t>
            </w:r>
          </w:p>
        </w:tc>
        <w:tc>
          <w:tcPr>
            <w:tcW w:w="468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157910</w:t>
            </w:r>
          </w:p>
        </w:tc>
        <w:tc>
          <w:tcPr>
            <w:tcW w:w="560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69</w:t>
            </w:r>
          </w:p>
        </w:tc>
        <w:tc>
          <w:tcPr>
            <w:tcW w:w="6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904578</w:t>
            </w:r>
          </w:p>
        </w:tc>
        <w:tc>
          <w:tcPr>
            <w:tcW w:w="474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394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69498</w:t>
            </w:r>
          </w:p>
        </w:tc>
        <w:tc>
          <w:tcPr>
            <w:tcW w:w="43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30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1131985</w:t>
            </w:r>
          </w:p>
        </w:tc>
        <w:tc>
          <w:tcPr>
            <w:tcW w:w="64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493</w:t>
            </w:r>
          </w:p>
        </w:tc>
      </w:tr>
      <w:tr w:rsidR="006646B0" w:rsidRPr="00D600B5" w:rsidTr="00C94987">
        <w:tc>
          <w:tcPr>
            <w:tcW w:w="782" w:type="pct"/>
          </w:tcPr>
          <w:p w:rsidR="006646B0" w:rsidRPr="00D600B5" w:rsidRDefault="006646B0" w:rsidP="00C94987">
            <w:pPr>
              <w:rPr>
                <w:rFonts w:asciiTheme="minorHAnsi" w:hAnsiTheme="minorHAnsi"/>
                <w:b/>
              </w:rPr>
            </w:pPr>
            <w:r w:rsidRPr="00D600B5">
              <w:rPr>
                <w:rFonts w:asciiTheme="minorHAnsi" w:hAnsiTheme="minorHAnsi"/>
                <w:b/>
              </w:rPr>
              <w:t>2009*</w:t>
            </w:r>
          </w:p>
        </w:tc>
        <w:tc>
          <w:tcPr>
            <w:tcW w:w="468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157206</w:t>
            </w:r>
          </w:p>
        </w:tc>
        <w:tc>
          <w:tcPr>
            <w:tcW w:w="560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68</w:t>
            </w:r>
          </w:p>
        </w:tc>
        <w:tc>
          <w:tcPr>
            <w:tcW w:w="6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930635</w:t>
            </w:r>
          </w:p>
        </w:tc>
        <w:tc>
          <w:tcPr>
            <w:tcW w:w="474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68951</w:t>
            </w:r>
          </w:p>
        </w:tc>
        <w:tc>
          <w:tcPr>
            <w:tcW w:w="43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29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1156793</w:t>
            </w:r>
          </w:p>
        </w:tc>
        <w:tc>
          <w:tcPr>
            <w:tcW w:w="64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496</w:t>
            </w:r>
          </w:p>
        </w:tc>
      </w:tr>
      <w:tr w:rsidR="006646B0" w:rsidRPr="00D600B5" w:rsidTr="00C94987">
        <w:tc>
          <w:tcPr>
            <w:tcW w:w="782" w:type="pct"/>
          </w:tcPr>
          <w:p w:rsidR="006646B0" w:rsidRPr="00D600B5" w:rsidRDefault="006646B0" w:rsidP="00C94987">
            <w:pPr>
              <w:rPr>
                <w:rFonts w:asciiTheme="minorHAnsi" w:hAnsiTheme="minorHAnsi"/>
                <w:b/>
              </w:rPr>
            </w:pPr>
            <w:r w:rsidRPr="00D600B5">
              <w:rPr>
                <w:rFonts w:asciiTheme="minorHAnsi" w:hAnsiTheme="minorHAnsi"/>
                <w:b/>
              </w:rPr>
              <w:t>2010*</w:t>
            </w:r>
          </w:p>
        </w:tc>
        <w:tc>
          <w:tcPr>
            <w:tcW w:w="468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150880</w:t>
            </w:r>
          </w:p>
        </w:tc>
        <w:tc>
          <w:tcPr>
            <w:tcW w:w="560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64</w:t>
            </w:r>
          </w:p>
        </w:tc>
        <w:tc>
          <w:tcPr>
            <w:tcW w:w="6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886879</w:t>
            </w:r>
          </w:p>
        </w:tc>
        <w:tc>
          <w:tcPr>
            <w:tcW w:w="474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375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70522</w:t>
            </w:r>
          </w:p>
        </w:tc>
        <w:tc>
          <w:tcPr>
            <w:tcW w:w="43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29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1108281</w:t>
            </w:r>
          </w:p>
        </w:tc>
        <w:tc>
          <w:tcPr>
            <w:tcW w:w="64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468</w:t>
            </w:r>
          </w:p>
        </w:tc>
      </w:tr>
      <w:tr w:rsidR="006646B0" w:rsidRPr="00D600B5" w:rsidTr="00C94987">
        <w:tc>
          <w:tcPr>
            <w:tcW w:w="782" w:type="pct"/>
          </w:tcPr>
          <w:p w:rsidR="006646B0" w:rsidRPr="00D600B5" w:rsidRDefault="006646B0" w:rsidP="00C94987">
            <w:pPr>
              <w:rPr>
                <w:rFonts w:asciiTheme="minorHAnsi" w:hAnsiTheme="minorHAnsi"/>
                <w:b/>
              </w:rPr>
            </w:pPr>
            <w:r w:rsidRPr="00D600B5">
              <w:rPr>
                <w:rFonts w:asciiTheme="minorHAnsi" w:hAnsiTheme="minorHAnsi"/>
                <w:b/>
              </w:rPr>
              <w:t>2011*</w:t>
            </w:r>
          </w:p>
        </w:tc>
        <w:tc>
          <w:tcPr>
            <w:tcW w:w="468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150600</w:t>
            </w:r>
          </w:p>
        </w:tc>
        <w:tc>
          <w:tcPr>
            <w:tcW w:w="560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63</w:t>
            </w:r>
          </w:p>
        </w:tc>
        <w:tc>
          <w:tcPr>
            <w:tcW w:w="6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895220</w:t>
            </w:r>
          </w:p>
        </w:tc>
        <w:tc>
          <w:tcPr>
            <w:tcW w:w="474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374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71429</w:t>
            </w:r>
          </w:p>
        </w:tc>
        <w:tc>
          <w:tcPr>
            <w:tcW w:w="43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30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1117249</w:t>
            </w:r>
          </w:p>
        </w:tc>
        <w:tc>
          <w:tcPr>
            <w:tcW w:w="64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467</w:t>
            </w:r>
          </w:p>
        </w:tc>
      </w:tr>
      <w:tr w:rsidR="006646B0" w:rsidRPr="00D600B5" w:rsidTr="00C94987">
        <w:tc>
          <w:tcPr>
            <w:tcW w:w="782" w:type="pct"/>
          </w:tcPr>
          <w:p w:rsidR="006646B0" w:rsidRPr="00D600B5" w:rsidRDefault="006646B0" w:rsidP="00C94987">
            <w:pPr>
              <w:rPr>
                <w:rFonts w:asciiTheme="minorHAnsi" w:hAnsiTheme="minorHAnsi"/>
              </w:rPr>
            </w:pPr>
            <w:r w:rsidRPr="00D600B5">
              <w:rPr>
                <w:rFonts w:asciiTheme="minorHAnsi" w:hAnsiTheme="minorHAnsi"/>
                <w:b/>
              </w:rPr>
              <w:t>2012*</w:t>
            </w:r>
          </w:p>
        </w:tc>
        <w:tc>
          <w:tcPr>
            <w:tcW w:w="468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155993</w:t>
            </w:r>
          </w:p>
        </w:tc>
        <w:tc>
          <w:tcPr>
            <w:tcW w:w="560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64</w:t>
            </w:r>
          </w:p>
        </w:tc>
        <w:tc>
          <w:tcPr>
            <w:tcW w:w="6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822425</w:t>
            </w:r>
          </w:p>
        </w:tc>
        <w:tc>
          <w:tcPr>
            <w:tcW w:w="474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337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74079</w:t>
            </w:r>
          </w:p>
        </w:tc>
        <w:tc>
          <w:tcPr>
            <w:tcW w:w="43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30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1052497</w:t>
            </w:r>
          </w:p>
        </w:tc>
        <w:tc>
          <w:tcPr>
            <w:tcW w:w="64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431</w:t>
            </w:r>
          </w:p>
        </w:tc>
      </w:tr>
      <w:tr w:rsidR="006646B0" w:rsidRPr="00D600B5" w:rsidTr="00C94987">
        <w:tc>
          <w:tcPr>
            <w:tcW w:w="782" w:type="pct"/>
          </w:tcPr>
          <w:p w:rsidR="006646B0" w:rsidRPr="00D600B5" w:rsidRDefault="006646B0" w:rsidP="00C94987">
            <w:pPr>
              <w:rPr>
                <w:rFonts w:asciiTheme="minorHAnsi" w:hAnsiTheme="minorHAnsi"/>
              </w:rPr>
            </w:pPr>
            <w:r w:rsidRPr="00D600B5">
              <w:rPr>
                <w:rFonts w:asciiTheme="minorHAnsi" w:hAnsiTheme="minorHAnsi"/>
                <w:b/>
              </w:rPr>
              <w:t>2013*</w:t>
            </w:r>
          </w:p>
        </w:tc>
        <w:tc>
          <w:tcPr>
            <w:tcW w:w="468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172908</w:t>
            </w:r>
          </w:p>
        </w:tc>
        <w:tc>
          <w:tcPr>
            <w:tcW w:w="560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70</w:t>
            </w:r>
          </w:p>
        </w:tc>
        <w:tc>
          <w:tcPr>
            <w:tcW w:w="6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835084</w:t>
            </w:r>
          </w:p>
        </w:tc>
        <w:tc>
          <w:tcPr>
            <w:tcW w:w="474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335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79443</w:t>
            </w:r>
          </w:p>
        </w:tc>
        <w:tc>
          <w:tcPr>
            <w:tcW w:w="43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32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1087436</w:t>
            </w:r>
          </w:p>
        </w:tc>
        <w:tc>
          <w:tcPr>
            <w:tcW w:w="64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437</w:t>
            </w:r>
          </w:p>
        </w:tc>
      </w:tr>
      <w:tr w:rsidR="006646B0" w:rsidRPr="00D600B5" w:rsidTr="00C94987">
        <w:tc>
          <w:tcPr>
            <w:tcW w:w="782" w:type="pct"/>
          </w:tcPr>
          <w:p w:rsidR="006646B0" w:rsidRPr="00D600B5" w:rsidRDefault="006646B0" w:rsidP="00C94987">
            <w:pPr>
              <w:rPr>
                <w:rFonts w:asciiTheme="minorHAnsi" w:hAnsiTheme="minorHAnsi"/>
              </w:rPr>
            </w:pPr>
            <w:r w:rsidRPr="00D600B5">
              <w:rPr>
                <w:rFonts w:asciiTheme="minorHAnsi" w:hAnsiTheme="minorHAnsi"/>
                <w:b/>
              </w:rPr>
              <w:t>2014*</w:t>
            </w:r>
          </w:p>
        </w:tc>
        <w:tc>
          <w:tcPr>
            <w:tcW w:w="468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190310</w:t>
            </w:r>
          </w:p>
        </w:tc>
        <w:tc>
          <w:tcPr>
            <w:tcW w:w="560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75</w:t>
            </w:r>
          </w:p>
        </w:tc>
        <w:tc>
          <w:tcPr>
            <w:tcW w:w="6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866875</w:t>
            </w:r>
          </w:p>
        </w:tc>
        <w:tc>
          <w:tcPr>
            <w:tcW w:w="474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341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83705</w:t>
            </w:r>
          </w:p>
        </w:tc>
        <w:tc>
          <w:tcPr>
            <w:tcW w:w="43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33</w:t>
            </w:r>
          </w:p>
        </w:tc>
        <w:tc>
          <w:tcPr>
            <w:tcW w:w="517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1140891</w:t>
            </w:r>
          </w:p>
        </w:tc>
        <w:tc>
          <w:tcPr>
            <w:tcW w:w="64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449</w:t>
            </w:r>
          </w:p>
        </w:tc>
      </w:tr>
      <w:tr w:rsidR="006646B0" w:rsidRPr="00D600B5" w:rsidTr="00C94987">
        <w:tc>
          <w:tcPr>
            <w:tcW w:w="782" w:type="pct"/>
          </w:tcPr>
          <w:p w:rsidR="006646B0" w:rsidRPr="00D600B5" w:rsidRDefault="006646B0" w:rsidP="00C94987">
            <w:pPr>
              <w:rPr>
                <w:b/>
              </w:rPr>
            </w:pPr>
            <w:r>
              <w:rPr>
                <w:b/>
              </w:rPr>
              <w:t>RPC</w:t>
            </w:r>
            <w:r w:rsidRPr="003E0770">
              <w:rPr>
                <w:b/>
                <w:vertAlign w:val="superscript"/>
              </w:rPr>
              <w:t>£</w:t>
            </w:r>
            <w:r>
              <w:rPr>
                <w:b/>
              </w:rPr>
              <w:t xml:space="preserve"> (95%CI)</w:t>
            </w:r>
          </w:p>
        </w:tc>
        <w:tc>
          <w:tcPr>
            <w:tcW w:w="1028" w:type="pct"/>
            <w:gridSpan w:val="2"/>
            <w:vAlign w:val="bottom"/>
          </w:tcPr>
          <w:p w:rsidR="006646B0" w:rsidRPr="00F4353D" w:rsidRDefault="006646B0" w:rsidP="00C949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4E8F">
              <w:rPr>
                <w:rFonts w:cstheme="minorHAnsi"/>
                <w:color w:val="000000"/>
              </w:rPr>
              <w:t>-3.2% (-3.5, -3.0%)</w:t>
            </w:r>
          </w:p>
        </w:tc>
        <w:tc>
          <w:tcPr>
            <w:tcW w:w="1077" w:type="pct"/>
            <w:gridSpan w:val="2"/>
            <w:vAlign w:val="bottom"/>
          </w:tcPr>
          <w:p w:rsidR="006646B0" w:rsidRPr="00F4353D" w:rsidRDefault="006646B0" w:rsidP="00C949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4E8F">
              <w:rPr>
                <w:rFonts w:cstheme="minorHAnsi"/>
                <w:color w:val="000000"/>
              </w:rPr>
              <w:t>-20.1% (-21.6, -18.5%)</w:t>
            </w:r>
          </w:p>
        </w:tc>
        <w:tc>
          <w:tcPr>
            <w:tcW w:w="948" w:type="pct"/>
            <w:gridSpan w:val="2"/>
            <w:vAlign w:val="bottom"/>
          </w:tcPr>
          <w:p w:rsidR="006646B0" w:rsidRPr="00F4353D" w:rsidRDefault="006646B0" w:rsidP="00C949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4E8F">
              <w:rPr>
                <w:rFonts w:cstheme="minorHAnsi"/>
                <w:color w:val="000000"/>
              </w:rPr>
              <w:t>3.36% (3.30, 3.41%)</w:t>
            </w:r>
          </w:p>
        </w:tc>
        <w:tc>
          <w:tcPr>
            <w:tcW w:w="1164" w:type="pct"/>
            <w:gridSpan w:val="2"/>
            <w:vAlign w:val="bottom"/>
          </w:tcPr>
          <w:p w:rsidR="006646B0" w:rsidRPr="00F4353D" w:rsidRDefault="006646B0" w:rsidP="00C949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4E8F">
              <w:rPr>
                <w:rFonts w:cstheme="minorHAnsi"/>
                <w:color w:val="000000"/>
              </w:rPr>
              <w:t>-16.2% (-17.4, -15.0%)</w:t>
            </w:r>
          </w:p>
        </w:tc>
      </w:tr>
    </w:tbl>
    <w:p w:rsidR="006646B0" w:rsidRDefault="006646B0" w:rsidP="006646B0">
      <w:pPr>
        <w:ind w:left="-810"/>
        <w:rPr>
          <w:sz w:val="20"/>
          <w:szCs w:val="20"/>
        </w:rPr>
      </w:pPr>
      <w:r w:rsidRPr="00D600B5">
        <w:rPr>
          <w:rFonts w:ascii="Calibri" w:hAnsi="Calibri"/>
          <w:sz w:val="20"/>
          <w:szCs w:val="20"/>
        </w:rPr>
        <w:t>*</w:t>
      </w:r>
      <w:r w:rsidRPr="00D600B5">
        <w:rPr>
          <w:rFonts w:ascii="Calibri" w:hAnsi="Calibri"/>
          <w:color w:val="000000"/>
          <w:sz w:val="20"/>
          <w:szCs w:val="20"/>
        </w:rPr>
        <w:t xml:space="preserve"> Standardized by age to the 2010 U.S. Census Population distribution among adults aged ≥18 years</w:t>
      </w:r>
      <w:r w:rsidRPr="00D600B5">
        <w:rPr>
          <w:rFonts w:ascii="Calibri" w:hAnsi="Calibri"/>
          <w:sz w:val="20"/>
          <w:szCs w:val="20"/>
        </w:rPr>
        <w:t>.</w:t>
      </w:r>
    </w:p>
    <w:p w:rsidR="006646B0" w:rsidRPr="003E0770" w:rsidRDefault="006646B0" w:rsidP="006646B0">
      <w:pPr>
        <w:ind w:left="-810"/>
        <w:rPr>
          <w:sz w:val="20"/>
          <w:szCs w:val="20"/>
        </w:rPr>
      </w:pPr>
      <w:r w:rsidRPr="00DA7251">
        <w:rPr>
          <w:b/>
          <w:vertAlign w:val="superscript"/>
        </w:rPr>
        <w:t>£</w:t>
      </w:r>
      <w:r>
        <w:rPr>
          <w:b/>
          <w:vertAlign w:val="superscript"/>
        </w:rPr>
        <w:t xml:space="preserve"> </w:t>
      </w:r>
      <w:r w:rsidRPr="004D3B05">
        <w:rPr>
          <w:rFonts w:cs="Times New Roman"/>
          <w:sz w:val="20"/>
          <w:szCs w:val="20"/>
        </w:rPr>
        <w:t xml:space="preserve">Relative Percent Change (RPC) </w:t>
      </w:r>
      <w:r>
        <w:rPr>
          <w:rFonts w:cs="Times New Roman"/>
          <w:sz w:val="20"/>
          <w:szCs w:val="20"/>
        </w:rPr>
        <w:t xml:space="preserve">for a given rate is </w:t>
      </w:r>
      <w:r w:rsidRPr="004D3B05">
        <w:rPr>
          <w:rFonts w:cs="Times New Roman"/>
          <w:sz w:val="20"/>
          <w:szCs w:val="20"/>
        </w:rPr>
        <w:t xml:space="preserve">calculated </w:t>
      </w:r>
      <w:r>
        <w:rPr>
          <w:rFonts w:cs="Times New Roman"/>
          <w:sz w:val="20"/>
          <w:szCs w:val="20"/>
        </w:rPr>
        <w:t>with</w:t>
      </w:r>
      <w:r w:rsidRPr="004D3B05">
        <w:rPr>
          <w:rFonts w:cs="Times New Roman"/>
          <w:sz w:val="20"/>
          <w:szCs w:val="20"/>
        </w:rPr>
        <w:t xml:space="preserve"> the</w:t>
      </w:r>
      <w:r>
        <w:rPr>
          <w:rFonts w:cs="Times New Roman"/>
          <w:sz w:val="20"/>
          <w:szCs w:val="20"/>
        </w:rPr>
        <w:t xml:space="preserve"> following: (rate</w:t>
      </w:r>
      <w:r>
        <w:rPr>
          <w:rFonts w:cs="Times New Roman"/>
          <w:sz w:val="20"/>
          <w:szCs w:val="20"/>
          <w:vertAlign w:val="subscript"/>
        </w:rPr>
        <w:t>2014</w:t>
      </w:r>
      <w:r>
        <w:rPr>
          <w:rFonts w:cs="Times New Roman"/>
          <w:sz w:val="20"/>
          <w:szCs w:val="20"/>
        </w:rPr>
        <w:t xml:space="preserve"> – rate</w:t>
      </w:r>
      <w:r w:rsidRPr="005B549E">
        <w:rPr>
          <w:rFonts w:cs="Times New Roman"/>
          <w:sz w:val="20"/>
          <w:szCs w:val="20"/>
          <w:vertAlign w:val="subscript"/>
        </w:rPr>
        <w:t>20</w:t>
      </w:r>
      <w:r>
        <w:rPr>
          <w:rFonts w:cs="Times New Roman"/>
          <w:sz w:val="20"/>
          <w:szCs w:val="20"/>
          <w:vertAlign w:val="subscript"/>
        </w:rPr>
        <w:t>06</w:t>
      </w:r>
      <w:r>
        <w:rPr>
          <w:rFonts w:cs="Times New Roman"/>
          <w:sz w:val="20"/>
          <w:szCs w:val="20"/>
        </w:rPr>
        <w:t>)/</w:t>
      </w:r>
      <w:r w:rsidRPr="005B549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rate</w:t>
      </w:r>
      <w:r>
        <w:rPr>
          <w:rFonts w:cs="Times New Roman"/>
          <w:sz w:val="20"/>
          <w:szCs w:val="20"/>
          <w:vertAlign w:val="subscript"/>
        </w:rPr>
        <w:t>2006.</w:t>
      </w:r>
    </w:p>
    <w:p w:rsidR="006646B0" w:rsidRPr="00D600B5" w:rsidRDefault="006646B0" w:rsidP="006646B0">
      <w:pPr>
        <w:ind w:left="-810"/>
        <w:rPr>
          <w:rFonts w:ascii="Calibri" w:hAnsi="Calibri" w:cs="Arial"/>
          <w:b/>
        </w:rPr>
      </w:pPr>
    </w:p>
    <w:p w:rsidR="006646B0" w:rsidRDefault="006646B0" w:rsidP="006646B0">
      <w:pPr>
        <w:rPr>
          <w:rFonts w:ascii="Calibri" w:hAnsi="Calibri"/>
          <w:b/>
          <w:bCs/>
          <w:color w:val="000000"/>
          <w:sz w:val="20"/>
          <w:szCs w:val="20"/>
        </w:rPr>
      </w:pPr>
    </w:p>
    <w:p w:rsidR="006646B0" w:rsidRDefault="006646B0" w:rsidP="006646B0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6646B0" w:rsidRPr="00BA6C31" w:rsidRDefault="006646B0" w:rsidP="006646B0">
      <w:pPr>
        <w:ind w:left="-270"/>
        <w:rPr>
          <w:rFonts w:ascii="Calibri" w:hAnsi="Calibri" w:cs="Arial"/>
          <w:b/>
        </w:rPr>
      </w:pPr>
      <w:r w:rsidRPr="00BA6C31">
        <w:rPr>
          <w:rFonts w:cs="Arial"/>
          <w:b/>
        </w:rPr>
        <w:lastRenderedPageBreak/>
        <w:t>Supplemental Table 4</w:t>
      </w:r>
      <w:r w:rsidRPr="00BA6C31">
        <w:rPr>
          <w:b/>
        </w:rPr>
        <w:t xml:space="preserve"> Trends in comorbid heart failure events, </w:t>
      </w:r>
      <w:r w:rsidRPr="00FB209C">
        <w:rPr>
          <w:b/>
          <w:bCs/>
          <w:color w:val="000000"/>
        </w:rPr>
        <w:t>Nationwide Emergency Department Sample, National (Nationwide) Inpatient Sample and National Vital Statistics System</w:t>
      </w:r>
      <w:r w:rsidRPr="00BA6C31">
        <w:rPr>
          <w:b/>
          <w:bCs/>
          <w:color w:val="000000"/>
        </w:rPr>
        <w:t xml:space="preserve">, </w:t>
      </w:r>
      <w:r w:rsidRPr="00BA6C31">
        <w:rPr>
          <w:b/>
        </w:rPr>
        <w:t>2006-2014*</w:t>
      </w:r>
    </w:p>
    <w:tbl>
      <w:tblPr>
        <w:tblStyle w:val="TableGrid21"/>
        <w:tblW w:w="5684" w:type="pct"/>
        <w:tblInd w:w="-275" w:type="dxa"/>
        <w:tblLayout w:type="fixed"/>
        <w:tblLook w:val="04A0" w:firstRow="1" w:lastRow="0" w:firstColumn="1" w:lastColumn="0" w:noHBand="0" w:noVBand="1"/>
      </w:tblPr>
      <w:tblGrid>
        <w:gridCol w:w="1530"/>
        <w:gridCol w:w="989"/>
        <w:gridCol w:w="991"/>
        <w:gridCol w:w="989"/>
        <w:gridCol w:w="991"/>
        <w:gridCol w:w="901"/>
        <w:gridCol w:w="1258"/>
        <w:gridCol w:w="991"/>
        <w:gridCol w:w="1171"/>
      </w:tblGrid>
      <w:tr w:rsidR="006646B0" w:rsidRPr="00BA6C31" w:rsidTr="00C94987">
        <w:trPr>
          <w:trHeight w:val="413"/>
        </w:trPr>
        <w:tc>
          <w:tcPr>
            <w:tcW w:w="780" w:type="pct"/>
            <w:vMerge w:val="restart"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20" w:type="pct"/>
            <w:gridSpan w:val="8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HF as Comorbid Diagnosis</w:t>
            </w:r>
          </w:p>
        </w:tc>
      </w:tr>
      <w:tr w:rsidR="006646B0" w:rsidRPr="00BA6C31" w:rsidTr="00C94987">
        <w:trPr>
          <w:trHeight w:val="413"/>
        </w:trPr>
        <w:tc>
          <w:tcPr>
            <w:tcW w:w="780" w:type="pct"/>
            <w:vMerge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9" w:type="pct"/>
            <w:gridSpan w:val="2"/>
            <w:vAlign w:val="center"/>
          </w:tcPr>
          <w:p w:rsidR="006646B0" w:rsidRPr="008C072D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8C072D">
              <w:rPr>
                <w:rFonts w:asciiTheme="minorHAnsi" w:hAnsiTheme="minorHAnsi"/>
                <w:b/>
              </w:rPr>
              <w:t>Unique</w:t>
            </w:r>
          </w:p>
          <w:p w:rsidR="006646B0" w:rsidRPr="008C072D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8C072D">
              <w:rPr>
                <w:rFonts w:asciiTheme="minorHAnsi" w:hAnsiTheme="minorHAnsi"/>
                <w:b/>
              </w:rPr>
              <w:t>Emergency Department Visits</w:t>
            </w:r>
          </w:p>
        </w:tc>
        <w:tc>
          <w:tcPr>
            <w:tcW w:w="1009" w:type="pct"/>
            <w:gridSpan w:val="2"/>
            <w:vAlign w:val="center"/>
          </w:tcPr>
          <w:p w:rsidR="006646B0" w:rsidRPr="008C072D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8C072D">
              <w:rPr>
                <w:rFonts w:asciiTheme="minorHAnsi" w:hAnsiTheme="minorHAnsi"/>
                <w:b/>
              </w:rPr>
              <w:t>Unique</w:t>
            </w:r>
          </w:p>
          <w:p w:rsidR="006646B0" w:rsidRPr="008C072D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8C072D">
              <w:rPr>
                <w:rFonts w:asciiTheme="minorHAnsi" w:hAnsiTheme="minorHAnsi"/>
                <w:b/>
              </w:rPr>
              <w:t>Acute Hospitalizations</w:t>
            </w:r>
          </w:p>
        </w:tc>
        <w:tc>
          <w:tcPr>
            <w:tcW w:w="1100" w:type="pct"/>
            <w:gridSpan w:val="2"/>
            <w:vAlign w:val="center"/>
          </w:tcPr>
          <w:p w:rsidR="006646B0" w:rsidRPr="008C072D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8C072D">
              <w:rPr>
                <w:rFonts w:asciiTheme="minorHAnsi" w:hAnsiTheme="minorHAnsi"/>
                <w:b/>
              </w:rPr>
              <w:t>Unique</w:t>
            </w:r>
          </w:p>
          <w:p w:rsidR="006646B0" w:rsidRPr="008C072D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8C072D">
              <w:rPr>
                <w:rFonts w:asciiTheme="minorHAnsi" w:hAnsiTheme="minorHAnsi"/>
                <w:b/>
              </w:rPr>
              <w:t>Deaths</w:t>
            </w:r>
          </w:p>
        </w:tc>
        <w:tc>
          <w:tcPr>
            <w:tcW w:w="1101" w:type="pct"/>
            <w:gridSpan w:val="2"/>
            <w:vAlign w:val="center"/>
          </w:tcPr>
          <w:p w:rsidR="006646B0" w:rsidRPr="008C072D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8C072D">
              <w:rPr>
                <w:rFonts w:asciiTheme="minorHAnsi" w:hAnsiTheme="minorHAnsi"/>
                <w:b/>
              </w:rPr>
              <w:t>Total Events</w:t>
            </w:r>
          </w:p>
          <w:p w:rsidR="006646B0" w:rsidRPr="008C072D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8C072D">
              <w:rPr>
                <w:rFonts w:asciiTheme="minorHAnsi" w:hAnsiTheme="minorHAnsi"/>
                <w:b/>
              </w:rPr>
              <w:t>(unique)</w:t>
            </w:r>
          </w:p>
        </w:tc>
      </w:tr>
      <w:tr w:rsidR="006646B0" w:rsidRPr="00BA6C31" w:rsidTr="00C94987">
        <w:trPr>
          <w:trHeight w:val="413"/>
        </w:trPr>
        <w:tc>
          <w:tcPr>
            <w:tcW w:w="780" w:type="pct"/>
            <w:vMerge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4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505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Rate per 100,000</w:t>
            </w:r>
          </w:p>
        </w:tc>
        <w:tc>
          <w:tcPr>
            <w:tcW w:w="504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505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Rate per 100,000</w:t>
            </w:r>
          </w:p>
        </w:tc>
        <w:tc>
          <w:tcPr>
            <w:tcW w:w="459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641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Rate per 100,000</w:t>
            </w:r>
          </w:p>
        </w:tc>
        <w:tc>
          <w:tcPr>
            <w:tcW w:w="505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597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Rate per 100,000</w:t>
            </w:r>
          </w:p>
        </w:tc>
      </w:tr>
      <w:tr w:rsidR="006646B0" w:rsidRPr="00BA6C31" w:rsidTr="00C94987">
        <w:tc>
          <w:tcPr>
            <w:tcW w:w="780" w:type="pct"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2006*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680544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308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2358160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1064</w:t>
            </w:r>
          </w:p>
        </w:tc>
        <w:tc>
          <w:tcPr>
            <w:tcW w:w="459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214858</w:t>
            </w:r>
          </w:p>
        </w:tc>
        <w:tc>
          <w:tcPr>
            <w:tcW w:w="64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95</w:t>
            </w:r>
          </w:p>
        </w:tc>
        <w:tc>
          <w:tcPr>
            <w:tcW w:w="505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3253562</w:t>
            </w:r>
          </w:p>
        </w:tc>
        <w:tc>
          <w:tcPr>
            <w:tcW w:w="59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1467</w:t>
            </w:r>
          </w:p>
        </w:tc>
      </w:tr>
      <w:tr w:rsidR="006646B0" w:rsidRPr="00BA6C31" w:rsidTr="00C94987">
        <w:tc>
          <w:tcPr>
            <w:tcW w:w="780" w:type="pct"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2007*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723016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322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2293958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1018</w:t>
            </w:r>
          </w:p>
        </w:tc>
        <w:tc>
          <w:tcPr>
            <w:tcW w:w="459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212867</w:t>
            </w:r>
          </w:p>
        </w:tc>
        <w:tc>
          <w:tcPr>
            <w:tcW w:w="64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93</w:t>
            </w:r>
          </w:p>
        </w:tc>
        <w:tc>
          <w:tcPr>
            <w:tcW w:w="505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3229841</w:t>
            </w:r>
          </w:p>
        </w:tc>
        <w:tc>
          <w:tcPr>
            <w:tcW w:w="59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1433</w:t>
            </w:r>
          </w:p>
        </w:tc>
      </w:tr>
      <w:tr w:rsidR="006646B0" w:rsidRPr="00BA6C31" w:rsidTr="00C94987">
        <w:tc>
          <w:tcPr>
            <w:tcW w:w="780" w:type="pct"/>
          </w:tcPr>
          <w:p w:rsidR="006646B0" w:rsidRPr="00BA6C31" w:rsidRDefault="006646B0" w:rsidP="00C94987">
            <w:pPr>
              <w:rPr>
                <w:rFonts w:asciiTheme="minorHAnsi" w:hAnsiTheme="minorHAnsi"/>
              </w:rPr>
            </w:pPr>
            <w:r w:rsidRPr="00BA6C31">
              <w:rPr>
                <w:rFonts w:asciiTheme="minorHAnsi" w:hAnsiTheme="minorHAnsi"/>
                <w:b/>
              </w:rPr>
              <w:t>2008*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811669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355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2312966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1008</w:t>
            </w:r>
          </w:p>
        </w:tc>
        <w:tc>
          <w:tcPr>
            <w:tcW w:w="459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216784</w:t>
            </w:r>
          </w:p>
        </w:tc>
        <w:tc>
          <w:tcPr>
            <w:tcW w:w="64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93</w:t>
            </w:r>
          </w:p>
        </w:tc>
        <w:tc>
          <w:tcPr>
            <w:tcW w:w="505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3341419</w:t>
            </w:r>
          </w:p>
        </w:tc>
        <w:tc>
          <w:tcPr>
            <w:tcW w:w="59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1456</w:t>
            </w:r>
          </w:p>
        </w:tc>
      </w:tr>
      <w:tr w:rsidR="006646B0" w:rsidRPr="00BA6C31" w:rsidTr="00C94987">
        <w:tc>
          <w:tcPr>
            <w:tcW w:w="780" w:type="pct"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2009*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868249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374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2417284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1038</w:t>
            </w:r>
          </w:p>
        </w:tc>
        <w:tc>
          <w:tcPr>
            <w:tcW w:w="459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210565</w:t>
            </w:r>
          </w:p>
        </w:tc>
        <w:tc>
          <w:tcPr>
            <w:tcW w:w="64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89</w:t>
            </w:r>
          </w:p>
        </w:tc>
        <w:tc>
          <w:tcPr>
            <w:tcW w:w="505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3496098</w:t>
            </w:r>
          </w:p>
        </w:tc>
        <w:tc>
          <w:tcPr>
            <w:tcW w:w="59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1501</w:t>
            </w:r>
          </w:p>
        </w:tc>
      </w:tr>
      <w:tr w:rsidR="006646B0" w:rsidRPr="00BA6C31" w:rsidTr="00C94987">
        <w:tc>
          <w:tcPr>
            <w:tcW w:w="780" w:type="pct"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2010*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948553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402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2424642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1024</w:t>
            </w:r>
          </w:p>
        </w:tc>
        <w:tc>
          <w:tcPr>
            <w:tcW w:w="459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213673</w:t>
            </w:r>
          </w:p>
        </w:tc>
        <w:tc>
          <w:tcPr>
            <w:tcW w:w="64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89</w:t>
            </w:r>
          </w:p>
        </w:tc>
        <w:tc>
          <w:tcPr>
            <w:tcW w:w="505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3586868</w:t>
            </w:r>
          </w:p>
        </w:tc>
        <w:tc>
          <w:tcPr>
            <w:tcW w:w="59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1515</w:t>
            </w:r>
          </w:p>
        </w:tc>
      </w:tr>
      <w:tr w:rsidR="006646B0" w:rsidRPr="00BA6C31" w:rsidTr="00C94987">
        <w:tc>
          <w:tcPr>
            <w:tcW w:w="780" w:type="pct"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2011*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1049960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439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2644652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1105</w:t>
            </w:r>
          </w:p>
        </w:tc>
        <w:tc>
          <w:tcPr>
            <w:tcW w:w="459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217750</w:t>
            </w:r>
          </w:p>
        </w:tc>
        <w:tc>
          <w:tcPr>
            <w:tcW w:w="64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91</w:t>
            </w:r>
          </w:p>
        </w:tc>
        <w:tc>
          <w:tcPr>
            <w:tcW w:w="505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3912362</w:t>
            </w:r>
          </w:p>
        </w:tc>
        <w:tc>
          <w:tcPr>
            <w:tcW w:w="59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1635</w:t>
            </w:r>
          </w:p>
        </w:tc>
      </w:tr>
      <w:tr w:rsidR="006646B0" w:rsidRPr="00BA6C31" w:rsidTr="00C94987">
        <w:tc>
          <w:tcPr>
            <w:tcW w:w="780" w:type="pct"/>
          </w:tcPr>
          <w:p w:rsidR="006646B0" w:rsidRPr="00BA6C31" w:rsidRDefault="006646B0" w:rsidP="00C94987">
            <w:pPr>
              <w:rPr>
                <w:rFonts w:asciiTheme="minorHAnsi" w:hAnsiTheme="minorHAnsi"/>
              </w:rPr>
            </w:pPr>
            <w:r w:rsidRPr="00BA6C31">
              <w:rPr>
                <w:rFonts w:asciiTheme="minorHAnsi" w:hAnsiTheme="minorHAnsi"/>
                <w:b/>
              </w:rPr>
              <w:t>2012*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1086246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446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2598720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1062</w:t>
            </w:r>
          </w:p>
        </w:tc>
        <w:tc>
          <w:tcPr>
            <w:tcW w:w="459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216888</w:t>
            </w:r>
          </w:p>
        </w:tc>
        <w:tc>
          <w:tcPr>
            <w:tcW w:w="64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89</w:t>
            </w:r>
          </w:p>
        </w:tc>
        <w:tc>
          <w:tcPr>
            <w:tcW w:w="505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3901854</w:t>
            </w:r>
          </w:p>
        </w:tc>
        <w:tc>
          <w:tcPr>
            <w:tcW w:w="59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1597</w:t>
            </w:r>
          </w:p>
        </w:tc>
      </w:tr>
      <w:tr w:rsidR="006646B0" w:rsidRPr="00BA6C31" w:rsidTr="00C94987">
        <w:tc>
          <w:tcPr>
            <w:tcW w:w="780" w:type="pct"/>
          </w:tcPr>
          <w:p w:rsidR="006646B0" w:rsidRPr="00BA6C31" w:rsidRDefault="006646B0" w:rsidP="00C94987">
            <w:pPr>
              <w:rPr>
                <w:rFonts w:asciiTheme="minorHAnsi" w:hAnsiTheme="minorHAnsi"/>
              </w:rPr>
            </w:pPr>
            <w:r w:rsidRPr="00BA6C31">
              <w:rPr>
                <w:rFonts w:asciiTheme="minorHAnsi" w:hAnsiTheme="minorHAnsi"/>
                <w:b/>
              </w:rPr>
              <w:t>2013*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1212506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489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2634464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1055</w:t>
            </w:r>
          </w:p>
        </w:tc>
        <w:tc>
          <w:tcPr>
            <w:tcW w:w="459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225900</w:t>
            </w:r>
          </w:p>
        </w:tc>
        <w:tc>
          <w:tcPr>
            <w:tcW w:w="64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91</w:t>
            </w:r>
          </w:p>
        </w:tc>
        <w:tc>
          <w:tcPr>
            <w:tcW w:w="505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4072870</w:t>
            </w:r>
          </w:p>
        </w:tc>
        <w:tc>
          <w:tcPr>
            <w:tcW w:w="59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1635</w:t>
            </w:r>
          </w:p>
        </w:tc>
      </w:tr>
      <w:tr w:rsidR="006646B0" w:rsidRPr="00BA6C31" w:rsidTr="00C94987">
        <w:tc>
          <w:tcPr>
            <w:tcW w:w="780" w:type="pct"/>
          </w:tcPr>
          <w:p w:rsidR="006646B0" w:rsidRPr="00BA6C31" w:rsidRDefault="006646B0" w:rsidP="00C94987">
            <w:pPr>
              <w:rPr>
                <w:rFonts w:asciiTheme="minorHAnsi" w:hAnsiTheme="minorHAnsi"/>
              </w:rPr>
            </w:pPr>
            <w:r w:rsidRPr="00BA6C31">
              <w:rPr>
                <w:rFonts w:asciiTheme="minorHAnsi" w:hAnsiTheme="minorHAnsi"/>
                <w:b/>
              </w:rPr>
              <w:t>2014*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1350516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535</w:t>
            </w:r>
          </w:p>
        </w:tc>
        <w:tc>
          <w:tcPr>
            <w:tcW w:w="504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2708276</w:t>
            </w:r>
          </w:p>
        </w:tc>
        <w:tc>
          <w:tcPr>
            <w:tcW w:w="505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1063</w:t>
            </w:r>
          </w:p>
        </w:tc>
        <w:tc>
          <w:tcPr>
            <w:tcW w:w="459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230963</w:t>
            </w:r>
          </w:p>
        </w:tc>
        <w:tc>
          <w:tcPr>
            <w:tcW w:w="641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91</w:t>
            </w:r>
          </w:p>
        </w:tc>
        <w:tc>
          <w:tcPr>
            <w:tcW w:w="505" w:type="pct"/>
            <w:vAlign w:val="bottom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</w:rPr>
              <w:t>4289755</w:t>
            </w:r>
          </w:p>
        </w:tc>
        <w:tc>
          <w:tcPr>
            <w:tcW w:w="597" w:type="pct"/>
            <w:vAlign w:val="center"/>
          </w:tcPr>
          <w:p w:rsidR="006646B0" w:rsidRPr="00250829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184E8F">
              <w:rPr>
                <w:rFonts w:cstheme="minorHAnsi"/>
                <w:color w:val="000000"/>
              </w:rPr>
              <w:t>1689</w:t>
            </w:r>
          </w:p>
        </w:tc>
      </w:tr>
      <w:tr w:rsidR="006646B0" w:rsidRPr="00BA6C31" w:rsidTr="00C94987">
        <w:tc>
          <w:tcPr>
            <w:tcW w:w="780" w:type="pct"/>
          </w:tcPr>
          <w:p w:rsidR="006646B0" w:rsidRPr="00BA6C31" w:rsidRDefault="006646B0" w:rsidP="00C94987">
            <w:pPr>
              <w:rPr>
                <w:b/>
              </w:rPr>
            </w:pPr>
            <w:r>
              <w:rPr>
                <w:b/>
              </w:rPr>
              <w:t>RPC</w:t>
            </w:r>
            <w:r w:rsidRPr="00DA7251">
              <w:rPr>
                <w:b/>
                <w:vertAlign w:val="superscript"/>
              </w:rPr>
              <w:t>£</w:t>
            </w:r>
            <w:r>
              <w:rPr>
                <w:b/>
              </w:rPr>
              <w:t xml:space="preserve"> (95%CI)</w:t>
            </w:r>
          </w:p>
        </w:tc>
        <w:tc>
          <w:tcPr>
            <w:tcW w:w="1009" w:type="pct"/>
            <w:gridSpan w:val="2"/>
            <w:vAlign w:val="bottom"/>
          </w:tcPr>
          <w:p w:rsidR="006646B0" w:rsidRPr="00F4353D" w:rsidRDefault="006646B0" w:rsidP="00C949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4E8F">
              <w:rPr>
                <w:rFonts w:cstheme="minorHAnsi"/>
                <w:color w:val="000000"/>
              </w:rPr>
              <w:t>73.9% (73.6, 74.2%)</w:t>
            </w:r>
          </w:p>
        </w:tc>
        <w:tc>
          <w:tcPr>
            <w:tcW w:w="1009" w:type="pct"/>
            <w:gridSpan w:val="2"/>
            <w:vAlign w:val="bottom"/>
          </w:tcPr>
          <w:p w:rsidR="006646B0" w:rsidRPr="00F4353D" w:rsidRDefault="006646B0" w:rsidP="00C949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4E8F">
              <w:rPr>
                <w:rFonts w:cstheme="minorHAnsi"/>
                <w:color w:val="000000"/>
              </w:rPr>
              <w:t>-0.1% (-2.0, 1.8%)</w:t>
            </w:r>
          </w:p>
        </w:tc>
        <w:tc>
          <w:tcPr>
            <w:tcW w:w="1100" w:type="pct"/>
            <w:gridSpan w:val="2"/>
            <w:vAlign w:val="bottom"/>
          </w:tcPr>
          <w:p w:rsidR="006646B0" w:rsidRPr="00F4353D" w:rsidRDefault="006646B0" w:rsidP="00C949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4E8F">
              <w:rPr>
                <w:rFonts w:cstheme="minorHAnsi"/>
                <w:color w:val="000000"/>
              </w:rPr>
              <w:t>-4.59% (-4.61, -4.58%)</w:t>
            </w:r>
          </w:p>
        </w:tc>
        <w:tc>
          <w:tcPr>
            <w:tcW w:w="1101" w:type="pct"/>
            <w:gridSpan w:val="2"/>
            <w:vAlign w:val="bottom"/>
          </w:tcPr>
          <w:p w:rsidR="006646B0" w:rsidRPr="00F4353D" w:rsidRDefault="006646B0" w:rsidP="00C949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4E8F">
              <w:rPr>
                <w:rFonts w:cstheme="minorHAnsi"/>
                <w:color w:val="000000"/>
              </w:rPr>
              <w:t>15.1% (14.1, 16.2%)</w:t>
            </w:r>
          </w:p>
        </w:tc>
      </w:tr>
    </w:tbl>
    <w:p w:rsidR="006646B0" w:rsidRDefault="006646B0" w:rsidP="006646B0">
      <w:pPr>
        <w:spacing w:after="200"/>
        <w:ind w:left="-274"/>
        <w:rPr>
          <w:sz w:val="20"/>
          <w:szCs w:val="20"/>
        </w:rPr>
      </w:pPr>
      <w:r w:rsidRPr="00BA6C31">
        <w:rPr>
          <w:sz w:val="20"/>
          <w:szCs w:val="20"/>
        </w:rPr>
        <w:t>*</w:t>
      </w:r>
      <w:r w:rsidRPr="00BA6C31">
        <w:rPr>
          <w:color w:val="000000"/>
          <w:sz w:val="20"/>
          <w:szCs w:val="20"/>
        </w:rPr>
        <w:t xml:space="preserve"> Standardized by age to the 2010 U.S. Census Population distribution among adults aged ≥18 years</w:t>
      </w:r>
      <w:r w:rsidRPr="00BA6C31">
        <w:rPr>
          <w:sz w:val="20"/>
          <w:szCs w:val="20"/>
        </w:rPr>
        <w:t>; To be consistent with the earlier years, only 24 secondary codes in NIS and NEDS were included for the trend analyses.</w:t>
      </w:r>
    </w:p>
    <w:p w:rsidR="006646B0" w:rsidRPr="00BA6C31" w:rsidRDefault="006646B0" w:rsidP="006646B0">
      <w:pPr>
        <w:rPr>
          <w:b/>
          <w:bCs/>
          <w:color w:val="000000"/>
          <w:sz w:val="20"/>
          <w:szCs w:val="20"/>
        </w:rPr>
      </w:pPr>
      <w:r w:rsidRPr="00DA7251">
        <w:rPr>
          <w:b/>
          <w:vertAlign w:val="superscript"/>
        </w:rPr>
        <w:t>£</w:t>
      </w:r>
      <w:r w:rsidRPr="004E1DF7">
        <w:rPr>
          <w:rFonts w:cs="Times New Roman"/>
          <w:sz w:val="20"/>
          <w:szCs w:val="20"/>
        </w:rPr>
        <w:t xml:space="preserve"> </w:t>
      </w:r>
      <w:r w:rsidRPr="004D3B05">
        <w:rPr>
          <w:rFonts w:cs="Times New Roman"/>
          <w:sz w:val="20"/>
          <w:szCs w:val="20"/>
        </w:rPr>
        <w:t xml:space="preserve">Relative Percent Change (RPC) </w:t>
      </w:r>
      <w:r>
        <w:rPr>
          <w:rFonts w:cs="Times New Roman"/>
          <w:sz w:val="20"/>
          <w:szCs w:val="20"/>
        </w:rPr>
        <w:t xml:space="preserve">for a given rate is </w:t>
      </w:r>
      <w:r w:rsidRPr="004D3B05">
        <w:rPr>
          <w:rFonts w:cs="Times New Roman"/>
          <w:sz w:val="20"/>
          <w:szCs w:val="20"/>
        </w:rPr>
        <w:t xml:space="preserve">calculated </w:t>
      </w:r>
      <w:r>
        <w:rPr>
          <w:rFonts w:cs="Times New Roman"/>
          <w:sz w:val="20"/>
          <w:szCs w:val="20"/>
        </w:rPr>
        <w:t>with</w:t>
      </w:r>
      <w:r w:rsidRPr="004D3B05">
        <w:rPr>
          <w:rFonts w:cs="Times New Roman"/>
          <w:sz w:val="20"/>
          <w:szCs w:val="20"/>
        </w:rPr>
        <w:t xml:space="preserve"> the</w:t>
      </w:r>
      <w:r>
        <w:rPr>
          <w:rFonts w:cs="Times New Roman"/>
          <w:sz w:val="20"/>
          <w:szCs w:val="20"/>
        </w:rPr>
        <w:t xml:space="preserve"> following: (rate</w:t>
      </w:r>
      <w:r>
        <w:rPr>
          <w:rFonts w:cs="Times New Roman"/>
          <w:sz w:val="20"/>
          <w:szCs w:val="20"/>
          <w:vertAlign w:val="subscript"/>
        </w:rPr>
        <w:t>2014</w:t>
      </w:r>
      <w:r>
        <w:rPr>
          <w:rFonts w:cs="Times New Roman"/>
          <w:sz w:val="20"/>
          <w:szCs w:val="20"/>
        </w:rPr>
        <w:t xml:space="preserve"> – rate</w:t>
      </w:r>
      <w:r w:rsidRPr="005B549E">
        <w:rPr>
          <w:rFonts w:cs="Times New Roman"/>
          <w:sz w:val="20"/>
          <w:szCs w:val="20"/>
          <w:vertAlign w:val="subscript"/>
        </w:rPr>
        <w:t>20</w:t>
      </w:r>
      <w:r>
        <w:rPr>
          <w:rFonts w:cs="Times New Roman"/>
          <w:sz w:val="20"/>
          <w:szCs w:val="20"/>
          <w:vertAlign w:val="subscript"/>
        </w:rPr>
        <w:t>06</w:t>
      </w:r>
      <w:r>
        <w:rPr>
          <w:rFonts w:cs="Times New Roman"/>
          <w:sz w:val="20"/>
          <w:szCs w:val="20"/>
        </w:rPr>
        <w:t>)/</w:t>
      </w:r>
      <w:r w:rsidRPr="005B549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rate</w:t>
      </w:r>
      <w:r>
        <w:rPr>
          <w:rFonts w:cs="Times New Roman"/>
          <w:sz w:val="20"/>
          <w:szCs w:val="20"/>
          <w:vertAlign w:val="subscript"/>
        </w:rPr>
        <w:t>2006.</w:t>
      </w:r>
    </w:p>
    <w:p w:rsidR="006646B0" w:rsidRDefault="006646B0" w:rsidP="006646B0">
      <w:pPr>
        <w:rPr>
          <w:rFonts w:cs="Arial"/>
          <w:b/>
        </w:rPr>
      </w:pPr>
    </w:p>
    <w:p w:rsidR="006646B0" w:rsidRDefault="006646B0" w:rsidP="006646B0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6646B0" w:rsidRPr="004164CC" w:rsidRDefault="006646B0" w:rsidP="006646B0">
      <w:pPr>
        <w:rPr>
          <w:rFonts w:ascii="Calibri" w:hAnsi="Calibri" w:cs="Arial"/>
          <w:b/>
        </w:rPr>
      </w:pPr>
      <w:r w:rsidRPr="004164CC">
        <w:rPr>
          <w:rFonts w:cs="Arial"/>
          <w:b/>
        </w:rPr>
        <w:lastRenderedPageBreak/>
        <w:t>Supplemental Table 5</w:t>
      </w:r>
      <w:r w:rsidRPr="004164CC">
        <w:rPr>
          <w:b/>
        </w:rPr>
        <w:t xml:space="preserve"> Trends in combined primary or comorbid heart failure events, </w:t>
      </w:r>
      <w:r w:rsidRPr="004164CC">
        <w:rPr>
          <w:b/>
          <w:bCs/>
          <w:color w:val="000000"/>
        </w:rPr>
        <w:t xml:space="preserve">Nationwide Emergency Department Sample, National (Nationwide) Inpatient Sample and National Vital Statistics System, </w:t>
      </w:r>
      <w:r w:rsidRPr="004164CC">
        <w:rPr>
          <w:b/>
        </w:rPr>
        <w:t>2006-2014*</w:t>
      </w:r>
    </w:p>
    <w:tbl>
      <w:tblPr>
        <w:tblStyle w:val="TableGrid21"/>
        <w:tblW w:w="5527" w:type="pct"/>
        <w:tblInd w:w="-5" w:type="dxa"/>
        <w:tblLook w:val="04A0" w:firstRow="1" w:lastRow="0" w:firstColumn="1" w:lastColumn="0" w:noHBand="0" w:noVBand="1"/>
      </w:tblPr>
      <w:tblGrid>
        <w:gridCol w:w="1344"/>
        <w:gridCol w:w="926"/>
        <w:gridCol w:w="1176"/>
        <w:gridCol w:w="993"/>
        <w:gridCol w:w="1035"/>
        <w:gridCol w:w="825"/>
        <w:gridCol w:w="1439"/>
        <w:gridCol w:w="926"/>
        <w:gridCol w:w="876"/>
      </w:tblGrid>
      <w:tr w:rsidR="006646B0" w:rsidRPr="004164CC" w:rsidTr="00C94987">
        <w:trPr>
          <w:trHeight w:val="413"/>
        </w:trPr>
        <w:tc>
          <w:tcPr>
            <w:tcW w:w="721" w:type="pct"/>
            <w:vMerge w:val="restart"/>
          </w:tcPr>
          <w:p w:rsidR="006646B0" w:rsidRPr="004164CC" w:rsidRDefault="006646B0" w:rsidP="00C9498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79" w:type="pct"/>
            <w:gridSpan w:val="8"/>
            <w:vAlign w:val="center"/>
          </w:tcPr>
          <w:p w:rsidR="006646B0" w:rsidRPr="004164CC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4164CC">
              <w:rPr>
                <w:rFonts w:asciiTheme="minorHAnsi" w:hAnsiTheme="minorHAnsi"/>
                <w:b/>
              </w:rPr>
              <w:t>Heart Failure as Primary or Comorbid Diagnosis</w:t>
            </w:r>
          </w:p>
        </w:tc>
      </w:tr>
      <w:tr w:rsidR="006646B0" w:rsidRPr="00BA6C31" w:rsidTr="00C94987">
        <w:trPr>
          <w:trHeight w:val="413"/>
        </w:trPr>
        <w:tc>
          <w:tcPr>
            <w:tcW w:w="721" w:type="pct"/>
            <w:vMerge/>
          </w:tcPr>
          <w:p w:rsidR="006646B0" w:rsidRPr="004164CC" w:rsidRDefault="006646B0" w:rsidP="00C9498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18" w:type="pct"/>
            <w:gridSpan w:val="2"/>
            <w:vAlign w:val="center"/>
          </w:tcPr>
          <w:p w:rsidR="006646B0" w:rsidRPr="004164CC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4164CC">
              <w:rPr>
                <w:rFonts w:asciiTheme="minorHAnsi" w:hAnsiTheme="minorHAnsi"/>
                <w:b/>
              </w:rPr>
              <w:t>Unique</w:t>
            </w:r>
          </w:p>
          <w:p w:rsidR="006646B0" w:rsidRPr="004164CC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4164CC">
              <w:rPr>
                <w:rFonts w:asciiTheme="minorHAnsi" w:hAnsiTheme="minorHAnsi"/>
                <w:b/>
              </w:rPr>
              <w:t>Emergency Department Visits</w:t>
            </w:r>
          </w:p>
        </w:tc>
        <w:tc>
          <w:tcPr>
            <w:tcW w:w="1096" w:type="pct"/>
            <w:gridSpan w:val="2"/>
            <w:vAlign w:val="center"/>
          </w:tcPr>
          <w:p w:rsidR="006646B0" w:rsidRPr="004164CC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4164CC">
              <w:rPr>
                <w:rFonts w:asciiTheme="minorHAnsi" w:hAnsiTheme="minorHAnsi"/>
                <w:b/>
              </w:rPr>
              <w:t>Unique</w:t>
            </w:r>
          </w:p>
          <w:p w:rsidR="006646B0" w:rsidRPr="004164CC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4164CC">
              <w:rPr>
                <w:rFonts w:asciiTheme="minorHAnsi" w:hAnsiTheme="minorHAnsi"/>
                <w:b/>
              </w:rPr>
              <w:t>Acute Hospitalizations</w:t>
            </w:r>
          </w:p>
        </w:tc>
        <w:tc>
          <w:tcPr>
            <w:tcW w:w="1216" w:type="pct"/>
            <w:gridSpan w:val="2"/>
            <w:vAlign w:val="center"/>
          </w:tcPr>
          <w:p w:rsidR="006646B0" w:rsidRPr="004164CC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4164CC">
              <w:rPr>
                <w:rFonts w:asciiTheme="minorHAnsi" w:hAnsiTheme="minorHAnsi"/>
                <w:b/>
              </w:rPr>
              <w:t>Unique</w:t>
            </w:r>
          </w:p>
          <w:p w:rsidR="006646B0" w:rsidRPr="004164CC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4164CC">
              <w:rPr>
                <w:rFonts w:asciiTheme="minorHAnsi" w:hAnsiTheme="minorHAnsi"/>
                <w:b/>
              </w:rPr>
              <w:t>Deaths</w:t>
            </w:r>
          </w:p>
        </w:tc>
        <w:tc>
          <w:tcPr>
            <w:tcW w:w="849" w:type="pct"/>
            <w:gridSpan w:val="2"/>
            <w:vAlign w:val="center"/>
          </w:tcPr>
          <w:p w:rsidR="006646B0" w:rsidRPr="004164CC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4164CC">
              <w:rPr>
                <w:rFonts w:asciiTheme="minorHAnsi" w:hAnsiTheme="minorHAnsi"/>
                <w:b/>
              </w:rPr>
              <w:t>Total Events</w:t>
            </w:r>
          </w:p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4164CC">
              <w:rPr>
                <w:rFonts w:asciiTheme="minorHAnsi" w:hAnsiTheme="minorHAnsi"/>
                <w:b/>
              </w:rPr>
              <w:t>(unique)</w:t>
            </w:r>
          </w:p>
        </w:tc>
      </w:tr>
      <w:tr w:rsidR="006646B0" w:rsidRPr="00BA6C31" w:rsidTr="00C94987">
        <w:trPr>
          <w:trHeight w:val="413"/>
        </w:trPr>
        <w:tc>
          <w:tcPr>
            <w:tcW w:w="721" w:type="pct"/>
            <w:vMerge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5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633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Rate per 100,000</w:t>
            </w:r>
          </w:p>
        </w:tc>
        <w:tc>
          <w:tcPr>
            <w:tcW w:w="537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559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Rate per 100,000</w:t>
            </w:r>
          </w:p>
        </w:tc>
        <w:tc>
          <w:tcPr>
            <w:tcW w:w="445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771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Rate per 100,000</w:t>
            </w:r>
          </w:p>
        </w:tc>
        <w:tc>
          <w:tcPr>
            <w:tcW w:w="389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460" w:type="pct"/>
            <w:vAlign w:val="center"/>
          </w:tcPr>
          <w:p w:rsidR="006646B0" w:rsidRPr="00BA6C31" w:rsidRDefault="006646B0" w:rsidP="00C94987">
            <w:pPr>
              <w:jc w:val="center"/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Rate per 100,000</w:t>
            </w:r>
          </w:p>
        </w:tc>
      </w:tr>
      <w:tr w:rsidR="006646B0" w:rsidRPr="00BA6C31" w:rsidTr="00C94987">
        <w:tc>
          <w:tcPr>
            <w:tcW w:w="721" w:type="pct"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2006*</w:t>
            </w:r>
          </w:p>
        </w:tc>
        <w:tc>
          <w:tcPr>
            <w:tcW w:w="48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852136</w:t>
            </w:r>
          </w:p>
        </w:tc>
        <w:tc>
          <w:tcPr>
            <w:tcW w:w="633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385</w:t>
            </w:r>
          </w:p>
        </w:tc>
        <w:tc>
          <w:tcPr>
            <w:tcW w:w="537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3302458</w:t>
            </w:r>
          </w:p>
        </w:tc>
        <w:tc>
          <w:tcPr>
            <w:tcW w:w="559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1491</w:t>
            </w:r>
          </w:p>
        </w:tc>
        <w:tc>
          <w:tcPr>
            <w:tcW w:w="44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287370</w:t>
            </w:r>
          </w:p>
        </w:tc>
        <w:tc>
          <w:tcPr>
            <w:tcW w:w="771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127</w:t>
            </w:r>
          </w:p>
        </w:tc>
        <w:tc>
          <w:tcPr>
            <w:tcW w:w="389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4441964</w:t>
            </w:r>
          </w:p>
        </w:tc>
        <w:tc>
          <w:tcPr>
            <w:tcW w:w="460" w:type="pct"/>
            <w:vAlign w:val="center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  <w:color w:val="000000"/>
              </w:rPr>
              <w:t>2003</w:t>
            </w:r>
          </w:p>
        </w:tc>
      </w:tr>
      <w:tr w:rsidR="006646B0" w:rsidRPr="00BA6C31" w:rsidTr="00C94987">
        <w:tc>
          <w:tcPr>
            <w:tcW w:w="721" w:type="pct"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2007*</w:t>
            </w:r>
          </w:p>
        </w:tc>
        <w:tc>
          <w:tcPr>
            <w:tcW w:w="48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878052</w:t>
            </w:r>
          </w:p>
        </w:tc>
        <w:tc>
          <w:tcPr>
            <w:tcW w:w="633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391</w:t>
            </w:r>
          </w:p>
        </w:tc>
        <w:tc>
          <w:tcPr>
            <w:tcW w:w="537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3189943</w:t>
            </w:r>
          </w:p>
        </w:tc>
        <w:tc>
          <w:tcPr>
            <w:tcW w:w="559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1416</w:t>
            </w:r>
          </w:p>
        </w:tc>
        <w:tc>
          <w:tcPr>
            <w:tcW w:w="44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281876</w:t>
            </w:r>
          </w:p>
        </w:tc>
        <w:tc>
          <w:tcPr>
            <w:tcW w:w="771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123</w:t>
            </w:r>
          </w:p>
        </w:tc>
        <w:tc>
          <w:tcPr>
            <w:tcW w:w="389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4349871</w:t>
            </w:r>
          </w:p>
        </w:tc>
        <w:tc>
          <w:tcPr>
            <w:tcW w:w="460" w:type="pct"/>
            <w:vAlign w:val="center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  <w:color w:val="000000"/>
              </w:rPr>
              <w:t>1930</w:t>
            </w:r>
          </w:p>
        </w:tc>
      </w:tr>
      <w:tr w:rsidR="006646B0" w:rsidRPr="00BA6C31" w:rsidTr="00C94987">
        <w:tc>
          <w:tcPr>
            <w:tcW w:w="721" w:type="pct"/>
          </w:tcPr>
          <w:p w:rsidR="006646B0" w:rsidRPr="00BA6C31" w:rsidRDefault="006646B0" w:rsidP="00C94987">
            <w:pPr>
              <w:rPr>
                <w:rFonts w:asciiTheme="minorHAnsi" w:hAnsiTheme="minorHAnsi"/>
              </w:rPr>
            </w:pPr>
            <w:r w:rsidRPr="00BA6C31">
              <w:rPr>
                <w:rFonts w:asciiTheme="minorHAnsi" w:hAnsiTheme="minorHAnsi"/>
                <w:b/>
              </w:rPr>
              <w:t>2008*</w:t>
            </w:r>
          </w:p>
        </w:tc>
        <w:tc>
          <w:tcPr>
            <w:tcW w:w="48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969579</w:t>
            </w:r>
          </w:p>
        </w:tc>
        <w:tc>
          <w:tcPr>
            <w:tcW w:w="633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424</w:t>
            </w:r>
          </w:p>
        </w:tc>
        <w:tc>
          <w:tcPr>
            <w:tcW w:w="537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3217544</w:t>
            </w:r>
          </w:p>
        </w:tc>
        <w:tc>
          <w:tcPr>
            <w:tcW w:w="559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1402</w:t>
            </w:r>
          </w:p>
        </w:tc>
        <w:tc>
          <w:tcPr>
            <w:tcW w:w="44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286282</w:t>
            </w:r>
          </w:p>
        </w:tc>
        <w:tc>
          <w:tcPr>
            <w:tcW w:w="771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123</w:t>
            </w:r>
          </w:p>
        </w:tc>
        <w:tc>
          <w:tcPr>
            <w:tcW w:w="389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4473405</w:t>
            </w:r>
          </w:p>
        </w:tc>
        <w:tc>
          <w:tcPr>
            <w:tcW w:w="460" w:type="pct"/>
            <w:vAlign w:val="center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  <w:color w:val="000000"/>
              </w:rPr>
              <w:t>1949</w:t>
            </w:r>
          </w:p>
        </w:tc>
      </w:tr>
      <w:tr w:rsidR="006646B0" w:rsidRPr="00BA6C31" w:rsidTr="00C94987">
        <w:tc>
          <w:tcPr>
            <w:tcW w:w="721" w:type="pct"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2009*</w:t>
            </w:r>
          </w:p>
        </w:tc>
        <w:tc>
          <w:tcPr>
            <w:tcW w:w="48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1025456</w:t>
            </w:r>
          </w:p>
        </w:tc>
        <w:tc>
          <w:tcPr>
            <w:tcW w:w="633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441</w:t>
            </w:r>
          </w:p>
        </w:tc>
        <w:tc>
          <w:tcPr>
            <w:tcW w:w="537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3347920</w:t>
            </w:r>
          </w:p>
        </w:tc>
        <w:tc>
          <w:tcPr>
            <w:tcW w:w="559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1437</w:t>
            </w:r>
          </w:p>
        </w:tc>
        <w:tc>
          <w:tcPr>
            <w:tcW w:w="44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279516</w:t>
            </w:r>
          </w:p>
        </w:tc>
        <w:tc>
          <w:tcPr>
            <w:tcW w:w="771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119</w:t>
            </w:r>
          </w:p>
        </w:tc>
        <w:tc>
          <w:tcPr>
            <w:tcW w:w="389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4652891</w:t>
            </w:r>
          </w:p>
        </w:tc>
        <w:tc>
          <w:tcPr>
            <w:tcW w:w="460" w:type="pct"/>
            <w:vAlign w:val="center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  <w:color w:val="000000"/>
              </w:rPr>
              <w:t>1997</w:t>
            </w:r>
          </w:p>
        </w:tc>
      </w:tr>
      <w:tr w:rsidR="006646B0" w:rsidRPr="00BA6C31" w:rsidTr="00C94987">
        <w:tc>
          <w:tcPr>
            <w:tcW w:w="721" w:type="pct"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2010*</w:t>
            </w:r>
          </w:p>
        </w:tc>
        <w:tc>
          <w:tcPr>
            <w:tcW w:w="48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1099433</w:t>
            </w:r>
          </w:p>
        </w:tc>
        <w:tc>
          <w:tcPr>
            <w:tcW w:w="633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466</w:t>
            </w:r>
          </w:p>
        </w:tc>
        <w:tc>
          <w:tcPr>
            <w:tcW w:w="537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3311521</w:t>
            </w:r>
          </w:p>
        </w:tc>
        <w:tc>
          <w:tcPr>
            <w:tcW w:w="559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1398</w:t>
            </w:r>
          </w:p>
        </w:tc>
        <w:tc>
          <w:tcPr>
            <w:tcW w:w="44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284195</w:t>
            </w:r>
          </w:p>
        </w:tc>
        <w:tc>
          <w:tcPr>
            <w:tcW w:w="771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119</w:t>
            </w:r>
          </w:p>
        </w:tc>
        <w:tc>
          <w:tcPr>
            <w:tcW w:w="389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4695149</w:t>
            </w:r>
          </w:p>
        </w:tc>
        <w:tc>
          <w:tcPr>
            <w:tcW w:w="460" w:type="pct"/>
            <w:vAlign w:val="center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  <w:color w:val="000000"/>
              </w:rPr>
              <w:t>1983</w:t>
            </w:r>
          </w:p>
        </w:tc>
      </w:tr>
      <w:tr w:rsidR="006646B0" w:rsidRPr="00BA6C31" w:rsidTr="00C94987">
        <w:tc>
          <w:tcPr>
            <w:tcW w:w="721" w:type="pct"/>
          </w:tcPr>
          <w:p w:rsidR="006646B0" w:rsidRPr="00BA6C31" w:rsidRDefault="006646B0" w:rsidP="00C94987">
            <w:pPr>
              <w:rPr>
                <w:rFonts w:asciiTheme="minorHAnsi" w:hAnsiTheme="minorHAnsi"/>
                <w:b/>
              </w:rPr>
            </w:pPr>
            <w:r w:rsidRPr="00BA6C31">
              <w:rPr>
                <w:rFonts w:asciiTheme="minorHAnsi" w:hAnsiTheme="minorHAnsi"/>
                <w:b/>
              </w:rPr>
              <w:t>2011*</w:t>
            </w:r>
          </w:p>
        </w:tc>
        <w:tc>
          <w:tcPr>
            <w:tcW w:w="48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1200560</w:t>
            </w:r>
          </w:p>
        </w:tc>
        <w:tc>
          <w:tcPr>
            <w:tcW w:w="633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502</w:t>
            </w:r>
          </w:p>
        </w:tc>
        <w:tc>
          <w:tcPr>
            <w:tcW w:w="537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3539872</w:t>
            </w:r>
          </w:p>
        </w:tc>
        <w:tc>
          <w:tcPr>
            <w:tcW w:w="559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1479</w:t>
            </w:r>
          </w:p>
        </w:tc>
        <w:tc>
          <w:tcPr>
            <w:tcW w:w="44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289179</w:t>
            </w:r>
          </w:p>
        </w:tc>
        <w:tc>
          <w:tcPr>
            <w:tcW w:w="771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389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5029611</w:t>
            </w:r>
          </w:p>
        </w:tc>
        <w:tc>
          <w:tcPr>
            <w:tcW w:w="460" w:type="pct"/>
            <w:vAlign w:val="center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  <w:color w:val="000000"/>
              </w:rPr>
              <w:t>2102</w:t>
            </w:r>
          </w:p>
        </w:tc>
      </w:tr>
      <w:tr w:rsidR="006646B0" w:rsidRPr="00BA6C31" w:rsidTr="00C94987">
        <w:tc>
          <w:tcPr>
            <w:tcW w:w="721" w:type="pct"/>
          </w:tcPr>
          <w:p w:rsidR="006646B0" w:rsidRPr="00BA6C31" w:rsidRDefault="006646B0" w:rsidP="00C94987">
            <w:pPr>
              <w:rPr>
                <w:rFonts w:asciiTheme="minorHAnsi" w:hAnsiTheme="minorHAnsi"/>
              </w:rPr>
            </w:pPr>
            <w:r w:rsidRPr="00BA6C31">
              <w:rPr>
                <w:rFonts w:asciiTheme="minorHAnsi" w:hAnsiTheme="minorHAnsi"/>
                <w:b/>
              </w:rPr>
              <w:t>2012*</w:t>
            </w:r>
          </w:p>
        </w:tc>
        <w:tc>
          <w:tcPr>
            <w:tcW w:w="48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1242239</w:t>
            </w:r>
          </w:p>
        </w:tc>
        <w:tc>
          <w:tcPr>
            <w:tcW w:w="633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510</w:t>
            </w:r>
          </w:p>
        </w:tc>
        <w:tc>
          <w:tcPr>
            <w:tcW w:w="537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3421145</w:t>
            </w:r>
          </w:p>
        </w:tc>
        <w:tc>
          <w:tcPr>
            <w:tcW w:w="559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1399</w:t>
            </w:r>
          </w:p>
        </w:tc>
        <w:tc>
          <w:tcPr>
            <w:tcW w:w="44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290967</w:t>
            </w:r>
          </w:p>
        </w:tc>
        <w:tc>
          <w:tcPr>
            <w:tcW w:w="771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119</w:t>
            </w:r>
          </w:p>
        </w:tc>
        <w:tc>
          <w:tcPr>
            <w:tcW w:w="389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4954351</w:t>
            </w:r>
          </w:p>
        </w:tc>
        <w:tc>
          <w:tcPr>
            <w:tcW w:w="460" w:type="pct"/>
            <w:vAlign w:val="center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  <w:color w:val="000000"/>
              </w:rPr>
              <w:t>2028</w:t>
            </w:r>
          </w:p>
        </w:tc>
      </w:tr>
      <w:tr w:rsidR="006646B0" w:rsidRPr="00BA6C31" w:rsidTr="00C94987">
        <w:tc>
          <w:tcPr>
            <w:tcW w:w="721" w:type="pct"/>
          </w:tcPr>
          <w:p w:rsidR="006646B0" w:rsidRPr="00BA6C31" w:rsidRDefault="006646B0" w:rsidP="00C94987">
            <w:pPr>
              <w:rPr>
                <w:rFonts w:asciiTheme="minorHAnsi" w:hAnsiTheme="minorHAnsi"/>
              </w:rPr>
            </w:pPr>
            <w:r w:rsidRPr="00BA6C31">
              <w:rPr>
                <w:rFonts w:asciiTheme="minorHAnsi" w:hAnsiTheme="minorHAnsi"/>
                <w:b/>
              </w:rPr>
              <w:t>2013*</w:t>
            </w:r>
          </w:p>
        </w:tc>
        <w:tc>
          <w:tcPr>
            <w:tcW w:w="48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1385415</w:t>
            </w:r>
          </w:p>
        </w:tc>
        <w:tc>
          <w:tcPr>
            <w:tcW w:w="633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558</w:t>
            </w:r>
          </w:p>
        </w:tc>
        <w:tc>
          <w:tcPr>
            <w:tcW w:w="537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3469548</w:t>
            </w:r>
          </w:p>
        </w:tc>
        <w:tc>
          <w:tcPr>
            <w:tcW w:w="559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1391</w:t>
            </w:r>
          </w:p>
        </w:tc>
        <w:tc>
          <w:tcPr>
            <w:tcW w:w="44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305343</w:t>
            </w:r>
          </w:p>
        </w:tc>
        <w:tc>
          <w:tcPr>
            <w:tcW w:w="771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123</w:t>
            </w:r>
          </w:p>
        </w:tc>
        <w:tc>
          <w:tcPr>
            <w:tcW w:w="389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5160306</w:t>
            </w:r>
          </w:p>
        </w:tc>
        <w:tc>
          <w:tcPr>
            <w:tcW w:w="460" w:type="pct"/>
            <w:vAlign w:val="center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  <w:color w:val="000000"/>
              </w:rPr>
              <w:t>2071</w:t>
            </w:r>
          </w:p>
        </w:tc>
      </w:tr>
      <w:tr w:rsidR="006646B0" w:rsidRPr="00BA6C31" w:rsidTr="00C94987">
        <w:tc>
          <w:tcPr>
            <w:tcW w:w="721" w:type="pct"/>
          </w:tcPr>
          <w:p w:rsidR="006646B0" w:rsidRPr="00BA6C31" w:rsidRDefault="006646B0" w:rsidP="00C94987">
            <w:pPr>
              <w:rPr>
                <w:rFonts w:asciiTheme="minorHAnsi" w:hAnsiTheme="minorHAnsi"/>
              </w:rPr>
            </w:pPr>
            <w:r w:rsidRPr="00BA6C31">
              <w:rPr>
                <w:rFonts w:asciiTheme="minorHAnsi" w:hAnsiTheme="minorHAnsi"/>
                <w:b/>
              </w:rPr>
              <w:t>2014*</w:t>
            </w:r>
          </w:p>
        </w:tc>
        <w:tc>
          <w:tcPr>
            <w:tcW w:w="48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1540826</w:t>
            </w:r>
          </w:p>
        </w:tc>
        <w:tc>
          <w:tcPr>
            <w:tcW w:w="633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610</w:t>
            </w:r>
          </w:p>
        </w:tc>
        <w:tc>
          <w:tcPr>
            <w:tcW w:w="537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3575152</w:t>
            </w:r>
          </w:p>
        </w:tc>
        <w:tc>
          <w:tcPr>
            <w:tcW w:w="559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1404</w:t>
            </w:r>
          </w:p>
        </w:tc>
        <w:tc>
          <w:tcPr>
            <w:tcW w:w="445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314668</w:t>
            </w:r>
          </w:p>
        </w:tc>
        <w:tc>
          <w:tcPr>
            <w:tcW w:w="771" w:type="pct"/>
            <w:vAlign w:val="bottom"/>
          </w:tcPr>
          <w:p w:rsidR="006646B0" w:rsidRPr="00F24584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124</w:t>
            </w:r>
          </w:p>
        </w:tc>
        <w:tc>
          <w:tcPr>
            <w:tcW w:w="389" w:type="pct"/>
            <w:vAlign w:val="bottom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827990">
              <w:rPr>
                <w:rFonts w:asciiTheme="minorHAnsi" w:hAnsiTheme="minorHAnsi" w:cstheme="minorHAnsi"/>
              </w:rPr>
              <w:t>5430646</w:t>
            </w:r>
          </w:p>
        </w:tc>
        <w:tc>
          <w:tcPr>
            <w:tcW w:w="460" w:type="pct"/>
            <w:vAlign w:val="center"/>
          </w:tcPr>
          <w:p w:rsidR="006646B0" w:rsidRPr="00827990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  <w:color w:val="000000"/>
              </w:rPr>
              <w:t>2138</w:t>
            </w:r>
          </w:p>
        </w:tc>
      </w:tr>
      <w:tr w:rsidR="006646B0" w:rsidRPr="00BA6C31" w:rsidTr="00C94987">
        <w:tc>
          <w:tcPr>
            <w:tcW w:w="721" w:type="pct"/>
          </w:tcPr>
          <w:p w:rsidR="006646B0" w:rsidRPr="00BA6C31" w:rsidRDefault="006646B0" w:rsidP="00C94987">
            <w:pPr>
              <w:rPr>
                <w:b/>
              </w:rPr>
            </w:pPr>
            <w:r>
              <w:rPr>
                <w:b/>
              </w:rPr>
              <w:t>RPC</w:t>
            </w:r>
            <w:r w:rsidRPr="00DA7251">
              <w:rPr>
                <w:b/>
                <w:vertAlign w:val="superscript"/>
              </w:rPr>
              <w:t>£</w:t>
            </w:r>
            <w:r>
              <w:rPr>
                <w:b/>
              </w:rPr>
              <w:t xml:space="preserve"> (95%CI)</w:t>
            </w:r>
          </w:p>
        </w:tc>
        <w:tc>
          <w:tcPr>
            <w:tcW w:w="1118" w:type="pct"/>
            <w:gridSpan w:val="2"/>
            <w:vAlign w:val="bottom"/>
          </w:tcPr>
          <w:p w:rsidR="006646B0" w:rsidRPr="00F4353D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58.4% (57.7, 59.0%)</w:t>
            </w:r>
          </w:p>
        </w:tc>
        <w:tc>
          <w:tcPr>
            <w:tcW w:w="1096" w:type="pct"/>
            <w:gridSpan w:val="2"/>
            <w:vAlign w:val="bottom"/>
          </w:tcPr>
          <w:p w:rsidR="006646B0" w:rsidRPr="00F4353D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-5.8% (-7.1, -4.5%)</w:t>
            </w:r>
          </w:p>
        </w:tc>
        <w:tc>
          <w:tcPr>
            <w:tcW w:w="1216" w:type="pct"/>
            <w:gridSpan w:val="2"/>
            <w:vAlign w:val="bottom"/>
          </w:tcPr>
          <w:p w:rsidR="006646B0" w:rsidRPr="00F4353D" w:rsidRDefault="006646B0" w:rsidP="00C94987">
            <w:pPr>
              <w:jc w:val="center"/>
              <w:rPr>
                <w:rFonts w:asciiTheme="minorHAnsi" w:hAnsiTheme="minorHAnsi" w:cstheme="minorHAnsi"/>
              </w:rPr>
            </w:pPr>
            <w:r w:rsidRPr="00F4353D">
              <w:rPr>
                <w:rFonts w:asciiTheme="minorHAnsi" w:hAnsiTheme="minorHAnsi" w:cstheme="minorHAnsi"/>
              </w:rPr>
              <w:t>-2.59% (-2.61, -2.58%)</w:t>
            </w:r>
          </w:p>
        </w:tc>
        <w:tc>
          <w:tcPr>
            <w:tcW w:w="849" w:type="pct"/>
            <w:gridSpan w:val="2"/>
            <w:vAlign w:val="bottom"/>
          </w:tcPr>
          <w:p w:rsidR="006646B0" w:rsidRPr="00F4353D" w:rsidRDefault="006646B0" w:rsidP="00C949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4353D">
              <w:rPr>
                <w:rFonts w:asciiTheme="minorHAnsi" w:hAnsiTheme="minorHAnsi" w:cstheme="minorHAnsi"/>
                <w:color w:val="000000"/>
              </w:rPr>
              <w:t>6.7% (6.0, 7.5%)</w:t>
            </w:r>
          </w:p>
        </w:tc>
      </w:tr>
    </w:tbl>
    <w:p w:rsidR="006646B0" w:rsidRDefault="006646B0" w:rsidP="006646B0">
      <w:pPr>
        <w:spacing w:after="200"/>
        <w:rPr>
          <w:sz w:val="20"/>
          <w:szCs w:val="20"/>
        </w:rPr>
      </w:pPr>
      <w:r w:rsidRPr="00BA6C31">
        <w:rPr>
          <w:sz w:val="20"/>
          <w:szCs w:val="20"/>
        </w:rPr>
        <w:t>*</w:t>
      </w:r>
      <w:r w:rsidRPr="00BA6C31">
        <w:rPr>
          <w:color w:val="000000"/>
          <w:sz w:val="20"/>
          <w:szCs w:val="20"/>
        </w:rPr>
        <w:t xml:space="preserve"> Standardized by age to the 2010 U.S. Census Population distribution among adults aged ≥18 years</w:t>
      </w:r>
      <w:r w:rsidRPr="00BA6C31">
        <w:rPr>
          <w:sz w:val="20"/>
          <w:szCs w:val="20"/>
        </w:rPr>
        <w:t>; To be consistent with the earlier years, only 24 secondary codes in NIS and NEDS were included for the trend analyses.</w:t>
      </w:r>
    </w:p>
    <w:p w:rsidR="006646B0" w:rsidRPr="00BA6C31" w:rsidRDefault="006646B0" w:rsidP="006646B0">
      <w:pPr>
        <w:spacing w:after="200"/>
        <w:rPr>
          <w:sz w:val="20"/>
          <w:szCs w:val="20"/>
        </w:rPr>
      </w:pPr>
      <w:r w:rsidRPr="00DA7251">
        <w:rPr>
          <w:b/>
          <w:vertAlign w:val="superscript"/>
        </w:rPr>
        <w:t>£</w:t>
      </w:r>
      <w:r w:rsidRPr="00CC69FB">
        <w:rPr>
          <w:rFonts w:cs="Times New Roman"/>
          <w:sz w:val="20"/>
          <w:szCs w:val="20"/>
        </w:rPr>
        <w:t xml:space="preserve"> </w:t>
      </w:r>
      <w:r w:rsidRPr="004D3B05">
        <w:rPr>
          <w:rFonts w:cs="Times New Roman"/>
          <w:sz w:val="20"/>
          <w:szCs w:val="20"/>
        </w:rPr>
        <w:t xml:space="preserve">Relative Percent Change (RPC) </w:t>
      </w:r>
      <w:r>
        <w:rPr>
          <w:rFonts w:cs="Times New Roman"/>
          <w:sz w:val="20"/>
          <w:szCs w:val="20"/>
        </w:rPr>
        <w:t xml:space="preserve">for a given rate is </w:t>
      </w:r>
      <w:r w:rsidRPr="004D3B05">
        <w:rPr>
          <w:rFonts w:cs="Times New Roman"/>
          <w:sz w:val="20"/>
          <w:szCs w:val="20"/>
        </w:rPr>
        <w:t xml:space="preserve">calculated </w:t>
      </w:r>
      <w:r>
        <w:rPr>
          <w:rFonts w:cs="Times New Roman"/>
          <w:sz w:val="20"/>
          <w:szCs w:val="20"/>
        </w:rPr>
        <w:t>with</w:t>
      </w:r>
      <w:r w:rsidRPr="004D3B05">
        <w:rPr>
          <w:rFonts w:cs="Times New Roman"/>
          <w:sz w:val="20"/>
          <w:szCs w:val="20"/>
        </w:rPr>
        <w:t xml:space="preserve"> the</w:t>
      </w:r>
      <w:r>
        <w:rPr>
          <w:rFonts w:cs="Times New Roman"/>
          <w:sz w:val="20"/>
          <w:szCs w:val="20"/>
        </w:rPr>
        <w:t xml:space="preserve"> following: (rate</w:t>
      </w:r>
      <w:r>
        <w:rPr>
          <w:rFonts w:cs="Times New Roman"/>
          <w:sz w:val="20"/>
          <w:szCs w:val="20"/>
          <w:vertAlign w:val="subscript"/>
        </w:rPr>
        <w:t>2014</w:t>
      </w:r>
      <w:r>
        <w:rPr>
          <w:rFonts w:cs="Times New Roman"/>
          <w:sz w:val="20"/>
          <w:szCs w:val="20"/>
        </w:rPr>
        <w:t xml:space="preserve"> – rate</w:t>
      </w:r>
      <w:r w:rsidRPr="005B549E">
        <w:rPr>
          <w:rFonts w:cs="Times New Roman"/>
          <w:sz w:val="20"/>
          <w:szCs w:val="20"/>
          <w:vertAlign w:val="subscript"/>
        </w:rPr>
        <w:t>20</w:t>
      </w:r>
      <w:r>
        <w:rPr>
          <w:rFonts w:cs="Times New Roman"/>
          <w:sz w:val="20"/>
          <w:szCs w:val="20"/>
          <w:vertAlign w:val="subscript"/>
        </w:rPr>
        <w:t>06</w:t>
      </w:r>
      <w:r>
        <w:rPr>
          <w:rFonts w:cs="Times New Roman"/>
          <w:sz w:val="20"/>
          <w:szCs w:val="20"/>
        </w:rPr>
        <w:t>)/</w:t>
      </w:r>
      <w:r w:rsidRPr="005B549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rate</w:t>
      </w:r>
      <w:r>
        <w:rPr>
          <w:rFonts w:cs="Times New Roman"/>
          <w:sz w:val="20"/>
          <w:szCs w:val="20"/>
          <w:vertAlign w:val="subscript"/>
        </w:rPr>
        <w:t>2006.</w:t>
      </w:r>
    </w:p>
    <w:p w:rsidR="006646B0" w:rsidRPr="00BA6C31" w:rsidRDefault="006646B0" w:rsidP="006646B0">
      <w:pPr>
        <w:ind w:left="-900"/>
        <w:rPr>
          <w:b/>
          <w:bCs/>
          <w:color w:val="000000"/>
          <w:sz w:val="20"/>
          <w:szCs w:val="20"/>
        </w:rPr>
      </w:pPr>
    </w:p>
    <w:p w:rsidR="006646B0" w:rsidRDefault="006646B0" w:rsidP="006646B0">
      <w:pPr>
        <w:rPr>
          <w:rFonts w:cs="Arial"/>
          <w:b/>
        </w:rPr>
      </w:pPr>
    </w:p>
    <w:p w:rsidR="006646B0" w:rsidRDefault="006646B0" w:rsidP="006646B0">
      <w:pPr>
        <w:rPr>
          <w:rFonts w:cs="Arial"/>
          <w:b/>
        </w:rPr>
      </w:pPr>
    </w:p>
    <w:p w:rsidR="00B5068D" w:rsidRDefault="00B5068D">
      <w:pPr>
        <w:spacing w:after="160" w:line="259" w:lineRule="auto"/>
      </w:pPr>
      <w:r>
        <w:br w:type="page"/>
      </w:r>
    </w:p>
    <w:p w:rsidR="00B5068D" w:rsidRDefault="00B5068D" w:rsidP="00B5068D">
      <w:pPr>
        <w:rPr>
          <w:rFonts w:cs="Arial"/>
        </w:rPr>
      </w:pPr>
      <w:r w:rsidRPr="00B35EC0">
        <w:rPr>
          <w:rFonts w:cs="Arial"/>
          <w:b/>
        </w:rPr>
        <w:lastRenderedPageBreak/>
        <w:t xml:space="preserve">Supplemental Figure 1. </w:t>
      </w:r>
      <w:r w:rsidRPr="00B35EC0">
        <w:rPr>
          <w:b/>
        </w:rPr>
        <w:t>Trends</w:t>
      </w:r>
      <w:r w:rsidRPr="00DF03DB">
        <w:rPr>
          <w:b/>
        </w:rPr>
        <w:t xml:space="preserve"> in </w:t>
      </w:r>
      <w:r>
        <w:rPr>
          <w:b/>
        </w:rPr>
        <w:t>total unique</w:t>
      </w:r>
      <w:r w:rsidRPr="00DF03DB">
        <w:rPr>
          <w:b/>
        </w:rPr>
        <w:t xml:space="preserve"> </w:t>
      </w:r>
      <w:r>
        <w:rPr>
          <w:b/>
        </w:rPr>
        <w:t>acute heart failure</w:t>
      </w:r>
      <w:r w:rsidRPr="00DF03DB">
        <w:rPr>
          <w:b/>
        </w:rPr>
        <w:t xml:space="preserve"> event</w:t>
      </w:r>
      <w:r>
        <w:rPr>
          <w:b/>
        </w:rPr>
        <w:t xml:space="preserve"> rates</w:t>
      </w:r>
      <w:r w:rsidRPr="00DF03DB">
        <w:rPr>
          <w:b/>
        </w:rPr>
        <w:t>,</w:t>
      </w:r>
      <w:r>
        <w:rPr>
          <w:b/>
        </w:rPr>
        <w:t xml:space="preserve"> by age group, for combined primary plus comorbid HF</w:t>
      </w:r>
      <w:r w:rsidRPr="00DF03DB">
        <w:rPr>
          <w:b/>
        </w:rPr>
        <w:t xml:space="preserve"> </w:t>
      </w:r>
      <w:r w:rsidRPr="005B29C6">
        <w:rPr>
          <w:b/>
          <w:bCs/>
          <w:color w:val="000000"/>
        </w:rPr>
        <w:t xml:space="preserve">– </w:t>
      </w:r>
      <w:r w:rsidRPr="00FB209C">
        <w:rPr>
          <w:b/>
          <w:bCs/>
          <w:color w:val="000000"/>
        </w:rPr>
        <w:t>Nationwide Emergency Department Sample, National (Nationwide) Inpatient Sample and National Vital Statistics System, 2006-2014</w:t>
      </w:r>
    </w:p>
    <w:p w:rsidR="00B5068D" w:rsidRDefault="00B5068D" w:rsidP="00B5068D">
      <w:pPr>
        <w:rPr>
          <w:rFonts w:cs="Arial"/>
          <w:b/>
        </w:rPr>
      </w:pPr>
      <w:r w:rsidRPr="004B34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5A2795" wp14:editId="57AD220B">
                <wp:simplePos x="0" y="0"/>
                <wp:positionH relativeFrom="margin">
                  <wp:posOffset>-1009650</wp:posOffset>
                </wp:positionH>
                <wp:positionV relativeFrom="paragraph">
                  <wp:posOffset>2298065</wp:posOffset>
                </wp:positionV>
                <wp:extent cx="1682750" cy="260350"/>
                <wp:effectExtent l="6350" t="0" r="19050" b="19050"/>
                <wp:wrapTight wrapText="bothSides">
                  <wp:wrapPolygon edited="0">
                    <wp:start x="21518" y="-527"/>
                    <wp:lineTo x="0" y="-527"/>
                    <wp:lineTo x="0" y="21600"/>
                    <wp:lineTo x="21518" y="21600"/>
                    <wp:lineTo x="21518" y="-527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827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84" w:rsidRDefault="00F24584" w:rsidP="00B5068D">
                            <w:r>
                              <w:t>Rate per 100,000 persons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A2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9.5pt;margin-top:180.95pt;width:132.5pt;height:20.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">
                <v:textbox>
                  <w:txbxContent>
                    <w:p w:rsidR="00F24584" w:rsidRDefault="00F24584" w:rsidP="00B5068D">
                      <w:r>
                        <w:t>Rate per 100,000 persons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FFF291" wp14:editId="210964BE">
            <wp:extent cx="5067299" cy="4676774"/>
            <wp:effectExtent l="0" t="0" r="635" b="1016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5068D" w:rsidRDefault="00B5068D" w:rsidP="00B5068D">
      <w:pPr>
        <w:rPr>
          <w:rFonts w:cs="Arial"/>
          <w:b/>
        </w:rPr>
      </w:pPr>
      <w:r>
        <w:rPr>
          <w:color w:val="000000" w:themeColor="text1"/>
          <w:sz w:val="20"/>
          <w:szCs w:val="20"/>
        </w:rPr>
        <w:t>Totals</w:t>
      </w:r>
      <w:r w:rsidRPr="00643A4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s</w:t>
      </w:r>
      <w:r w:rsidRPr="00643A41">
        <w:rPr>
          <w:color w:val="000000" w:themeColor="text1"/>
          <w:sz w:val="20"/>
          <w:szCs w:val="20"/>
        </w:rPr>
        <w:t>tandardized by age</w:t>
      </w:r>
      <w:r>
        <w:rPr>
          <w:color w:val="000000" w:themeColor="text1"/>
          <w:sz w:val="20"/>
          <w:szCs w:val="20"/>
        </w:rPr>
        <w:t xml:space="preserve"> </w:t>
      </w:r>
      <w:r w:rsidRPr="00643A41">
        <w:rPr>
          <w:color w:val="000000" w:themeColor="text1"/>
          <w:sz w:val="20"/>
          <w:szCs w:val="20"/>
        </w:rPr>
        <w:t>to the 2010 U.S. Census Population distribution among adults aged ≥18 years</w:t>
      </w:r>
      <w:r>
        <w:rPr>
          <w:sz w:val="20"/>
          <w:szCs w:val="20"/>
        </w:rPr>
        <w:t xml:space="preserve">. Crude age-sex specific rates were reported for sub group estimates. Includes combination of emergency department visits, acute hospitalizations, and deaths. HF=heart failure. See Supplemental Table 4 for detailed numeric results. </w:t>
      </w:r>
    </w:p>
    <w:p w:rsidR="00FC70C6" w:rsidRDefault="00FC70C6"/>
    <w:sectPr w:rsidR="00FC70C6" w:rsidSect="00C949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76B"/>
    <w:multiLevelType w:val="hybridMultilevel"/>
    <w:tmpl w:val="B62EB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46D8"/>
    <w:multiLevelType w:val="multilevel"/>
    <w:tmpl w:val="04F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A6004"/>
    <w:multiLevelType w:val="multilevel"/>
    <w:tmpl w:val="A41C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D5A7B"/>
    <w:multiLevelType w:val="hybridMultilevel"/>
    <w:tmpl w:val="022E1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6BB9"/>
    <w:multiLevelType w:val="hybridMultilevel"/>
    <w:tmpl w:val="B39C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223D"/>
    <w:multiLevelType w:val="hybridMultilevel"/>
    <w:tmpl w:val="5F1E5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657C5D"/>
    <w:multiLevelType w:val="hybridMultilevel"/>
    <w:tmpl w:val="E946B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45D38"/>
    <w:multiLevelType w:val="hybridMultilevel"/>
    <w:tmpl w:val="0652B3B6"/>
    <w:lvl w:ilvl="0" w:tplc="BE1E10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4F340F"/>
    <w:multiLevelType w:val="hybridMultilevel"/>
    <w:tmpl w:val="AC5C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C535E"/>
    <w:multiLevelType w:val="hybridMultilevel"/>
    <w:tmpl w:val="B2B08ACA"/>
    <w:lvl w:ilvl="0" w:tplc="320680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D2F89"/>
    <w:multiLevelType w:val="hybridMultilevel"/>
    <w:tmpl w:val="5A7CD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20388A"/>
    <w:multiLevelType w:val="hybridMultilevel"/>
    <w:tmpl w:val="7C36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95406"/>
    <w:multiLevelType w:val="hybridMultilevel"/>
    <w:tmpl w:val="FB7ED6F0"/>
    <w:lvl w:ilvl="0" w:tplc="9594FE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0"/>
    <w:rsid w:val="000E706B"/>
    <w:rsid w:val="00184E8F"/>
    <w:rsid w:val="001F0F8E"/>
    <w:rsid w:val="00250829"/>
    <w:rsid w:val="006646B0"/>
    <w:rsid w:val="00897476"/>
    <w:rsid w:val="008D2227"/>
    <w:rsid w:val="00B5068D"/>
    <w:rsid w:val="00BE6E82"/>
    <w:rsid w:val="00C26B7E"/>
    <w:rsid w:val="00C50E37"/>
    <w:rsid w:val="00C94987"/>
    <w:rsid w:val="00D26908"/>
    <w:rsid w:val="00F060F7"/>
    <w:rsid w:val="00F24584"/>
    <w:rsid w:val="00F4353D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16C9"/>
  <w15:chartTrackingRefBased/>
  <w15:docId w15:val="{057066E0-00A5-43E5-BA0B-DE67D10E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B0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646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646B0"/>
    <w:pPr>
      <w:keepNext/>
      <w:outlineLvl w:val="6"/>
    </w:pPr>
    <w:rPr>
      <w:rFonts w:ascii="CG Times (WN)" w:eastAsia="Times New Roman" w:hAnsi="CG Times (WN)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6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6646B0"/>
    <w:rPr>
      <w:rFonts w:ascii="CG Times (WN)" w:eastAsia="Times New Roman" w:hAnsi="CG Times (WN)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664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6B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4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6B0"/>
    <w:rPr>
      <w:rFonts w:eastAsiaTheme="minorEastAsia"/>
    </w:rPr>
  </w:style>
  <w:style w:type="paragraph" w:customStyle="1" w:styleId="Default">
    <w:name w:val="Default"/>
    <w:rsid w:val="006646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4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6B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6B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B0"/>
    <w:rPr>
      <w:rFonts w:ascii="Segoe UI" w:eastAsiaTheme="minorEastAs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46B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6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46B0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46B0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646B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646B0"/>
    <w:rPr>
      <w:rFonts w:ascii="Calibri" w:eastAsiaTheme="minorEastAsia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6646B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6646B0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646B0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5">
    <w:name w:val="Style5"/>
    <w:uiPriority w:val="99"/>
    <w:rsid w:val="006646B0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646B0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6646B0"/>
    <w:rPr>
      <w:rFonts w:eastAsiaTheme="minorHAnsi"/>
    </w:rPr>
  </w:style>
  <w:style w:type="paragraph" w:styleId="Revision">
    <w:name w:val="Revision"/>
    <w:hidden/>
    <w:uiPriority w:val="99"/>
    <w:semiHidden/>
    <w:rsid w:val="006646B0"/>
    <w:pPr>
      <w:spacing w:after="0" w:line="240" w:lineRule="auto"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6646B0"/>
  </w:style>
  <w:style w:type="table" w:customStyle="1" w:styleId="TableGrid1">
    <w:name w:val="Table Grid1"/>
    <w:basedOn w:val="TableNormal"/>
    <w:next w:val="TableGrid"/>
    <w:uiPriority w:val="5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next w:val="TableElegant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646B0"/>
    <w:rPr>
      <w:color w:val="800080"/>
      <w:u w:val="single"/>
    </w:rPr>
  </w:style>
  <w:style w:type="paragraph" w:customStyle="1" w:styleId="Bibliography1">
    <w:name w:val="Bibliography1"/>
    <w:basedOn w:val="Normal"/>
    <w:next w:val="Normal"/>
    <w:uiPriority w:val="37"/>
    <w:unhideWhenUsed/>
    <w:rsid w:val="006646B0"/>
    <w:rPr>
      <w:rFonts w:ascii="Calibri" w:eastAsia="Calibri" w:hAnsi="Calibri" w:cs="Times New Roman"/>
    </w:rPr>
  </w:style>
  <w:style w:type="paragraph" w:customStyle="1" w:styleId="Revision1">
    <w:name w:val="Revision1"/>
    <w:next w:val="Revision"/>
    <w:hidden/>
    <w:uiPriority w:val="99"/>
    <w:semiHidden/>
    <w:rsid w:val="006646B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6646B0"/>
  </w:style>
  <w:style w:type="table" w:customStyle="1" w:styleId="TableGrid2">
    <w:name w:val="Table Grid2"/>
    <w:basedOn w:val="TableNormal"/>
    <w:next w:val="TableGrid"/>
    <w:uiPriority w:val="5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2">
    <w:name w:val="Table Web 12"/>
    <w:basedOn w:val="TableNormal"/>
    <w:next w:val="TableWeb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">
    <w:name w:val="Table Elegant2"/>
    <w:basedOn w:val="TableNormal"/>
    <w:next w:val="TableElegant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ibliography2">
    <w:name w:val="Bibliography2"/>
    <w:basedOn w:val="Normal"/>
    <w:next w:val="Normal"/>
    <w:uiPriority w:val="37"/>
    <w:unhideWhenUsed/>
    <w:rsid w:val="006646B0"/>
    <w:rPr>
      <w:rFonts w:ascii="Calibri" w:eastAsia="Calibri" w:hAnsi="Calibri" w:cs="Times New Roman"/>
    </w:rPr>
  </w:style>
  <w:style w:type="numbering" w:customStyle="1" w:styleId="NoList3">
    <w:name w:val="No List3"/>
    <w:next w:val="NoList"/>
    <w:uiPriority w:val="99"/>
    <w:semiHidden/>
    <w:unhideWhenUsed/>
    <w:rsid w:val="006646B0"/>
  </w:style>
  <w:style w:type="table" w:customStyle="1" w:styleId="TableGrid3">
    <w:name w:val="Table Grid3"/>
    <w:basedOn w:val="TableNormal"/>
    <w:next w:val="TableGrid"/>
    <w:uiPriority w:val="5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3">
    <w:name w:val="Table Web 13"/>
    <w:basedOn w:val="TableNormal"/>
    <w:next w:val="TableWeb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3">
    <w:name w:val="Table Simple 13"/>
    <w:basedOn w:val="TableNormal"/>
    <w:next w:val="TableSimple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">
    <w:name w:val="Table Elegant3"/>
    <w:basedOn w:val="TableNormal"/>
    <w:next w:val="TableElegant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6646B0"/>
  </w:style>
  <w:style w:type="table" w:customStyle="1" w:styleId="TableGrid11">
    <w:name w:val="Table Grid11"/>
    <w:basedOn w:val="TableNormal"/>
    <w:next w:val="TableGrid"/>
    <w:uiPriority w:val="5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1">
    <w:name w:val="Table Web 111"/>
    <w:basedOn w:val="TableNormal"/>
    <w:next w:val="TableWeb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1">
    <w:name w:val="Table Elegant11"/>
    <w:basedOn w:val="TableNormal"/>
    <w:next w:val="TableElegant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6646B0"/>
  </w:style>
  <w:style w:type="table" w:customStyle="1" w:styleId="TableGrid21">
    <w:name w:val="Table Grid21"/>
    <w:basedOn w:val="TableNormal"/>
    <w:next w:val="TableGrid"/>
    <w:uiPriority w:val="5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21">
    <w:name w:val="Table Web 121"/>
    <w:basedOn w:val="TableNormal"/>
    <w:next w:val="TableWeb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1">
    <w:name w:val="Table Simple 121"/>
    <w:basedOn w:val="TableNormal"/>
    <w:next w:val="TableSimple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1">
    <w:name w:val="Table Elegant21"/>
    <w:basedOn w:val="TableNormal"/>
    <w:next w:val="TableElegant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">
    <w:name w:val="No List4"/>
    <w:next w:val="NoList"/>
    <w:uiPriority w:val="99"/>
    <w:semiHidden/>
    <w:unhideWhenUsed/>
    <w:rsid w:val="006646B0"/>
  </w:style>
  <w:style w:type="table" w:customStyle="1" w:styleId="TableGrid4">
    <w:name w:val="Table Grid4"/>
    <w:basedOn w:val="TableNormal"/>
    <w:next w:val="TableGrid"/>
    <w:uiPriority w:val="5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4">
    <w:name w:val="Table Web 14"/>
    <w:basedOn w:val="TableNormal"/>
    <w:next w:val="TableWeb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4">
    <w:name w:val="Table Simple 14"/>
    <w:basedOn w:val="TableNormal"/>
    <w:next w:val="TableSimple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4">
    <w:name w:val="Table Elegant4"/>
    <w:basedOn w:val="TableNormal"/>
    <w:next w:val="TableElegant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6646B0"/>
  </w:style>
  <w:style w:type="table" w:customStyle="1" w:styleId="TableGrid12">
    <w:name w:val="Table Grid12"/>
    <w:basedOn w:val="TableNormal"/>
    <w:next w:val="TableGrid"/>
    <w:uiPriority w:val="5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2">
    <w:name w:val="Table Web 112"/>
    <w:basedOn w:val="TableNormal"/>
    <w:next w:val="TableWeb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2">
    <w:name w:val="Table Simple 112"/>
    <w:basedOn w:val="TableNormal"/>
    <w:next w:val="TableSimple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2">
    <w:name w:val="Table Elegant12"/>
    <w:basedOn w:val="TableNormal"/>
    <w:next w:val="TableElegant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2">
    <w:name w:val="No List22"/>
    <w:next w:val="NoList"/>
    <w:uiPriority w:val="99"/>
    <w:semiHidden/>
    <w:unhideWhenUsed/>
    <w:rsid w:val="006646B0"/>
  </w:style>
  <w:style w:type="table" w:customStyle="1" w:styleId="TableGrid22">
    <w:name w:val="Table Grid22"/>
    <w:basedOn w:val="TableNormal"/>
    <w:next w:val="TableGrid"/>
    <w:uiPriority w:val="5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22">
    <w:name w:val="Table Web 122"/>
    <w:basedOn w:val="TableNormal"/>
    <w:next w:val="TableWeb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2">
    <w:name w:val="Table Simple 122"/>
    <w:basedOn w:val="TableNormal"/>
    <w:next w:val="TableSimple1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2">
    <w:name w:val="Table Elegant22"/>
    <w:basedOn w:val="TableNormal"/>
    <w:next w:val="TableElegant"/>
    <w:uiPriority w:val="9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6646B0"/>
    <w:pPr>
      <w:spacing w:after="0" w:line="240" w:lineRule="auto"/>
    </w:pPr>
    <w:rPr>
      <w:rFonts w:eastAsiaTheme="minorEastAsia"/>
    </w:rPr>
  </w:style>
  <w:style w:type="table" w:customStyle="1" w:styleId="TableGrid23">
    <w:name w:val="Table Grid23"/>
    <w:basedOn w:val="TableNormal"/>
    <w:next w:val="TableGrid"/>
    <w:uiPriority w:val="5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6B0"/>
    <w:pPr>
      <w:ind w:left="720"/>
    </w:pPr>
    <w:rPr>
      <w:rFonts w:ascii="Calibri" w:eastAsiaTheme="minorHAns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646B0"/>
  </w:style>
  <w:style w:type="table" w:customStyle="1" w:styleId="TableGrid24">
    <w:name w:val="Table Grid24"/>
    <w:basedOn w:val="TableNormal"/>
    <w:next w:val="TableGrid"/>
    <w:uiPriority w:val="59"/>
    <w:rsid w:val="0066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dc.gov\private\L130\icl1\Health%20Services%20Research\HF\Figure%202006%20to%202014_2017_10_0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'Combined 1+2'!$A$2</c:f>
              <c:strCache>
                <c:ptCount val="1"/>
                <c:pt idx="0">
                  <c:v> Men 18-44 years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x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'Combined 1+2'!$B$1:$J$1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'Combined 1+2'!$B$2:$I$2</c:f>
              <c:numCache>
                <c:formatCode>General</c:formatCode>
                <c:ptCount val="8"/>
                <c:pt idx="0">
                  <c:v>176.3</c:v>
                </c:pt>
                <c:pt idx="1">
                  <c:v>170.9</c:v>
                </c:pt>
                <c:pt idx="2">
                  <c:v>168.1</c:v>
                </c:pt>
                <c:pt idx="3">
                  <c:v>179.9</c:v>
                </c:pt>
                <c:pt idx="4">
                  <c:v>187.3</c:v>
                </c:pt>
                <c:pt idx="5">
                  <c:v>195.4</c:v>
                </c:pt>
                <c:pt idx="6">
                  <c:v>199.1</c:v>
                </c:pt>
                <c:pt idx="7">
                  <c:v>212.1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68F-4F41-B425-8AF04F9FCEA9}"/>
            </c:ext>
          </c:extLst>
        </c:ser>
        <c:ser>
          <c:idx val="1"/>
          <c:order val="1"/>
          <c:tx>
            <c:strRef>
              <c:f>'Combined 1+2'!$A$3</c:f>
              <c:strCache>
                <c:ptCount val="1"/>
                <c:pt idx="0">
                  <c:v> Men 45-64 years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'Combined 1+2'!$B$1:$J$1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'Combined 1+2'!$B$3:$J$3</c:f>
              <c:numCache>
                <c:formatCode>General</c:formatCode>
                <c:ptCount val="9"/>
                <c:pt idx="0">
                  <c:v>1402.1</c:v>
                </c:pt>
                <c:pt idx="1">
                  <c:v>1382</c:v>
                </c:pt>
                <c:pt idx="2">
                  <c:v>1387.9</c:v>
                </c:pt>
                <c:pt idx="3">
                  <c:v>1492</c:v>
                </c:pt>
                <c:pt idx="4">
                  <c:v>1532.7</c:v>
                </c:pt>
                <c:pt idx="5">
                  <c:v>1582.1</c:v>
                </c:pt>
                <c:pt idx="6">
                  <c:v>1614.5</c:v>
                </c:pt>
                <c:pt idx="7">
                  <c:v>1733.8</c:v>
                </c:pt>
                <c:pt idx="8">
                  <c:v>1904.4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68F-4F41-B425-8AF04F9FCEA9}"/>
            </c:ext>
          </c:extLst>
        </c:ser>
        <c:ser>
          <c:idx val="2"/>
          <c:order val="2"/>
          <c:tx>
            <c:strRef>
              <c:f>'Combined 1+2'!$A$4</c:f>
              <c:strCache>
                <c:ptCount val="1"/>
                <c:pt idx="0">
                  <c:v> Men 65-74 years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'Combined 1+2'!$B$1:$J$1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'Combined 1+2'!$B$4:$J$4</c:f>
              <c:numCache>
                <c:formatCode>General</c:formatCode>
                <c:ptCount val="9"/>
                <c:pt idx="0">
                  <c:v>4941.8999999999996</c:v>
                </c:pt>
                <c:pt idx="1">
                  <c:v>4739.7</c:v>
                </c:pt>
                <c:pt idx="2">
                  <c:v>4719.8999999999996</c:v>
                </c:pt>
                <c:pt idx="3">
                  <c:v>4881.3</c:v>
                </c:pt>
                <c:pt idx="4">
                  <c:v>4717.3</c:v>
                </c:pt>
                <c:pt idx="5">
                  <c:v>4855.8999999999996</c:v>
                </c:pt>
                <c:pt idx="6">
                  <c:v>4622.8</c:v>
                </c:pt>
                <c:pt idx="7">
                  <c:v>4742.3999999999996</c:v>
                </c:pt>
                <c:pt idx="8">
                  <c:v>4882.5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68F-4F41-B425-8AF04F9FCEA9}"/>
            </c:ext>
          </c:extLst>
        </c:ser>
        <c:ser>
          <c:idx val="3"/>
          <c:order val="3"/>
          <c:tx>
            <c:strRef>
              <c:f>'Combined 1+2'!$A$5</c:f>
              <c:strCache>
                <c:ptCount val="1"/>
                <c:pt idx="0">
                  <c:v> Men 75+ years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'Combined 1+2'!$B$1:$J$1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'Combined 1+2'!$B$5:$J$5</c:f>
              <c:numCache>
                <c:formatCode>General</c:formatCode>
                <c:ptCount val="9"/>
                <c:pt idx="0">
                  <c:v>13446.2</c:v>
                </c:pt>
                <c:pt idx="1">
                  <c:v>12823.5</c:v>
                </c:pt>
                <c:pt idx="2">
                  <c:v>13150.6</c:v>
                </c:pt>
                <c:pt idx="3">
                  <c:v>13268.8</c:v>
                </c:pt>
                <c:pt idx="4">
                  <c:v>12967.2</c:v>
                </c:pt>
                <c:pt idx="5">
                  <c:v>14071.8</c:v>
                </c:pt>
                <c:pt idx="6">
                  <c:v>13455.5</c:v>
                </c:pt>
                <c:pt idx="7">
                  <c:v>13561.8</c:v>
                </c:pt>
                <c:pt idx="8">
                  <c:v>13589.9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68F-4F41-B425-8AF04F9FCEA9}"/>
            </c:ext>
          </c:extLst>
        </c:ser>
        <c:ser>
          <c:idx val="4"/>
          <c:order val="4"/>
          <c:tx>
            <c:strRef>
              <c:f>'Combined 1+2'!$A$6</c:f>
              <c:strCache>
                <c:ptCount val="1"/>
                <c:pt idx="0">
                  <c:v> Women 18-44 years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x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'Combined 1+2'!$B$1:$J$1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'Combined 1+2'!$B$6:$J$6</c:f>
              <c:numCache>
                <c:formatCode>General</c:formatCode>
                <c:ptCount val="9"/>
                <c:pt idx="0">
                  <c:v>163.30000000000001</c:v>
                </c:pt>
                <c:pt idx="1">
                  <c:v>161.30000000000001</c:v>
                </c:pt>
                <c:pt idx="2">
                  <c:v>162.80000000000001</c:v>
                </c:pt>
                <c:pt idx="3">
                  <c:v>172.9</c:v>
                </c:pt>
                <c:pt idx="4">
                  <c:v>190.4</c:v>
                </c:pt>
                <c:pt idx="5">
                  <c:v>192.9</c:v>
                </c:pt>
                <c:pt idx="6">
                  <c:v>189.3</c:v>
                </c:pt>
                <c:pt idx="7">
                  <c:v>201.5</c:v>
                </c:pt>
                <c:pt idx="8">
                  <c:v>225.9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68F-4F41-B425-8AF04F9FCEA9}"/>
            </c:ext>
          </c:extLst>
        </c:ser>
        <c:ser>
          <c:idx val="5"/>
          <c:order val="5"/>
          <c:tx>
            <c:strRef>
              <c:f>'Combined 1+2'!$A$7</c:f>
              <c:strCache>
                <c:ptCount val="1"/>
                <c:pt idx="0">
                  <c:v> Women 45-64 years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'Combined 1+2'!$B$1:$J$1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'Combined 1+2'!$B$7:$J$7</c:f>
              <c:numCache>
                <c:formatCode>General</c:formatCode>
                <c:ptCount val="9"/>
                <c:pt idx="0">
                  <c:v>1171.3</c:v>
                </c:pt>
                <c:pt idx="1">
                  <c:v>1155.5</c:v>
                </c:pt>
                <c:pt idx="2">
                  <c:v>1152.5999999999999</c:v>
                </c:pt>
                <c:pt idx="3">
                  <c:v>1227.4000000000001</c:v>
                </c:pt>
                <c:pt idx="4">
                  <c:v>1249.5</c:v>
                </c:pt>
                <c:pt idx="5">
                  <c:v>1305.0999999999999</c:v>
                </c:pt>
                <c:pt idx="6">
                  <c:v>1293.7</c:v>
                </c:pt>
                <c:pt idx="7">
                  <c:v>1362.9</c:v>
                </c:pt>
                <c:pt idx="8">
                  <c:v>1481.3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68F-4F41-B425-8AF04F9FCEA9}"/>
            </c:ext>
          </c:extLst>
        </c:ser>
        <c:ser>
          <c:idx val="6"/>
          <c:order val="6"/>
          <c:tx>
            <c:strRef>
              <c:f>'Combined 1+2'!$A$8</c:f>
              <c:strCache>
                <c:ptCount val="1"/>
                <c:pt idx="0">
                  <c:v> Women 65-74 years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'Combined 1+2'!$B$1:$J$1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'Combined 1+2'!$B$8:$J$8</c:f>
              <c:numCache>
                <c:formatCode>General</c:formatCode>
                <c:ptCount val="9"/>
                <c:pt idx="0">
                  <c:v>4355.3999999999996</c:v>
                </c:pt>
                <c:pt idx="1">
                  <c:v>4136.5</c:v>
                </c:pt>
                <c:pt idx="2">
                  <c:v>4070.4</c:v>
                </c:pt>
                <c:pt idx="3">
                  <c:v>4132.5</c:v>
                </c:pt>
                <c:pt idx="4">
                  <c:v>4013.8</c:v>
                </c:pt>
                <c:pt idx="5">
                  <c:v>4161.2</c:v>
                </c:pt>
                <c:pt idx="6">
                  <c:v>3954.3</c:v>
                </c:pt>
                <c:pt idx="7">
                  <c:v>3971.8</c:v>
                </c:pt>
                <c:pt idx="8">
                  <c:v>4034.4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68F-4F41-B425-8AF04F9FCEA9}"/>
            </c:ext>
          </c:extLst>
        </c:ser>
        <c:ser>
          <c:idx val="7"/>
          <c:order val="7"/>
          <c:tx>
            <c:strRef>
              <c:f>'Combined 1+2'!$A$9</c:f>
              <c:strCache>
                <c:ptCount val="1"/>
                <c:pt idx="0">
                  <c:v> Women 75+ years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'Combined 1+2'!$B$1:$J$1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'Combined 1+2'!$B$9:$J$9</c:f>
              <c:numCache>
                <c:formatCode>General</c:formatCode>
                <c:ptCount val="9"/>
                <c:pt idx="0">
                  <c:v>13110.2</c:v>
                </c:pt>
                <c:pt idx="1">
                  <c:v>12550.6</c:v>
                </c:pt>
                <c:pt idx="2">
                  <c:v>12824.6</c:v>
                </c:pt>
                <c:pt idx="3">
                  <c:v>12777.4</c:v>
                </c:pt>
                <c:pt idx="4">
                  <c:v>12593.6</c:v>
                </c:pt>
                <c:pt idx="5">
                  <c:v>13643.8</c:v>
                </c:pt>
                <c:pt idx="6">
                  <c:v>12857.8</c:v>
                </c:pt>
                <c:pt idx="7">
                  <c:v>12748.5</c:v>
                </c:pt>
                <c:pt idx="8">
                  <c:v>12675.2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68F-4F41-B425-8AF04F9FCEA9}"/>
            </c:ext>
          </c:extLst>
        </c:ser>
        <c:ser>
          <c:idx val="8"/>
          <c:order val="8"/>
          <c:tx>
            <c:strRef>
              <c:f>'Combined 1+2'!$A$10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prstDash val="solid"/>
              <a:round/>
            </a:ln>
            <a:effectLst/>
          </c:spPr>
          <c:marker>
            <c:symbol val="star"/>
            <c:size val="5"/>
            <c:spPr>
              <a:noFill/>
              <a:ln w="9525">
                <a:solidFill>
                  <a:sysClr val="windowText" lastClr="000000"/>
                </a:solidFill>
              </a:ln>
              <a:effectLst/>
            </c:spPr>
          </c:marker>
          <c:cat>
            <c:numRef>
              <c:f>'Combined 1+2'!$B$1:$J$1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'Combined 1+2'!$B$10:$J$10</c:f>
              <c:numCache>
                <c:formatCode>General</c:formatCode>
                <c:ptCount val="9"/>
                <c:pt idx="0">
                  <c:v>2003.1</c:v>
                </c:pt>
                <c:pt idx="1">
                  <c:v>1929.5</c:v>
                </c:pt>
                <c:pt idx="2">
                  <c:v>1949</c:v>
                </c:pt>
                <c:pt idx="3">
                  <c:v>1996.7</c:v>
                </c:pt>
                <c:pt idx="4">
                  <c:v>1982.5</c:v>
                </c:pt>
                <c:pt idx="5">
                  <c:v>2101.5</c:v>
                </c:pt>
                <c:pt idx="6">
                  <c:v>2028</c:v>
                </c:pt>
                <c:pt idx="7">
                  <c:v>2071</c:v>
                </c:pt>
                <c:pt idx="8">
                  <c:v>2137.6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68F-4F41-B425-8AF04F9FC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862152"/>
        <c:axId val="197862544"/>
      </c:lineChart>
      <c:catAx>
        <c:axId val="197862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862544"/>
        <c:crosses val="autoZero"/>
        <c:auto val="1"/>
        <c:lblAlgn val="ctr"/>
        <c:lblOffset val="100"/>
        <c:noMultiLvlLbl val="0"/>
      </c:catAx>
      <c:valAx>
        <c:axId val="197862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862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3556941288379216"/>
          <c:w val="0.98224852071005919"/>
          <c:h val="0.146533495393612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Sandra L. (CDC/ONDIEH/NCCDPHP)</dc:creator>
  <cp:keywords/>
  <dc:description/>
  <cp:lastModifiedBy>Jackson, Sandra L. (CDC/ONDIEH/NCCDPHP)</cp:lastModifiedBy>
  <cp:revision>5</cp:revision>
  <dcterms:created xsi:type="dcterms:W3CDTF">2018-10-30T00:51:00Z</dcterms:created>
  <dcterms:modified xsi:type="dcterms:W3CDTF">2018-11-01T17:38:00Z</dcterms:modified>
</cp:coreProperties>
</file>