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2F" w:rsidRPr="008A07BB" w:rsidRDefault="008A07BB" w:rsidP="002B70DD">
      <w:pPr>
        <w:ind w:right="1530"/>
        <w:rPr>
          <w:rFonts w:ascii="Arial" w:hAnsi="Arial" w:cs="Arial"/>
          <w:b/>
        </w:rPr>
      </w:pPr>
      <w:proofErr w:type="spellStart"/>
      <w:proofErr w:type="gramStart"/>
      <w:r w:rsidRPr="008A07BB">
        <w:rPr>
          <w:rFonts w:ascii="Arial" w:hAnsi="Arial" w:cs="Arial"/>
          <w:b/>
        </w:rPr>
        <w:t>eTable</w:t>
      </w:r>
      <w:proofErr w:type="spellEnd"/>
      <w:proofErr w:type="gramEnd"/>
      <w:r w:rsidRPr="008A07BB">
        <w:rPr>
          <w:rFonts w:ascii="Arial" w:hAnsi="Arial" w:cs="Arial"/>
          <w:b/>
        </w:rPr>
        <w:t xml:space="preserve"> </w:t>
      </w:r>
      <w:r w:rsidR="00A60D2F" w:rsidRPr="008A07BB">
        <w:rPr>
          <w:rFonts w:ascii="Arial" w:hAnsi="Arial" w:cs="Arial"/>
          <w:b/>
        </w:rPr>
        <w:t xml:space="preserve">1.  Frequency of medical </w:t>
      </w:r>
      <w:proofErr w:type="spellStart"/>
      <w:r w:rsidR="00A60D2F" w:rsidRPr="008A07BB">
        <w:rPr>
          <w:rFonts w:ascii="Arial" w:hAnsi="Arial" w:cs="Arial"/>
          <w:b/>
        </w:rPr>
        <w:t>conditions</w:t>
      </w:r>
      <w:r w:rsidR="00A60D2F" w:rsidRPr="008A07BB">
        <w:rPr>
          <w:rFonts w:ascii="Arial" w:hAnsi="Arial" w:cs="Arial"/>
          <w:b/>
          <w:bCs/>
          <w:color w:val="000000"/>
          <w:vertAlign w:val="superscript"/>
        </w:rPr>
        <w:t>a</w:t>
      </w:r>
      <w:proofErr w:type="spellEnd"/>
      <w:r w:rsidR="00A60D2F" w:rsidRPr="008A07BB">
        <w:rPr>
          <w:rFonts w:ascii="Arial" w:hAnsi="Arial" w:cs="Arial"/>
          <w:b/>
          <w:bCs/>
          <w:color w:val="000000"/>
        </w:rPr>
        <w:t xml:space="preserve"> (≥2 years after </w:t>
      </w:r>
      <w:r w:rsidR="00A60D2F" w:rsidRPr="008A07BB">
        <w:rPr>
          <w:rFonts w:ascii="Arial" w:hAnsi="Arial" w:cs="Arial"/>
          <w:b/>
          <w:bCs/>
        </w:rPr>
        <w:t xml:space="preserve">diagnosis) </w:t>
      </w:r>
      <w:r w:rsidR="00A60D2F" w:rsidRPr="008A07BB">
        <w:rPr>
          <w:rFonts w:ascii="Arial" w:hAnsi="Arial" w:cs="Arial"/>
          <w:b/>
        </w:rPr>
        <w:t>included in the analyses with corresponding International Classification of Diseases, ninth revision, Clinical Modification (ICD-9-CM) codes</w:t>
      </w:r>
      <w:r w:rsidR="002C2996" w:rsidRPr="008A07BB">
        <w:rPr>
          <w:rFonts w:ascii="Arial" w:hAnsi="Arial" w:cs="Arial"/>
          <w:b/>
        </w:rPr>
        <w:t>.</w:t>
      </w:r>
    </w:p>
    <w:tbl>
      <w:tblPr>
        <w:tblStyle w:val="TableGrid"/>
        <w:tblW w:w="92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1768"/>
        <w:gridCol w:w="1415"/>
      </w:tblGrid>
      <w:tr w:rsidR="00195A02" w:rsidRPr="008A07BB" w:rsidTr="002B70DD">
        <w:tc>
          <w:tcPr>
            <w:tcW w:w="6048" w:type="dxa"/>
            <w:tcBorders>
              <w:bottom w:val="single" w:sz="4" w:space="0" w:color="000000"/>
            </w:tcBorders>
          </w:tcPr>
          <w:p w:rsidR="00195A02" w:rsidRPr="008A07BB" w:rsidRDefault="00195A02" w:rsidP="008156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7BB">
              <w:rPr>
                <w:rFonts w:ascii="Arial" w:hAnsi="Arial" w:cs="Arial"/>
                <w:b/>
                <w:sz w:val="20"/>
                <w:szCs w:val="20"/>
              </w:rPr>
              <w:t>Medical condition diagnostic groups</w:t>
            </w:r>
          </w:p>
          <w:p w:rsidR="00195A02" w:rsidRPr="008A07BB" w:rsidRDefault="00195A02" w:rsidP="008156B7">
            <w:pPr>
              <w:ind w:firstLine="180"/>
              <w:rPr>
                <w:rFonts w:ascii="Arial" w:hAnsi="Arial" w:cs="Arial"/>
                <w:b/>
                <w:sz w:val="20"/>
                <w:szCs w:val="20"/>
              </w:rPr>
            </w:pPr>
            <w:r w:rsidRPr="008A07BB">
              <w:rPr>
                <w:rFonts w:ascii="Arial" w:hAnsi="Arial" w:cs="Arial"/>
                <w:b/>
                <w:sz w:val="20"/>
                <w:szCs w:val="20"/>
              </w:rPr>
              <w:t>Disease groups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:rsidR="00195A02" w:rsidRPr="008A07BB" w:rsidRDefault="00195A02" w:rsidP="008156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7BB">
              <w:rPr>
                <w:rFonts w:ascii="Arial" w:hAnsi="Arial" w:cs="Arial"/>
                <w:b/>
                <w:sz w:val="20"/>
                <w:szCs w:val="20"/>
              </w:rPr>
              <w:t>ICD-9-CM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195A02" w:rsidRPr="008A07BB" w:rsidRDefault="00195A02" w:rsidP="00B973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07BB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B973C9" w:rsidRPr="008A07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07BB">
              <w:rPr>
                <w:rFonts w:ascii="Arial" w:hAnsi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195A02" w:rsidRPr="008A07BB" w:rsidTr="002B70DD">
        <w:tc>
          <w:tcPr>
            <w:tcW w:w="6048" w:type="dxa"/>
            <w:tcBorders>
              <w:top w:val="single" w:sz="4" w:space="0" w:color="000000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Diseases of circulatory system</w:t>
            </w:r>
          </w:p>
        </w:tc>
        <w:tc>
          <w:tcPr>
            <w:tcW w:w="1768" w:type="dxa"/>
            <w:tcBorders>
              <w:top w:val="single" w:sz="4" w:space="0" w:color="000000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555 (10.90)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 xml:space="preserve">Chronic rheumatic heart disease 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393-398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23 (0.45)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Hypertensive disease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401-405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276 (5.43)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Ischemic heart disease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410-414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60 (1.18)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Other heart diseases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420-429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302 (5.94)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Cerebrovascular disease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430-438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24 (0.47)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Diseases of arteries, arterioles and capillaries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440-449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41 (0.81)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Diseases of respiratory system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625 (12.30)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Acute upper respiratory infections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460-466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87 (1.71)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Pneumonia and Influenza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480-486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207 (4.07)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Bronchitis and emphysema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490-492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64 (1.26)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182 (3.58)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Other diseases of respiratory system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500-519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328 (6.45)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Chronic kidney disease/ renal failure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187 (3.70)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Acute kidney failure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584, 584</w:t>
            </w:r>
            <w:r w:rsidR="006B37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159 (3.13)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Acute kidney failure with lesion of tubular necrosis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  <w:r w:rsidR="006B37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41 (0.81)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Acute kidney failure with other specified pathological lesion in kidney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  <w:r w:rsidR="006B37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&lt;5 (0.06)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Chronic kidney disease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7 (0.14)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Liver disease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135 (2.70)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Acute and subacute necrosis of liver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20 (0.39)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Chronic liver disease and cirrhosis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69 (1.36)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Liver abscess and sequelae of chronic liver disease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31 (0.61)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Other disorders of liver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34 (0.67)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129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Hypothyroidism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129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776 (15.30)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Endocrine and related diseases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22 (0.43)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Diseases of the thyroid gland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240-243,245,246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113 (2.22)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249,250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49 (0.96)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Diseases of other endocrine glands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251-255, 258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9 (0.18)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Ovarian dysfunction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&lt;5 (0.08)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Testicular dysfunction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55 (1.08)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Nutritional deficiencies</w:t>
            </w:r>
          </w:p>
        </w:tc>
        <w:tc>
          <w:tcPr>
            <w:tcW w:w="1768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260-269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693 (13.63)</w:t>
            </w:r>
          </w:p>
        </w:tc>
      </w:tr>
      <w:tr w:rsidR="00195A02" w:rsidRPr="008A07BB" w:rsidTr="002B70DD">
        <w:tc>
          <w:tcPr>
            <w:tcW w:w="6048" w:type="dxa"/>
            <w:tcBorders>
              <w:top w:val="nil"/>
              <w:bottom w:val="single" w:sz="4" w:space="0" w:color="auto"/>
            </w:tcBorders>
            <w:vAlign w:val="bottom"/>
          </w:tcPr>
          <w:p w:rsidR="00195A02" w:rsidRPr="008A07BB" w:rsidRDefault="00195A02" w:rsidP="002B70DD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Other metabolic diseases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  <w:vAlign w:val="bottom"/>
          </w:tcPr>
          <w:p w:rsidR="00195A02" w:rsidRPr="008A07BB" w:rsidRDefault="00195A02" w:rsidP="00815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270-279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bottom"/>
          </w:tcPr>
          <w:p w:rsidR="00195A02" w:rsidRPr="008A07BB" w:rsidRDefault="00195A02" w:rsidP="00874B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334 (6.57)</w:t>
            </w:r>
          </w:p>
        </w:tc>
      </w:tr>
    </w:tbl>
    <w:p w:rsidR="00A60D2F" w:rsidRPr="008A07BB" w:rsidRDefault="00A60D2F" w:rsidP="00A60D2F">
      <w:pPr>
        <w:pStyle w:val="NoSpacing"/>
        <w:ind w:firstLine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 w:rsidRPr="008A07BB">
        <w:rPr>
          <w:rFonts w:ascii="Arial" w:hAnsi="Arial" w:cs="Arial"/>
          <w:color w:val="000000"/>
          <w:sz w:val="16"/>
          <w:szCs w:val="16"/>
          <w:vertAlign w:val="superscript"/>
        </w:rPr>
        <w:t>a</w:t>
      </w:r>
      <w:r w:rsidRPr="008A07BB">
        <w:rPr>
          <w:rStyle w:val="tx2"/>
          <w:rFonts w:ascii="Arial" w:hAnsi="Arial" w:cs="Arial"/>
          <w:sz w:val="16"/>
          <w:szCs w:val="16"/>
          <w:bdr w:val="none" w:sz="0" w:space="0" w:color="auto" w:frame="1"/>
        </w:rPr>
        <w:t>Medical</w:t>
      </w:r>
      <w:proofErr w:type="spellEnd"/>
      <w:proofErr w:type="gramEnd"/>
      <w:r w:rsidRPr="008A07BB">
        <w:rPr>
          <w:rStyle w:val="tx2"/>
          <w:rFonts w:ascii="Arial" w:hAnsi="Arial" w:cs="Arial"/>
          <w:sz w:val="16"/>
          <w:szCs w:val="16"/>
          <w:bdr w:val="none" w:sz="0" w:space="0" w:color="auto" w:frame="1"/>
        </w:rPr>
        <w:t xml:space="preserve"> conditions obtained from hospital </w:t>
      </w:r>
      <w:r w:rsidR="00262B4E" w:rsidRPr="008A07BB">
        <w:rPr>
          <w:rStyle w:val="tx2"/>
          <w:rFonts w:ascii="Arial" w:hAnsi="Arial" w:cs="Arial"/>
          <w:sz w:val="16"/>
          <w:szCs w:val="16"/>
          <w:bdr w:val="none" w:sz="0" w:space="0" w:color="auto" w:frame="1"/>
        </w:rPr>
        <w:t>discharge</w:t>
      </w:r>
      <w:r w:rsidRPr="008A07BB">
        <w:rPr>
          <w:rStyle w:val="tx2"/>
          <w:rFonts w:ascii="Arial" w:hAnsi="Arial" w:cs="Arial"/>
          <w:sz w:val="16"/>
          <w:szCs w:val="16"/>
          <w:bdr w:val="none" w:sz="0" w:space="0" w:color="auto" w:frame="1"/>
        </w:rPr>
        <w:t xml:space="preserve"> records</w:t>
      </w:r>
    </w:p>
    <w:p w:rsidR="00A60D2F" w:rsidRPr="00D957E5" w:rsidRDefault="00A60D2F" w:rsidP="00A60D2F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A60D2F" w:rsidRDefault="00A60D2F" w:rsidP="0083435D">
      <w:pPr>
        <w:rPr>
          <w:sz w:val="20"/>
          <w:szCs w:val="20"/>
        </w:rPr>
      </w:pPr>
    </w:p>
    <w:p w:rsidR="0010449B" w:rsidRDefault="0010449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0D2F" w:rsidRDefault="00A60D2F" w:rsidP="0083435D">
      <w:pPr>
        <w:rPr>
          <w:sz w:val="20"/>
          <w:szCs w:val="20"/>
        </w:rPr>
      </w:pPr>
    </w:p>
    <w:p w:rsidR="00C11223" w:rsidRPr="008A07BB" w:rsidRDefault="008A07BB" w:rsidP="002B70DD">
      <w:pPr>
        <w:ind w:right="4680"/>
        <w:rPr>
          <w:rFonts w:ascii="Arial" w:hAnsi="Arial" w:cs="Arial"/>
          <w:b/>
        </w:rPr>
      </w:pPr>
      <w:proofErr w:type="spellStart"/>
      <w:proofErr w:type="gramStart"/>
      <w:r w:rsidRPr="008A07BB">
        <w:rPr>
          <w:rFonts w:ascii="Arial" w:hAnsi="Arial" w:cs="Arial"/>
          <w:b/>
        </w:rPr>
        <w:t>eTable</w:t>
      </w:r>
      <w:proofErr w:type="spellEnd"/>
      <w:proofErr w:type="gramEnd"/>
      <w:r w:rsidRPr="008A07BB">
        <w:rPr>
          <w:rFonts w:ascii="Arial" w:hAnsi="Arial" w:cs="Arial"/>
          <w:b/>
        </w:rPr>
        <w:t xml:space="preserve"> </w:t>
      </w:r>
      <w:r w:rsidR="00A60D2F" w:rsidRPr="008A07BB">
        <w:rPr>
          <w:rFonts w:ascii="Arial" w:hAnsi="Arial" w:cs="Arial"/>
          <w:b/>
        </w:rPr>
        <w:t>2</w:t>
      </w:r>
      <w:r w:rsidR="00135F5E" w:rsidRPr="008A07BB">
        <w:rPr>
          <w:rFonts w:ascii="Arial" w:hAnsi="Arial" w:cs="Arial"/>
          <w:b/>
        </w:rPr>
        <w:t xml:space="preserve">.  </w:t>
      </w:r>
      <w:r w:rsidR="00DE2C83" w:rsidRPr="008A07BB">
        <w:rPr>
          <w:rFonts w:ascii="Arial" w:hAnsi="Arial" w:cs="Arial"/>
          <w:b/>
        </w:rPr>
        <w:t xml:space="preserve">Percentage with any </w:t>
      </w:r>
      <w:r w:rsidR="00FE2670" w:rsidRPr="008A07BB">
        <w:rPr>
          <w:rFonts w:ascii="Arial" w:hAnsi="Arial" w:cs="Arial"/>
          <w:b/>
        </w:rPr>
        <w:t xml:space="preserve">hospital </w:t>
      </w:r>
      <w:r w:rsidR="00DE2C83" w:rsidRPr="008A07BB">
        <w:rPr>
          <w:rFonts w:ascii="Arial" w:hAnsi="Arial" w:cs="Arial"/>
          <w:b/>
        </w:rPr>
        <w:t xml:space="preserve">admission </w:t>
      </w:r>
      <w:r w:rsidR="003A7DCE" w:rsidRPr="008A07BB">
        <w:rPr>
          <w:rFonts w:ascii="Arial" w:hAnsi="Arial" w:cs="Arial"/>
          <w:b/>
        </w:rPr>
        <w:t xml:space="preserve">and mean number of </w:t>
      </w:r>
      <w:r w:rsidR="00FE2670" w:rsidRPr="008A07BB">
        <w:rPr>
          <w:rFonts w:ascii="Arial" w:hAnsi="Arial" w:cs="Arial"/>
          <w:b/>
        </w:rPr>
        <w:t xml:space="preserve">hospital </w:t>
      </w:r>
      <w:r w:rsidR="003A7DCE" w:rsidRPr="008A07BB">
        <w:rPr>
          <w:rFonts w:ascii="Arial" w:hAnsi="Arial" w:cs="Arial"/>
          <w:b/>
        </w:rPr>
        <w:t>admissions ≥2 after diagnosis among 2</w:t>
      </w:r>
      <w:r w:rsidR="00DE2C83" w:rsidRPr="008A07BB">
        <w:rPr>
          <w:rFonts w:ascii="Arial" w:hAnsi="Arial" w:cs="Arial"/>
          <w:b/>
        </w:rPr>
        <w:t>-year adolescent and young adult Ho</w:t>
      </w:r>
      <w:r w:rsidR="00993C54" w:rsidRPr="008A07BB">
        <w:rPr>
          <w:rFonts w:ascii="Arial" w:hAnsi="Arial" w:cs="Arial"/>
          <w:b/>
        </w:rPr>
        <w:t>dgkin lymphoma survivors</w:t>
      </w:r>
      <w:r w:rsidR="007D157D" w:rsidRPr="008A07BB">
        <w:rPr>
          <w:rFonts w:ascii="Arial" w:hAnsi="Arial" w:cs="Arial"/>
          <w:b/>
        </w:rPr>
        <w:t xml:space="preserve"> (N=5,</w:t>
      </w:r>
      <w:r w:rsidR="003A7DCE" w:rsidRPr="008A07BB">
        <w:rPr>
          <w:rFonts w:ascii="Arial" w:hAnsi="Arial" w:cs="Arial"/>
          <w:b/>
        </w:rPr>
        <w:t>085</w:t>
      </w:r>
      <w:r w:rsidR="007D157D" w:rsidRPr="008A07BB">
        <w:rPr>
          <w:rFonts w:ascii="Arial" w:hAnsi="Arial" w:cs="Arial"/>
          <w:b/>
        </w:rPr>
        <w:t>),</w:t>
      </w:r>
      <w:r w:rsidR="00993C54" w:rsidRPr="008A07BB">
        <w:rPr>
          <w:rFonts w:ascii="Arial" w:hAnsi="Arial" w:cs="Arial"/>
          <w:b/>
        </w:rPr>
        <w:t xml:space="preserve"> </w:t>
      </w:r>
      <w:r w:rsidR="003A7DCE" w:rsidRPr="008A07BB">
        <w:rPr>
          <w:rFonts w:ascii="Arial" w:hAnsi="Arial" w:cs="Arial"/>
          <w:b/>
        </w:rPr>
        <w:t>California, 1996-2012</w:t>
      </w:r>
      <w:r w:rsidR="002C2996" w:rsidRPr="008A07BB">
        <w:rPr>
          <w:rFonts w:ascii="Arial" w:hAnsi="Arial" w:cs="Arial"/>
          <w:b/>
        </w:rPr>
        <w:t>.</w:t>
      </w:r>
    </w:p>
    <w:tbl>
      <w:tblPr>
        <w:tblW w:w="5836" w:type="dxa"/>
        <w:tblInd w:w="93" w:type="dxa"/>
        <w:tblLook w:val="04A0" w:firstRow="1" w:lastRow="0" w:firstColumn="1" w:lastColumn="0" w:noHBand="0" w:noVBand="1"/>
      </w:tblPr>
      <w:tblGrid>
        <w:gridCol w:w="2715"/>
        <w:gridCol w:w="1122"/>
        <w:gridCol w:w="1122"/>
        <w:gridCol w:w="877"/>
      </w:tblGrid>
      <w:tr w:rsidR="00B973C9" w:rsidRPr="008A07BB" w:rsidTr="002C2996">
        <w:trPr>
          <w:trHeight w:val="570"/>
        </w:trPr>
        <w:tc>
          <w:tcPr>
            <w:tcW w:w="27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Baseline characteristics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3C9" w:rsidRPr="008A07BB" w:rsidRDefault="00B973C9" w:rsidP="00B973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A07BB">
              <w:rPr>
                <w:rFonts w:ascii="Arial" w:hAnsi="Arial" w:cs="Arial"/>
                <w:b/>
                <w:color w:val="000000"/>
                <w:sz w:val="20"/>
                <w:szCs w:val="20"/>
              </w:rPr>
              <w:t>Hospital</w:t>
            </w:r>
            <w:r w:rsidRPr="008A07B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973C9" w:rsidRPr="008A07BB" w:rsidTr="002C2996">
        <w:trPr>
          <w:trHeight w:val="315"/>
        </w:trPr>
        <w:tc>
          <w:tcPr>
            <w:tcW w:w="27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SE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NH White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37.44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4.05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NH Black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45.09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 xml:space="preserve">Hispanic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41.81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NH Asian/Pacific Islander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35.34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3.89</w:t>
            </w:r>
          </w:p>
        </w:tc>
      </w:tr>
      <w:tr w:rsidR="00B973C9" w:rsidRPr="008A07BB" w:rsidTr="002C2996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p-</w:t>
            </w:r>
            <w:proofErr w:type="spellStart"/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value</w:t>
            </w:r>
            <w:r w:rsidRPr="008A07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73C9" w:rsidRPr="008A07BB" w:rsidTr="002C2996">
        <w:trPr>
          <w:trHeight w:val="300"/>
        </w:trPr>
        <w:tc>
          <w:tcPr>
            <w:tcW w:w="5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Neighborhood socioeconomic status (SES)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Low SES (quintiles 1-3)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40.65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4.90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High SES (quintiles 4,5)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36.75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</w:tr>
      <w:tr w:rsidR="00B973C9" w:rsidRPr="008A07BB" w:rsidTr="002C2996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p-</w:t>
            </w:r>
            <w:proofErr w:type="spellStart"/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value</w:t>
            </w:r>
            <w:r w:rsidRPr="008A07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73C9" w:rsidRPr="008A07BB" w:rsidTr="002C2996">
        <w:trPr>
          <w:trHeight w:val="300"/>
        </w:trPr>
        <w:tc>
          <w:tcPr>
            <w:tcW w:w="5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Health insurance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Private/military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36.66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Public/none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45.23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5.58</w:t>
            </w:r>
          </w:p>
        </w:tc>
      </w:tr>
      <w:tr w:rsidR="00B973C9" w:rsidRPr="008A07BB" w:rsidTr="002C299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42.46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6.83</w:t>
            </w:r>
          </w:p>
        </w:tc>
      </w:tr>
      <w:tr w:rsidR="00B973C9" w:rsidRPr="008A07BB" w:rsidTr="002C2996">
        <w:trPr>
          <w:trHeight w:val="330"/>
        </w:trPr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2C2996">
            <w:pPr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p-</w:t>
            </w:r>
            <w:proofErr w:type="spellStart"/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value</w:t>
            </w:r>
            <w:r w:rsidRPr="008A07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C9" w:rsidRPr="008A07BB" w:rsidRDefault="00B973C9" w:rsidP="00B973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B02C1" w:rsidRPr="008A07BB" w:rsidRDefault="00135F5E" w:rsidP="009B02C1">
      <w:pPr>
        <w:pStyle w:val="NoSpacing"/>
        <w:ind w:firstLine="0"/>
        <w:rPr>
          <w:rFonts w:ascii="Arial" w:hAnsi="Arial" w:cs="Arial"/>
          <w:sz w:val="16"/>
          <w:szCs w:val="16"/>
        </w:rPr>
      </w:pPr>
      <w:r w:rsidRPr="008A07BB">
        <w:rPr>
          <w:rFonts w:ascii="Arial" w:hAnsi="Arial" w:cs="Arial"/>
          <w:sz w:val="16"/>
          <w:szCs w:val="16"/>
        </w:rPr>
        <w:t xml:space="preserve">SE=standard error; </w:t>
      </w:r>
      <w:r w:rsidR="009B02C1" w:rsidRPr="008A07BB">
        <w:rPr>
          <w:rFonts w:ascii="Arial" w:hAnsi="Arial" w:cs="Arial"/>
          <w:sz w:val="16"/>
          <w:szCs w:val="16"/>
        </w:rPr>
        <w:t>NH=Non-Hispanic</w:t>
      </w:r>
    </w:p>
    <w:p w:rsidR="00135F5E" w:rsidRPr="008A07BB" w:rsidRDefault="009B02C1" w:rsidP="009B02C1">
      <w:pPr>
        <w:pStyle w:val="NoSpacing"/>
        <w:ind w:firstLine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 w:rsidRPr="008A07BB">
        <w:rPr>
          <w:rFonts w:ascii="Arial" w:hAnsi="Arial" w:cs="Arial"/>
          <w:color w:val="000000"/>
          <w:sz w:val="16"/>
          <w:szCs w:val="16"/>
          <w:vertAlign w:val="superscript"/>
        </w:rPr>
        <w:t>a</w:t>
      </w:r>
      <w:r w:rsidR="00135F5E" w:rsidRPr="008A07BB">
        <w:rPr>
          <w:rFonts w:ascii="Arial" w:hAnsi="Arial" w:cs="Arial"/>
          <w:color w:val="000000"/>
          <w:sz w:val="16"/>
          <w:szCs w:val="16"/>
        </w:rPr>
        <w:t>Limited</w:t>
      </w:r>
      <w:proofErr w:type="spellEnd"/>
      <w:proofErr w:type="gramEnd"/>
      <w:r w:rsidR="00135F5E" w:rsidRPr="008A07BB">
        <w:rPr>
          <w:rFonts w:ascii="Arial" w:hAnsi="Arial" w:cs="Arial"/>
          <w:color w:val="000000"/>
          <w:sz w:val="16"/>
          <w:szCs w:val="16"/>
        </w:rPr>
        <w:t xml:space="preserve"> to patients who had at least one admission </w:t>
      </w:r>
      <w:r w:rsidR="003A7DCE" w:rsidRPr="008A07BB">
        <w:rPr>
          <w:rFonts w:ascii="Arial" w:eastAsia="Times New Roman" w:hAnsi="Arial" w:cs="Arial"/>
          <w:bCs/>
          <w:color w:val="000000"/>
          <w:sz w:val="16"/>
          <w:szCs w:val="16"/>
        </w:rPr>
        <w:t>≥2</w:t>
      </w:r>
      <w:r w:rsidR="00135F5E" w:rsidRPr="008A07B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after </w:t>
      </w:r>
      <w:r w:rsidR="00135F5E" w:rsidRPr="008A07BB">
        <w:rPr>
          <w:rFonts w:ascii="Arial" w:eastAsia="Times New Roman" w:hAnsi="Arial" w:cs="Arial"/>
          <w:bCs/>
          <w:sz w:val="16"/>
          <w:szCs w:val="16"/>
        </w:rPr>
        <w:t>diagnosis</w:t>
      </w:r>
    </w:p>
    <w:p w:rsidR="0010449B" w:rsidRPr="008A07BB" w:rsidRDefault="00135F5E" w:rsidP="00135F5E">
      <w:pPr>
        <w:pStyle w:val="NoSpacing"/>
        <w:ind w:firstLine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 w:rsidRPr="008A07BB">
        <w:rPr>
          <w:rFonts w:ascii="Arial" w:hAnsi="Arial" w:cs="Arial"/>
          <w:color w:val="000000"/>
          <w:sz w:val="16"/>
          <w:szCs w:val="16"/>
          <w:vertAlign w:val="superscript"/>
        </w:rPr>
        <w:t>b</w:t>
      </w:r>
      <w:r w:rsidR="000A2609" w:rsidRPr="008A07BB">
        <w:rPr>
          <w:rFonts w:ascii="Arial" w:hAnsi="Arial" w:cs="Arial"/>
          <w:color w:val="000000"/>
          <w:sz w:val="16"/>
          <w:szCs w:val="16"/>
        </w:rPr>
        <w:t>Chi</w:t>
      </w:r>
      <w:proofErr w:type="spellEnd"/>
      <w:r w:rsidR="000A2609" w:rsidRPr="008A07BB">
        <w:rPr>
          <w:rFonts w:ascii="Arial" w:hAnsi="Arial" w:cs="Arial"/>
          <w:color w:val="000000"/>
          <w:sz w:val="16"/>
          <w:szCs w:val="16"/>
        </w:rPr>
        <w:t>-square</w:t>
      </w:r>
      <w:proofErr w:type="gramEnd"/>
      <w:r w:rsidRPr="008A07BB">
        <w:rPr>
          <w:rFonts w:ascii="Arial" w:hAnsi="Arial" w:cs="Arial"/>
          <w:color w:val="000000"/>
          <w:sz w:val="16"/>
          <w:szCs w:val="16"/>
        </w:rPr>
        <w:t xml:space="preserve"> </w:t>
      </w:r>
      <w:r w:rsidR="009B02C1" w:rsidRPr="008A07BB">
        <w:rPr>
          <w:rFonts w:ascii="Arial" w:hAnsi="Arial" w:cs="Arial"/>
          <w:color w:val="000000"/>
          <w:sz w:val="16"/>
          <w:szCs w:val="16"/>
        </w:rPr>
        <w:t xml:space="preserve">test assessing whether </w:t>
      </w:r>
      <w:bookmarkStart w:id="0" w:name="_GoBack"/>
      <w:bookmarkEnd w:id="0"/>
      <w:r w:rsidR="009B02C1" w:rsidRPr="008A07BB">
        <w:rPr>
          <w:rFonts w:ascii="Arial" w:hAnsi="Arial" w:cs="Arial"/>
          <w:color w:val="000000"/>
          <w:sz w:val="16"/>
          <w:szCs w:val="16"/>
        </w:rPr>
        <w:t xml:space="preserve">the distribution of </w:t>
      </w:r>
      <w:r w:rsidRPr="008A07BB">
        <w:rPr>
          <w:rFonts w:ascii="Arial" w:hAnsi="Arial" w:cs="Arial"/>
          <w:color w:val="000000"/>
          <w:sz w:val="16"/>
          <w:szCs w:val="16"/>
        </w:rPr>
        <w:t>any admission</w:t>
      </w:r>
      <w:r w:rsidR="009B02C1" w:rsidRPr="008A07B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449B" w:rsidRPr="008A07BB" w:rsidRDefault="009B02C1" w:rsidP="00135F5E">
      <w:pPr>
        <w:pStyle w:val="NoSpacing"/>
        <w:ind w:firstLine="0"/>
        <w:rPr>
          <w:rFonts w:ascii="Arial" w:hAnsi="Arial" w:cs="Arial"/>
          <w:color w:val="000000"/>
          <w:sz w:val="16"/>
          <w:szCs w:val="16"/>
        </w:rPr>
      </w:pPr>
      <w:proofErr w:type="gramStart"/>
      <w:r w:rsidRPr="008A07BB">
        <w:rPr>
          <w:rFonts w:ascii="Arial" w:hAnsi="Arial" w:cs="Arial"/>
          <w:color w:val="000000"/>
          <w:sz w:val="16"/>
          <w:szCs w:val="16"/>
        </w:rPr>
        <w:t>differs</w:t>
      </w:r>
      <w:proofErr w:type="gramEnd"/>
      <w:r w:rsidRPr="008A07BB">
        <w:rPr>
          <w:rFonts w:ascii="Arial" w:hAnsi="Arial" w:cs="Arial"/>
          <w:color w:val="000000"/>
          <w:sz w:val="16"/>
          <w:szCs w:val="16"/>
        </w:rPr>
        <w:t xml:space="preserve"> by baseline characteristics</w:t>
      </w:r>
      <w:r w:rsidR="000A2609" w:rsidRPr="008A07BB">
        <w:rPr>
          <w:rFonts w:ascii="Arial" w:hAnsi="Arial" w:cs="Arial"/>
          <w:color w:val="000000"/>
          <w:sz w:val="16"/>
          <w:szCs w:val="16"/>
        </w:rPr>
        <w:t>; ANOVA F</w:t>
      </w:r>
      <w:r w:rsidR="00135F5E" w:rsidRPr="008A07BB">
        <w:rPr>
          <w:rFonts w:ascii="Arial" w:hAnsi="Arial" w:cs="Arial"/>
          <w:color w:val="000000"/>
          <w:sz w:val="16"/>
          <w:szCs w:val="16"/>
        </w:rPr>
        <w:t xml:space="preserve"> test to determine difference </w:t>
      </w:r>
    </w:p>
    <w:p w:rsidR="00001673" w:rsidRPr="008A07BB" w:rsidRDefault="00135F5E" w:rsidP="00135F5E">
      <w:pPr>
        <w:pStyle w:val="NoSpacing"/>
        <w:ind w:firstLine="0"/>
        <w:rPr>
          <w:rFonts w:ascii="Arial" w:hAnsi="Arial" w:cs="Arial"/>
          <w:sz w:val="16"/>
          <w:szCs w:val="16"/>
        </w:rPr>
      </w:pPr>
      <w:proofErr w:type="gramStart"/>
      <w:r w:rsidRPr="008A07BB"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 w:rsidRPr="008A07BB">
        <w:rPr>
          <w:rFonts w:ascii="Arial" w:hAnsi="Arial" w:cs="Arial"/>
          <w:color w:val="000000"/>
          <w:sz w:val="16"/>
          <w:szCs w:val="16"/>
        </w:rPr>
        <w:t xml:space="preserve"> mean admissions</w:t>
      </w:r>
      <w:r w:rsidR="00CB3610" w:rsidRPr="008A07BB">
        <w:rPr>
          <w:rFonts w:ascii="Arial" w:hAnsi="Arial" w:cs="Arial"/>
          <w:sz w:val="16"/>
          <w:szCs w:val="16"/>
        </w:rPr>
        <w:t xml:space="preserve"> </w:t>
      </w:r>
    </w:p>
    <w:sectPr w:rsidR="00001673" w:rsidRPr="008A07BB" w:rsidSect="00C11223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19" w:rsidRDefault="00337D53">
      <w:r>
        <w:separator/>
      </w:r>
    </w:p>
  </w:endnote>
  <w:endnote w:type="continuationSeparator" w:id="0">
    <w:p w:rsidR="00D70919" w:rsidRDefault="0033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A3" w:rsidRDefault="00EA43A3" w:rsidP="00EA4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3A3" w:rsidRDefault="00EA43A3" w:rsidP="00EA43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A3" w:rsidRDefault="00EA43A3" w:rsidP="00EA4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7F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43A3" w:rsidRDefault="00EA43A3" w:rsidP="00EA4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19" w:rsidRDefault="00337D53">
      <w:r>
        <w:separator/>
      </w:r>
    </w:p>
  </w:footnote>
  <w:footnote w:type="continuationSeparator" w:id="0">
    <w:p w:rsidR="00D70919" w:rsidRDefault="0033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0"/>
    <w:rsid w:val="00001673"/>
    <w:rsid w:val="00020C71"/>
    <w:rsid w:val="000A2609"/>
    <w:rsid w:val="000C110B"/>
    <w:rsid w:val="000D56E5"/>
    <w:rsid w:val="000E121C"/>
    <w:rsid w:val="000E6E5F"/>
    <w:rsid w:val="0010449B"/>
    <w:rsid w:val="00133A69"/>
    <w:rsid w:val="00135F5E"/>
    <w:rsid w:val="00142D5E"/>
    <w:rsid w:val="00195A02"/>
    <w:rsid w:val="001C7926"/>
    <w:rsid w:val="00237C45"/>
    <w:rsid w:val="00262B4E"/>
    <w:rsid w:val="002635D2"/>
    <w:rsid w:val="00266723"/>
    <w:rsid w:val="002B1190"/>
    <w:rsid w:val="002B70DD"/>
    <w:rsid w:val="002C2996"/>
    <w:rsid w:val="00337D53"/>
    <w:rsid w:val="003446A0"/>
    <w:rsid w:val="00371B46"/>
    <w:rsid w:val="00371C75"/>
    <w:rsid w:val="00383F83"/>
    <w:rsid w:val="00386EDD"/>
    <w:rsid w:val="003A7DCE"/>
    <w:rsid w:val="003B27FA"/>
    <w:rsid w:val="003C3FFC"/>
    <w:rsid w:val="003E3758"/>
    <w:rsid w:val="00430D5E"/>
    <w:rsid w:val="0046769D"/>
    <w:rsid w:val="0048373F"/>
    <w:rsid w:val="00495EC6"/>
    <w:rsid w:val="004D79B5"/>
    <w:rsid w:val="00524FC7"/>
    <w:rsid w:val="00570CBD"/>
    <w:rsid w:val="005756D2"/>
    <w:rsid w:val="005C6025"/>
    <w:rsid w:val="005F427A"/>
    <w:rsid w:val="006108E7"/>
    <w:rsid w:val="00640E78"/>
    <w:rsid w:val="006507E4"/>
    <w:rsid w:val="0067367A"/>
    <w:rsid w:val="00681D11"/>
    <w:rsid w:val="006B37F8"/>
    <w:rsid w:val="006F03BF"/>
    <w:rsid w:val="0073203B"/>
    <w:rsid w:val="0074635A"/>
    <w:rsid w:val="007D157D"/>
    <w:rsid w:val="007D5C4F"/>
    <w:rsid w:val="007F0895"/>
    <w:rsid w:val="007F4DEF"/>
    <w:rsid w:val="0081788A"/>
    <w:rsid w:val="0083435D"/>
    <w:rsid w:val="0087380C"/>
    <w:rsid w:val="00874B2A"/>
    <w:rsid w:val="008A07BB"/>
    <w:rsid w:val="008B7533"/>
    <w:rsid w:val="008E0AD9"/>
    <w:rsid w:val="008F7F26"/>
    <w:rsid w:val="009408CB"/>
    <w:rsid w:val="009521DF"/>
    <w:rsid w:val="00993C54"/>
    <w:rsid w:val="009B02C1"/>
    <w:rsid w:val="009B1A0E"/>
    <w:rsid w:val="00A0237B"/>
    <w:rsid w:val="00A51255"/>
    <w:rsid w:val="00A60D2F"/>
    <w:rsid w:val="00AA3F2D"/>
    <w:rsid w:val="00B62B91"/>
    <w:rsid w:val="00B7632E"/>
    <w:rsid w:val="00B76973"/>
    <w:rsid w:val="00B973C9"/>
    <w:rsid w:val="00BA4AD2"/>
    <w:rsid w:val="00BC322A"/>
    <w:rsid w:val="00C11223"/>
    <w:rsid w:val="00C3412E"/>
    <w:rsid w:val="00C57D00"/>
    <w:rsid w:val="00C76000"/>
    <w:rsid w:val="00CB3610"/>
    <w:rsid w:val="00CD7D35"/>
    <w:rsid w:val="00CE1C8C"/>
    <w:rsid w:val="00CF5B2A"/>
    <w:rsid w:val="00D02302"/>
    <w:rsid w:val="00D32781"/>
    <w:rsid w:val="00D36506"/>
    <w:rsid w:val="00D70919"/>
    <w:rsid w:val="00D90359"/>
    <w:rsid w:val="00DA1C36"/>
    <w:rsid w:val="00DD7A3E"/>
    <w:rsid w:val="00DE2C83"/>
    <w:rsid w:val="00E03957"/>
    <w:rsid w:val="00E1156D"/>
    <w:rsid w:val="00E34343"/>
    <w:rsid w:val="00EA43A3"/>
    <w:rsid w:val="00F06F54"/>
    <w:rsid w:val="00F16D61"/>
    <w:rsid w:val="00F3418C"/>
    <w:rsid w:val="00F41003"/>
    <w:rsid w:val="00F442D7"/>
    <w:rsid w:val="00F55BBB"/>
    <w:rsid w:val="00F85602"/>
    <w:rsid w:val="00F92CB8"/>
    <w:rsid w:val="00F95336"/>
    <w:rsid w:val="00FE2670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91BB"/>
  <w15:docId w15:val="{65B37A22-A16D-4C0E-9564-EF0E3836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B3610"/>
    <w:pPr>
      <w:widowControl w:val="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CB361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1A0E"/>
    <w:pPr>
      <w:spacing w:after="0" w:line="240" w:lineRule="auto"/>
      <w:ind w:firstLine="720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4D79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F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26"/>
    <w:rPr>
      <w:rFonts w:ascii="Tahoma" w:eastAsia="Times New Roman" w:hAnsi="Tahoma" w:cs="Tahoma"/>
      <w:sz w:val="16"/>
      <w:szCs w:val="16"/>
    </w:rPr>
  </w:style>
  <w:style w:type="character" w:customStyle="1" w:styleId="tx2">
    <w:name w:val="tx2"/>
    <w:basedOn w:val="DefaultParagraphFont"/>
    <w:rsid w:val="00F3418C"/>
  </w:style>
  <w:style w:type="paragraph" w:styleId="Footer">
    <w:name w:val="footer"/>
    <w:basedOn w:val="Normal"/>
    <w:link w:val="FooterChar"/>
    <w:uiPriority w:val="99"/>
    <w:rsid w:val="00EA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C6C7-E4DF-4DD7-9D0C-879F7992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H. Keegan</dc:creator>
  <cp:lastModifiedBy>Theresa H Keegan</cp:lastModifiedBy>
  <cp:revision>4</cp:revision>
  <cp:lastPrinted>2017-08-08T21:46:00Z</cp:lastPrinted>
  <dcterms:created xsi:type="dcterms:W3CDTF">2017-09-25T18:04:00Z</dcterms:created>
  <dcterms:modified xsi:type="dcterms:W3CDTF">2018-03-13T21:44:00Z</dcterms:modified>
</cp:coreProperties>
</file>