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1132"/>
        <w:gridCol w:w="3070"/>
        <w:gridCol w:w="302"/>
        <w:gridCol w:w="2402"/>
        <w:gridCol w:w="302"/>
        <w:gridCol w:w="2304"/>
        <w:gridCol w:w="302"/>
        <w:gridCol w:w="2503"/>
      </w:tblGrid>
      <w:tr w:rsidR="005B3F7E" w:rsidRPr="00422114" w:rsidTr="00A54376">
        <w:tc>
          <w:tcPr>
            <w:tcW w:w="723" w:type="pct"/>
            <w:vMerge w:val="restart"/>
            <w:vAlign w:val="bottom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" w:type="pct"/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 xml:space="preserve">Treatment </w:t>
            </w:r>
            <w:proofErr w:type="spellStart"/>
            <w:r w:rsidRPr="00422114">
              <w:rPr>
                <w:rFonts w:ascii="Arial" w:hAnsi="Arial" w:cs="Arial"/>
                <w:b/>
                <w:sz w:val="22"/>
                <w:szCs w:val="22"/>
              </w:rPr>
              <w:t>contrast</w:t>
            </w:r>
            <w:r w:rsidRPr="0042211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5" w:type="pct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>One-year all-</w:t>
            </w:r>
          </w:p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>cause mortality</w:t>
            </w:r>
          </w:p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>(N=</w:t>
            </w:r>
            <w:proofErr w:type="gramStart"/>
            <w:r w:rsidRPr="00422114">
              <w:rPr>
                <w:rFonts w:ascii="Arial" w:hAnsi="Arial" w:cs="Arial"/>
                <w:b/>
                <w:sz w:val="22"/>
                <w:szCs w:val="22"/>
              </w:rPr>
              <w:t>27,184)</w:t>
            </w:r>
            <w:r w:rsidRPr="0042211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b</w:t>
            </w:r>
            <w:proofErr w:type="gramEnd"/>
          </w:p>
        </w:tc>
      </w:tr>
      <w:tr w:rsidR="005B3F7E" w:rsidRPr="00422114" w:rsidTr="00A54376">
        <w:tc>
          <w:tcPr>
            <w:tcW w:w="723" w:type="pct"/>
            <w:vMerge/>
            <w:tcBorders>
              <w:bottom w:val="nil"/>
            </w:tcBorders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" w:type="pct"/>
            <w:tcBorders>
              <w:bottom w:val="nil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422114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>Laparoscopic surg.</w:t>
            </w:r>
          </w:p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>(N=29,687)</w:t>
            </w:r>
          </w:p>
        </w:tc>
        <w:tc>
          <w:tcPr>
            <w:tcW w:w="105" w:type="pct"/>
            <w:tcBorders>
              <w:top w:val="single" w:sz="4" w:space="0" w:color="auto"/>
              <w:bottom w:val="nil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</w:tcPr>
          <w:p w:rsidR="005B3F7E" w:rsidRPr="00422114" w:rsidRDefault="005B3F7E" w:rsidP="00A54376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>Chemotherapy</w:t>
            </w:r>
          </w:p>
          <w:p w:rsidR="005B3F7E" w:rsidRPr="00422114" w:rsidRDefault="005B3F7E" w:rsidP="00A54376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>(N=26,209)</w:t>
            </w:r>
          </w:p>
        </w:tc>
        <w:tc>
          <w:tcPr>
            <w:tcW w:w="105" w:type="pct"/>
            <w:tcBorders>
              <w:top w:val="single" w:sz="4" w:space="0" w:color="auto"/>
              <w:bottom w:val="nil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>FOLFOX</w:t>
            </w:r>
          </w:p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2"/>
                <w:szCs w:val="22"/>
              </w:rPr>
              <w:t>(N=7,594)</w:t>
            </w:r>
          </w:p>
        </w:tc>
        <w:tc>
          <w:tcPr>
            <w:tcW w:w="105" w:type="pct"/>
            <w:tcBorders>
              <w:bottom w:val="nil"/>
            </w:tcBorders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vMerge/>
            <w:tcBorders>
              <w:top w:val="nil"/>
              <w:bottom w:val="single" w:sz="4" w:space="0" w:color="auto"/>
            </w:tcBorders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Chrischilles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0 indicators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15,425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1.00 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1 indicator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8,275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1.04 (0.99, 1.08)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0.97 (0.94, 0.99)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0.99 (0.95, 1.04)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1.18 (1.09, 1.28)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2+ indicators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5,987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0.89 (0.84, 0.94)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0.87 (0.83, 0.91)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 xml:space="preserve">0.92 (0.85, 0.99)    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1.45 (1.34, 1.58)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Faurot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Low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15,426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Intermediate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8,274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0.84 (0.80, 0.88)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0.85 (0.82, 0.88)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0.87 (0.81, 0.92)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1.66 (1.53, 1.81)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High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5,987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0.72 (0.67, 0.77)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0.54 (0.50, 0.59)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0.68 (0.59, 0.79)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2.23 (2.02, 2.47)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Davidoff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Low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15,426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Intermediate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8,139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0.82 (0.78, 0.85)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0.90 (0.88, 0.93)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0.94 (0.90, 0.98)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1.22 (1.13, 1.32)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High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>6,122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0.72 (0.68, 0.76)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0.75 (0.72, 0.79)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0.83 (0.77, 0.89)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2114">
              <w:rPr>
                <w:rFonts w:ascii="Arial" w:hAnsi="Arial" w:cs="Arial"/>
                <w:b/>
                <w:sz w:val="20"/>
                <w:szCs w:val="20"/>
              </w:rPr>
              <w:t>1.66 (1.54, 1.79)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7E" w:rsidRPr="00F76EC0" w:rsidRDefault="005B3F7E" w:rsidP="00A54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EC0">
              <w:rPr>
                <w:rFonts w:ascii="Arial" w:hAnsi="Arial" w:cs="Arial"/>
                <w:b/>
                <w:sz w:val="20"/>
                <w:szCs w:val="20"/>
              </w:rPr>
              <w:t>Segal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Low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EC0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76EC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F76EC0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EC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CA3B6B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3A2ED9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35752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Intermediate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EC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,432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F76EC0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0.97 (0.92, </w:t>
            </w:r>
            <w:r w:rsidRPr="00F76EC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3A2ED9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ED9">
              <w:rPr>
                <w:rFonts w:ascii="Arial" w:hAnsi="Arial" w:cs="Arial"/>
                <w:b/>
                <w:sz w:val="20"/>
                <w:szCs w:val="20"/>
              </w:rPr>
              <w:t>0.83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A2ED9">
              <w:rPr>
                <w:rFonts w:ascii="Arial" w:hAnsi="Arial" w:cs="Arial"/>
                <w:b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79, </w:t>
            </w:r>
            <w:r w:rsidRPr="003A2ED9">
              <w:rPr>
                <w:rFonts w:ascii="Arial" w:hAnsi="Arial" w:cs="Arial"/>
                <w:b/>
                <w:sz w:val="20"/>
                <w:szCs w:val="20"/>
              </w:rPr>
              <w:t>0.87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3A2ED9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0.76</w:t>
            </w:r>
            <w:r w:rsidRPr="003A2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A2ED9">
              <w:rPr>
                <w:rFonts w:ascii="Arial" w:hAnsi="Arial" w:cs="Arial"/>
                <w:b/>
                <w:sz w:val="20"/>
                <w:szCs w:val="20"/>
              </w:rPr>
              <w:t>0.70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A2ED9">
              <w:rPr>
                <w:rFonts w:ascii="Arial" w:hAnsi="Arial" w:cs="Arial"/>
                <w:b/>
                <w:sz w:val="20"/>
                <w:szCs w:val="20"/>
              </w:rPr>
              <w:t>0.82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1.60 (1.45, 1.76)</w:t>
            </w:r>
          </w:p>
        </w:tc>
      </w:tr>
      <w:tr w:rsidR="005B3F7E" w:rsidRPr="00422114" w:rsidTr="00A54376"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F7E" w:rsidRPr="00422114" w:rsidRDefault="005B3F7E" w:rsidP="00A54376">
            <w:pPr>
              <w:rPr>
                <w:rFonts w:ascii="Arial" w:hAnsi="Arial" w:cs="Arial"/>
                <w:sz w:val="20"/>
                <w:szCs w:val="20"/>
              </w:rPr>
            </w:pPr>
            <w:r w:rsidRPr="00422114">
              <w:rPr>
                <w:rFonts w:ascii="Arial" w:hAnsi="Arial" w:cs="Arial"/>
                <w:sz w:val="20"/>
                <w:szCs w:val="20"/>
              </w:rPr>
              <w:t xml:space="preserve">   High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0.88 (0.81, 0.95)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F7E" w:rsidRPr="003A2ED9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ED9">
              <w:rPr>
                <w:rFonts w:ascii="Arial" w:hAnsi="Arial" w:cs="Arial"/>
                <w:b/>
                <w:sz w:val="20"/>
                <w:szCs w:val="20"/>
              </w:rPr>
              <w:t>0.6</w:t>
            </w:r>
            <w:r>
              <w:rPr>
                <w:rFonts w:ascii="Arial" w:hAnsi="Arial" w:cs="Arial"/>
                <w:b/>
                <w:sz w:val="20"/>
                <w:szCs w:val="20"/>
              </w:rPr>
              <w:t>1 (0.56, 0.67)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0.55 (0.46,</w:t>
            </w:r>
            <w:r w:rsidRPr="003A2ED9">
              <w:rPr>
                <w:rFonts w:ascii="Arial" w:hAnsi="Arial" w:cs="Arial"/>
                <w:b/>
                <w:sz w:val="20"/>
                <w:szCs w:val="20"/>
              </w:rPr>
              <w:t xml:space="preserve"> 0.6</w:t>
            </w:r>
            <w:r>
              <w:rPr>
                <w:rFonts w:ascii="Arial" w:hAnsi="Arial" w:cs="Arial"/>
                <w:b/>
                <w:sz w:val="20"/>
                <w:szCs w:val="20"/>
              </w:rPr>
              <w:t>7)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F7E" w:rsidRPr="00422114" w:rsidRDefault="005B3F7E" w:rsidP="00A543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1.87 (1.65, 2.11)</w:t>
            </w:r>
          </w:p>
        </w:tc>
      </w:tr>
    </w:tbl>
    <w:p w:rsidR="005B3F7E" w:rsidRPr="00422114" w:rsidRDefault="005B3F7E" w:rsidP="005B3F7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22114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proofErr w:type="gramEnd"/>
      <w:r w:rsidRPr="00422114">
        <w:rPr>
          <w:rFonts w:ascii="Arial" w:hAnsi="Arial" w:cs="Arial"/>
          <w:sz w:val="22"/>
          <w:szCs w:val="22"/>
        </w:rPr>
        <w:t xml:space="preserve"> Adjusted for stage, sex, age (&lt;75, 75-84, 85+), race (White non-Hispanic, Black non-Hispanic, Hispanic, Other), and Gagne comorbidity score (continuous).</w:t>
      </w:r>
    </w:p>
    <w:p w:rsidR="005B3F7E" w:rsidRPr="00422114" w:rsidRDefault="005B3F7E" w:rsidP="005B3F7E">
      <w:pPr>
        <w:rPr>
          <w:rFonts w:ascii="Arial" w:hAnsi="Arial" w:cs="Arial"/>
        </w:rPr>
      </w:pPr>
      <w:r w:rsidRPr="00422114">
        <w:rPr>
          <w:rFonts w:ascii="Arial" w:hAnsi="Arial" w:cs="Arial"/>
          <w:sz w:val="22"/>
          <w:szCs w:val="22"/>
          <w:vertAlign w:val="superscript"/>
        </w:rPr>
        <w:t>b</w:t>
      </w:r>
      <w:r w:rsidRPr="00422114">
        <w:rPr>
          <w:rFonts w:ascii="Arial" w:hAnsi="Arial" w:cs="Arial"/>
          <w:sz w:val="22"/>
          <w:szCs w:val="22"/>
        </w:rPr>
        <w:t xml:space="preserve"> Adjusted for stage, sex, age (&lt;75, 75-84, 85+), race (White non-Hispanic, Black non-Hispanic, Hispanic, Other), and Gagne comorbidity score (&lt;0, 0, 1, 2, 3, 4+).</w:t>
      </w:r>
    </w:p>
    <w:p w:rsidR="00C94F27" w:rsidRDefault="00C94F27">
      <w:bookmarkStart w:id="0" w:name="_GoBack"/>
      <w:bookmarkEnd w:id="0"/>
    </w:p>
    <w:sectPr w:rsidR="00C94F27" w:rsidSect="005B3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7E"/>
    <w:rsid w:val="005B3F7E"/>
    <w:rsid w:val="00B91216"/>
    <w:rsid w:val="00C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E401"/>
  <w15:chartTrackingRefBased/>
  <w15:docId w15:val="{A9D3EDE3-2053-734F-B36A-D3D1A9F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F7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Mayer</dc:creator>
  <cp:keywords/>
  <dc:description/>
  <cp:lastModifiedBy>Sophie Mayer</cp:lastModifiedBy>
  <cp:revision>1</cp:revision>
  <dcterms:created xsi:type="dcterms:W3CDTF">2018-03-22T11:49:00Z</dcterms:created>
  <dcterms:modified xsi:type="dcterms:W3CDTF">2018-03-22T11:50:00Z</dcterms:modified>
</cp:coreProperties>
</file>