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49" w:rsidRPr="00F22449" w:rsidRDefault="00F22449" w:rsidP="00F22449">
      <w:pPr>
        <w:tabs>
          <w:tab w:val="left" w:pos="3150"/>
        </w:tabs>
        <w:jc w:val="both"/>
        <w:rPr>
          <w:b/>
        </w:rPr>
      </w:pPr>
      <w:bookmarkStart w:id="0" w:name="_GoBack"/>
      <w:r w:rsidRPr="00F22449">
        <w:rPr>
          <w:rStyle w:val="label5"/>
          <w:rFonts w:ascii="Arial" w:hAnsi="Arial" w:cs="Arial"/>
          <w:b/>
          <w:color w:val="737373"/>
          <w:sz w:val="20"/>
          <w:szCs w:val="20"/>
          <w:lang w:val="en"/>
        </w:rPr>
        <w:t>Supplementary</w:t>
      </w:r>
      <w:r w:rsidRPr="00F22449">
        <w:rPr>
          <w:rStyle w:val="label5"/>
          <w:rFonts w:ascii="Arial" w:hAnsi="Arial" w:cs="Arial"/>
          <w:b/>
          <w:color w:val="737373"/>
          <w:sz w:val="20"/>
          <w:szCs w:val="20"/>
          <w:lang w:val="en"/>
        </w:rPr>
        <w:t xml:space="preserve"> Fig Captions</w:t>
      </w:r>
      <w:bookmarkEnd w:id="0"/>
    </w:p>
    <w:p w:rsidR="00F22449" w:rsidRDefault="00F22449" w:rsidP="00F22449">
      <w:pPr>
        <w:tabs>
          <w:tab w:val="left" w:pos="3150"/>
        </w:tabs>
        <w:jc w:val="both"/>
      </w:pPr>
      <w:r>
        <w:tab/>
      </w:r>
    </w:p>
    <w:p w:rsidR="00EE714D" w:rsidRDefault="00F22449" w:rsidP="00F22449">
      <w:pPr>
        <w:tabs>
          <w:tab w:val="left" w:pos="3150"/>
        </w:tabs>
        <w:jc w:val="both"/>
        <w:rPr>
          <w:rFonts w:ascii="Arial" w:hAnsi="Arial" w:cs="Arial"/>
          <w:color w:val="737373"/>
          <w:sz w:val="20"/>
          <w:szCs w:val="20"/>
          <w:lang w:val="en"/>
        </w:rPr>
      </w:pPr>
      <w:r>
        <w:rPr>
          <w:rStyle w:val="label5"/>
          <w:rFonts w:ascii="Arial" w:hAnsi="Arial" w:cs="Arial"/>
          <w:color w:val="737373"/>
          <w:sz w:val="20"/>
          <w:szCs w:val="20"/>
          <w:lang w:val="en"/>
        </w:rPr>
        <w:t>Supplementary Fig. S1</w:t>
      </w:r>
      <w:r>
        <w:rPr>
          <w:rFonts w:ascii="Arial" w:hAnsi="Arial" w:cs="Arial"/>
          <w:color w:val="737373"/>
          <w:sz w:val="20"/>
          <w:szCs w:val="20"/>
          <w:lang w:val="en"/>
        </w:rPr>
        <w:t xml:space="preserve">. A potential approach to convulsive </w:t>
      </w:r>
      <w:hyperlink r:id="rId4" w:tooltip="Learn more about Status epilepticus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status epilepticus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 in children. The first step should always be to take care of airway, breathing, and circulation (ABCs). The first-line antiepileptic drug (AED) is usually a benzodiazepine (most frequently lorazepam), followed by a loading dose of </w:t>
      </w:r>
      <w:hyperlink r:id="rId5" w:tooltip="Learn more about Phenytoin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phenytoin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, and then another intravenous (IV) </w:t>
      </w:r>
      <w:hyperlink r:id="rId6" w:tooltip="Learn more about Epilepsy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epilepsy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 medication, most frequently phenobarbital, </w:t>
      </w:r>
      <w:hyperlink r:id="rId7" w:tooltip="Learn more about Levetiracetam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levetiracetam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, or </w:t>
      </w:r>
      <w:hyperlink r:id="rId8" w:tooltip="Learn more about Valproic acid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valproic acid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. If the patient is younger than 2 years of age, </w:t>
      </w:r>
      <w:hyperlink r:id="rId9" w:tooltip="Learn more about Pyridoxine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pyridoxine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 and </w:t>
      </w:r>
      <w:hyperlink r:id="rId10" w:tooltip="Learn more about Thiamine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thiamine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 should be considered after failure of the first 2–3 treatments. Additional (and overlapping) systemic management should consider potential correction of </w:t>
      </w:r>
      <w:hyperlink r:id="rId11" w:tooltip="Learn more about Hypoxia (medical)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hypoxia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, </w:t>
      </w:r>
      <w:hyperlink r:id="rId12" w:tooltip="Learn more about Hemodynamics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hemodynamics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, </w:t>
      </w:r>
      <w:hyperlink r:id="rId13" w:tooltip="Learn more about Hyperthermia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hyperthermia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, </w:t>
      </w:r>
      <w:hyperlink r:id="rId14" w:tooltip="Learn more about Hypoglycemia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hypoglycemia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, and </w:t>
      </w:r>
      <w:hyperlink r:id="rId15" w:tooltip="Learn more about Hyponatremia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hyponatremia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. Diagnostic laboratory tests, EKG, and imaging may be obtained simultaneously. If status epilepticus becomes refractory (at the latest, after failure of the second medication) continuous </w:t>
      </w:r>
      <w:hyperlink r:id="rId16" w:tooltip="Learn more about Electroencephalography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EEG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 monitoring should be initiated. If treatment with two or three AEDs fails, </w:t>
      </w:r>
      <w:hyperlink r:id="rId17" w:tooltip="Learn more about Burst suppression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burst suppression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 with midazolam or pentobarbital may be initiated. In children less than 2 years of age, a pyridoxine trial should be considered. This approach is mainly derived from medical convention and adult </w:t>
      </w:r>
      <w:proofErr w:type="gramStart"/>
      <w:r>
        <w:rPr>
          <w:rFonts w:ascii="Arial" w:hAnsi="Arial" w:cs="Arial"/>
          <w:color w:val="737373"/>
          <w:sz w:val="20"/>
          <w:szCs w:val="20"/>
          <w:lang w:val="en"/>
        </w:rPr>
        <w:t>data, and</w:t>
      </w:r>
      <w:proofErr w:type="gramEnd"/>
      <w:r>
        <w:rPr>
          <w:rFonts w:ascii="Arial" w:hAnsi="Arial" w:cs="Arial"/>
          <w:color w:val="737373"/>
          <w:sz w:val="20"/>
          <w:szCs w:val="20"/>
          <w:lang w:val="en"/>
        </w:rPr>
        <w:t xml:space="preserve"> will need to be evaluated in children. Data to corroborate or evaluate this and other approaches in children are limited or not available. Legend: ABC: Airway, breathing, circulation. AED: Antiepileptic drug. CI: Continuous infusion. DZP: </w:t>
      </w:r>
      <w:hyperlink r:id="rId18" w:tooltip="Learn more about Diazepam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Diazepam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. EEG: </w:t>
      </w:r>
      <w:hyperlink r:id="rId19" w:tooltip="Learn more about Electroencephalography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Electroencephalogram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. EKG: </w:t>
      </w:r>
      <w:hyperlink r:id="rId20" w:tooltip="Learn more about Electrocardiography" w:history="1">
        <w:r>
          <w:rPr>
            <w:rStyle w:val="Hyperlink"/>
            <w:rFonts w:ascii="Arial" w:hAnsi="Arial" w:cs="Arial"/>
            <w:sz w:val="20"/>
            <w:szCs w:val="20"/>
            <w:lang w:val="en"/>
          </w:rPr>
          <w:t>Electrocardiogram</w:t>
        </w:r>
      </w:hyperlink>
      <w:r>
        <w:rPr>
          <w:rFonts w:ascii="Arial" w:hAnsi="Arial" w:cs="Arial"/>
          <w:color w:val="737373"/>
          <w:sz w:val="20"/>
          <w:szCs w:val="20"/>
          <w:lang w:val="en"/>
        </w:rPr>
        <w:t xml:space="preserve">. FPHT: </w:t>
      </w:r>
      <w:proofErr w:type="spellStart"/>
      <w:r>
        <w:rPr>
          <w:rFonts w:ascii="Arial" w:hAnsi="Arial" w:cs="Arial"/>
          <w:color w:val="737373"/>
          <w:sz w:val="20"/>
          <w:szCs w:val="20"/>
          <w:lang w:val="en"/>
        </w:rPr>
        <w:t>Fosphenytoin</w:t>
      </w:r>
      <w:proofErr w:type="spellEnd"/>
      <w:r>
        <w:rPr>
          <w:rFonts w:ascii="Arial" w:hAnsi="Arial" w:cs="Arial"/>
          <w:color w:val="737373"/>
          <w:sz w:val="20"/>
          <w:szCs w:val="20"/>
          <w:lang w:val="en"/>
        </w:rPr>
        <w:t xml:space="preserve">. LEV: Levetiracetam. LZP: Lorazepam. MDZ: Midazolam. PB: Phenobarbital. PE: Phenytoin equivalents. PHT: Phenytoin. PR: per rectum. PTB: Pentobarbital. VPA: Valproate. Reproduced with permission from </w:t>
      </w:r>
      <w:proofErr w:type="spellStart"/>
      <w:r>
        <w:rPr>
          <w:rFonts w:ascii="Arial" w:hAnsi="Arial" w:cs="Arial"/>
          <w:color w:val="737373"/>
          <w:sz w:val="20"/>
          <w:szCs w:val="20"/>
          <w:lang w:val="en"/>
        </w:rPr>
        <w:t>Loddenkemper</w:t>
      </w:r>
      <w:proofErr w:type="spellEnd"/>
      <w:r>
        <w:rPr>
          <w:rFonts w:ascii="Arial" w:hAnsi="Arial" w:cs="Arial"/>
          <w:color w:val="737373"/>
          <w:sz w:val="20"/>
          <w:szCs w:val="20"/>
          <w:lang w:val="en"/>
        </w:rPr>
        <w:t xml:space="preserve"> and Goodkin</w:t>
      </w:r>
      <w:bookmarkStart w:id="1" w:name="bbib0105"/>
      <w:r>
        <w:rPr>
          <w:rFonts w:ascii="Arial" w:hAnsi="Arial" w:cs="Arial"/>
          <w:color w:val="737373"/>
          <w:sz w:val="20"/>
          <w:szCs w:val="20"/>
          <w:lang w:val="en"/>
        </w:rPr>
        <w:fldChar w:fldCharType="begin"/>
      </w:r>
      <w:r>
        <w:rPr>
          <w:rFonts w:ascii="Arial" w:hAnsi="Arial" w:cs="Arial"/>
          <w:color w:val="737373"/>
          <w:sz w:val="20"/>
          <w:szCs w:val="20"/>
          <w:lang w:val="en"/>
        </w:rPr>
        <w:instrText xml:space="preserve"> HYPERLINK "https://www.sciencedirect.com/science/article/pii/S1059131113002811?via%3Dihub" \l "bib0105" </w:instrText>
      </w:r>
      <w:r>
        <w:rPr>
          <w:rFonts w:ascii="Arial" w:hAnsi="Arial" w:cs="Arial"/>
          <w:color w:val="737373"/>
          <w:sz w:val="20"/>
          <w:szCs w:val="20"/>
          <w:lang w:val="en"/>
        </w:rPr>
        <w:fldChar w:fldCharType="separate"/>
      </w:r>
      <w:r>
        <w:rPr>
          <w:rStyle w:val="Hyperlink"/>
          <w:rFonts w:ascii="Arial" w:hAnsi="Arial" w:cs="Arial"/>
          <w:sz w:val="15"/>
          <w:szCs w:val="15"/>
          <w:vertAlign w:val="superscript"/>
          <w:lang w:val="en"/>
        </w:rPr>
        <w:t>21</w:t>
      </w:r>
      <w:r>
        <w:rPr>
          <w:rFonts w:ascii="Arial" w:hAnsi="Arial" w:cs="Arial"/>
          <w:color w:val="737373"/>
          <w:sz w:val="20"/>
          <w:szCs w:val="20"/>
          <w:lang w:val="en"/>
        </w:rPr>
        <w:fldChar w:fldCharType="end"/>
      </w:r>
      <w:bookmarkEnd w:id="1"/>
      <w:r>
        <w:rPr>
          <w:rFonts w:ascii="Arial" w:hAnsi="Arial" w:cs="Arial"/>
          <w:color w:val="737373"/>
          <w:sz w:val="20"/>
          <w:szCs w:val="20"/>
          <w:lang w:val="en"/>
        </w:rPr>
        <w:t>.</w:t>
      </w:r>
    </w:p>
    <w:p w:rsidR="00F22449" w:rsidRDefault="00F22449" w:rsidP="00F22449">
      <w:pPr>
        <w:tabs>
          <w:tab w:val="left" w:pos="3150"/>
        </w:tabs>
        <w:jc w:val="both"/>
        <w:rPr>
          <w:rFonts w:ascii="Arial" w:hAnsi="Arial" w:cs="Arial"/>
          <w:color w:val="737373"/>
          <w:sz w:val="20"/>
          <w:szCs w:val="20"/>
          <w:lang w:val="en"/>
        </w:rPr>
      </w:pPr>
    </w:p>
    <w:p w:rsidR="00F22449" w:rsidRDefault="00F22449" w:rsidP="00F22449">
      <w:pPr>
        <w:tabs>
          <w:tab w:val="left" w:pos="3150"/>
        </w:tabs>
        <w:jc w:val="both"/>
      </w:pPr>
      <w:r>
        <w:rPr>
          <w:rStyle w:val="label5"/>
          <w:rFonts w:ascii="Arial" w:hAnsi="Arial" w:cs="Arial"/>
          <w:color w:val="737373"/>
          <w:sz w:val="20"/>
          <w:szCs w:val="20"/>
          <w:lang w:val="en"/>
        </w:rPr>
        <w:t>Supplementary Fig. S2</w:t>
      </w:r>
      <w:r>
        <w:rPr>
          <w:rFonts w:ascii="Arial" w:hAnsi="Arial" w:cs="Arial"/>
          <w:color w:val="737373"/>
          <w:sz w:val="20"/>
          <w:szCs w:val="20"/>
          <w:lang w:val="en"/>
        </w:rPr>
        <w:t xml:space="preserve">. Structural organization of </w:t>
      </w:r>
      <w:proofErr w:type="spellStart"/>
      <w:r>
        <w:rPr>
          <w:rFonts w:ascii="Arial" w:hAnsi="Arial" w:cs="Arial"/>
          <w:color w:val="737373"/>
          <w:sz w:val="20"/>
          <w:szCs w:val="20"/>
          <w:lang w:val="en"/>
        </w:rPr>
        <w:t>pSERG</w:t>
      </w:r>
      <w:proofErr w:type="spellEnd"/>
      <w:r>
        <w:rPr>
          <w:rFonts w:ascii="Arial" w:hAnsi="Arial" w:cs="Arial"/>
          <w:color w:val="737373"/>
          <w:sz w:val="20"/>
          <w:szCs w:val="20"/>
          <w:lang w:val="en"/>
        </w:rPr>
        <w:t xml:space="preserve"> with the different governing structures. This figure outlines the relationship between the </w:t>
      </w:r>
      <w:proofErr w:type="spellStart"/>
      <w:r>
        <w:rPr>
          <w:rFonts w:ascii="Arial" w:hAnsi="Arial" w:cs="Arial"/>
          <w:color w:val="737373"/>
          <w:sz w:val="20"/>
          <w:szCs w:val="20"/>
          <w:lang w:val="en"/>
        </w:rPr>
        <w:t>pSERG</w:t>
      </w:r>
      <w:proofErr w:type="spellEnd"/>
      <w:r>
        <w:rPr>
          <w:rFonts w:ascii="Arial" w:hAnsi="Arial" w:cs="Arial"/>
          <w:color w:val="737373"/>
          <w:sz w:val="20"/>
          <w:szCs w:val="20"/>
          <w:lang w:val="en"/>
        </w:rPr>
        <w:t xml:space="preserve"> committees, including the database management working group, operations advisory working group, executive committee, data collection and evaluations group, and quality control working group.</w:t>
      </w:r>
    </w:p>
    <w:sectPr w:rsidR="00F22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49"/>
    <w:rsid w:val="00037E42"/>
    <w:rsid w:val="005A0AB5"/>
    <w:rsid w:val="00885993"/>
    <w:rsid w:val="00EF3CF8"/>
    <w:rsid w:val="00F22449"/>
    <w:rsid w:val="00F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9373"/>
  <w15:chartTrackingRefBased/>
  <w15:docId w15:val="{FEFB6A48-A397-4EA4-AB5D-ABFFC35E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449"/>
    <w:rPr>
      <w:strike w:val="0"/>
      <w:dstrike w:val="0"/>
      <w:color w:val="007398"/>
      <w:u w:val="none"/>
      <w:effect w:val="none"/>
      <w:shd w:val="clear" w:color="auto" w:fill="auto"/>
    </w:rPr>
  </w:style>
  <w:style w:type="character" w:customStyle="1" w:styleId="label5">
    <w:name w:val="label5"/>
    <w:basedOn w:val="DefaultParagraphFont"/>
    <w:rsid w:val="00F2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neuroscience/valproic-acid" TargetMode="External"/><Relationship Id="rId13" Type="http://schemas.openxmlformats.org/officeDocument/2006/relationships/hyperlink" Target="https://www.sciencedirect.com/topics/medicine-and-dentistry/hyperthermia" TargetMode="External"/><Relationship Id="rId18" Type="http://schemas.openxmlformats.org/officeDocument/2006/relationships/hyperlink" Target="https://www.sciencedirect.com/topics/neuroscience/diazepa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sciencedirect.com/topics/neuroscience/levetiracetam" TargetMode="External"/><Relationship Id="rId12" Type="http://schemas.openxmlformats.org/officeDocument/2006/relationships/hyperlink" Target="https://www.sciencedirect.com/topics/medicine-and-dentistry/hemodynamics" TargetMode="External"/><Relationship Id="rId17" Type="http://schemas.openxmlformats.org/officeDocument/2006/relationships/hyperlink" Target="https://www.sciencedirect.com/topics/medicine-and-dentistry/burst-suppress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iencedirect.com/topics/medicine-and-dentistry/electroencephalography" TargetMode="External"/><Relationship Id="rId20" Type="http://schemas.openxmlformats.org/officeDocument/2006/relationships/hyperlink" Target="https://www.sciencedirect.com/topics/neuroscience/electrocardiograph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neuroscience/epilepsy" TargetMode="External"/><Relationship Id="rId11" Type="http://schemas.openxmlformats.org/officeDocument/2006/relationships/hyperlink" Target="https://www.sciencedirect.com/topics/medicine-and-dentistry/hypoxia-medical" TargetMode="External"/><Relationship Id="rId5" Type="http://schemas.openxmlformats.org/officeDocument/2006/relationships/hyperlink" Target="https://www.sciencedirect.com/topics/neuroscience/phenytoin" TargetMode="External"/><Relationship Id="rId15" Type="http://schemas.openxmlformats.org/officeDocument/2006/relationships/hyperlink" Target="https://www.sciencedirect.com/topics/medicine-and-dentistry/hyponatremia" TargetMode="External"/><Relationship Id="rId10" Type="http://schemas.openxmlformats.org/officeDocument/2006/relationships/hyperlink" Target="https://www.sciencedirect.com/topics/neuroscience/thiamine" TargetMode="External"/><Relationship Id="rId19" Type="http://schemas.openxmlformats.org/officeDocument/2006/relationships/hyperlink" Target="https://www.sciencedirect.com/topics/medicine-and-dentistry/electroencephalography" TargetMode="External"/><Relationship Id="rId4" Type="http://schemas.openxmlformats.org/officeDocument/2006/relationships/hyperlink" Target="https://www.sciencedirect.com/topics/neuroscience/status-epilepticus" TargetMode="External"/><Relationship Id="rId9" Type="http://schemas.openxmlformats.org/officeDocument/2006/relationships/hyperlink" Target="https://www.sciencedirect.com/topics/neuroscience/pyridoxine" TargetMode="External"/><Relationship Id="rId14" Type="http://schemas.openxmlformats.org/officeDocument/2006/relationships/hyperlink" Target="https://www.sciencedirect.com/topics/neuroscience/hypoglycem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Ravichandran (ELS-CHN)</dc:creator>
  <cp:keywords/>
  <dc:description/>
  <cp:lastModifiedBy>Mohan, Ravichandran (ELS-CHN)</cp:lastModifiedBy>
  <cp:revision>1</cp:revision>
  <dcterms:created xsi:type="dcterms:W3CDTF">2018-10-24T06:42:00Z</dcterms:created>
  <dcterms:modified xsi:type="dcterms:W3CDTF">2018-10-24T06:44:00Z</dcterms:modified>
</cp:coreProperties>
</file>