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2449" w:rsidRPr="00F22449" w:rsidRDefault="00F22449" w:rsidP="00F22449">
      <w:pPr>
        <w:tabs>
          <w:tab w:val="left" w:pos="3150"/>
        </w:tabs>
        <w:jc w:val="both"/>
        <w:rPr>
          <w:b/>
        </w:rPr>
      </w:pPr>
      <w:bookmarkStart w:id="0" w:name="_GoBack"/>
      <w:r w:rsidRPr="00F22449">
        <w:rPr>
          <w:rStyle w:val="label5"/>
          <w:rFonts w:ascii="Arial" w:hAnsi="Arial" w:cs="Arial"/>
          <w:b/>
          <w:color w:val="737373"/>
          <w:sz w:val="20"/>
          <w:szCs w:val="20"/>
          <w:lang w:val="en"/>
        </w:rPr>
        <w:t>Supplementary</w:t>
      </w:r>
      <w:r w:rsidRPr="00F22449">
        <w:rPr>
          <w:rStyle w:val="label5"/>
          <w:rFonts w:ascii="Arial" w:hAnsi="Arial" w:cs="Arial"/>
          <w:b/>
          <w:color w:val="737373"/>
          <w:sz w:val="20"/>
          <w:szCs w:val="20"/>
          <w:lang w:val="en"/>
        </w:rPr>
        <w:t xml:space="preserve"> Fig Captions</w:t>
      </w:r>
      <w:bookmarkEnd w:id="0"/>
    </w:p>
    <w:p w:rsidR="00F22449" w:rsidRDefault="00F22449" w:rsidP="00F22449">
      <w:pPr>
        <w:tabs>
          <w:tab w:val="left" w:pos="3150"/>
        </w:tabs>
        <w:jc w:val="both"/>
      </w:pPr>
      <w:r>
        <w:tab/>
      </w:r>
    </w:p>
    <w:p w:rsidR="00EE714D" w:rsidRDefault="00F22449" w:rsidP="00F22449">
      <w:pPr>
        <w:tabs>
          <w:tab w:val="left" w:pos="3150"/>
        </w:tabs>
        <w:jc w:val="both"/>
        <w:rPr>
          <w:rFonts w:ascii="Arial" w:hAnsi="Arial" w:cs="Arial"/>
          <w:color w:val="737373"/>
          <w:sz w:val="20"/>
          <w:szCs w:val="20"/>
          <w:lang w:val="en"/>
        </w:rPr>
      </w:pPr>
      <w:r>
        <w:rPr>
          <w:rStyle w:val="label5"/>
          <w:rFonts w:ascii="Arial" w:hAnsi="Arial" w:cs="Arial"/>
          <w:color w:val="737373"/>
          <w:sz w:val="20"/>
          <w:szCs w:val="20"/>
          <w:lang w:val="en"/>
        </w:rPr>
        <w:t>Supplementary Fig. S1</w:t>
      </w:r>
      <w:r>
        <w:rPr>
          <w:rFonts w:ascii="Arial" w:hAnsi="Arial" w:cs="Arial"/>
          <w:color w:val="737373"/>
          <w:sz w:val="20"/>
          <w:szCs w:val="20"/>
          <w:lang w:val="en"/>
        </w:rPr>
        <w:t xml:space="preserve">. A potential approach to convulsive </w:t>
      </w:r>
      <w:hyperlink r:id="rId4" w:tooltip="Learn more about Status epilepticus" w:history="1">
        <w:r>
          <w:rPr>
            <w:rStyle w:val="Hyperlink"/>
            <w:rFonts w:ascii="Arial" w:hAnsi="Arial" w:cs="Arial"/>
            <w:sz w:val="20"/>
            <w:szCs w:val="20"/>
            <w:lang w:val="en"/>
          </w:rPr>
          <w:t>status epilepticus</w:t>
        </w:r>
      </w:hyperlink>
      <w:r>
        <w:rPr>
          <w:rFonts w:ascii="Arial" w:hAnsi="Arial" w:cs="Arial"/>
          <w:color w:val="737373"/>
          <w:sz w:val="20"/>
          <w:szCs w:val="20"/>
          <w:lang w:val="en"/>
        </w:rPr>
        <w:t xml:space="preserve"> in children. The first step should always be to take care of airway, breathing, and circulation (ABCs). The first-line antiepileptic drug (AED) is usually a benzodiazepine (most frequently lorazepam), followed by a loading dose of </w:t>
      </w:r>
      <w:hyperlink r:id="rId5" w:tooltip="Learn more about Phenytoin" w:history="1">
        <w:r>
          <w:rPr>
            <w:rStyle w:val="Hyperlink"/>
            <w:rFonts w:ascii="Arial" w:hAnsi="Arial" w:cs="Arial"/>
            <w:sz w:val="20"/>
            <w:szCs w:val="20"/>
            <w:lang w:val="en"/>
          </w:rPr>
          <w:t>phenytoin</w:t>
        </w:r>
      </w:hyperlink>
      <w:r>
        <w:rPr>
          <w:rFonts w:ascii="Arial" w:hAnsi="Arial" w:cs="Arial"/>
          <w:color w:val="737373"/>
          <w:sz w:val="20"/>
          <w:szCs w:val="20"/>
          <w:lang w:val="en"/>
        </w:rPr>
        <w:t xml:space="preserve">, and then another intravenous (IV) </w:t>
      </w:r>
      <w:hyperlink r:id="rId6" w:tooltip="Learn more about Epilepsy" w:history="1">
        <w:r>
          <w:rPr>
            <w:rStyle w:val="Hyperlink"/>
            <w:rFonts w:ascii="Arial" w:hAnsi="Arial" w:cs="Arial"/>
            <w:sz w:val="20"/>
            <w:szCs w:val="20"/>
            <w:lang w:val="en"/>
          </w:rPr>
          <w:t>epilepsy</w:t>
        </w:r>
      </w:hyperlink>
      <w:r>
        <w:rPr>
          <w:rFonts w:ascii="Arial" w:hAnsi="Arial" w:cs="Arial"/>
          <w:color w:val="737373"/>
          <w:sz w:val="20"/>
          <w:szCs w:val="20"/>
          <w:lang w:val="en"/>
        </w:rPr>
        <w:t xml:space="preserve"> medication, most frequently phenobarbital, </w:t>
      </w:r>
      <w:hyperlink r:id="rId7" w:tooltip="Learn more about Levetiracetam" w:history="1">
        <w:r>
          <w:rPr>
            <w:rStyle w:val="Hyperlink"/>
            <w:rFonts w:ascii="Arial" w:hAnsi="Arial" w:cs="Arial"/>
            <w:sz w:val="20"/>
            <w:szCs w:val="20"/>
            <w:lang w:val="en"/>
          </w:rPr>
          <w:t>levetiracetam</w:t>
        </w:r>
      </w:hyperlink>
      <w:r>
        <w:rPr>
          <w:rFonts w:ascii="Arial" w:hAnsi="Arial" w:cs="Arial"/>
          <w:color w:val="737373"/>
          <w:sz w:val="20"/>
          <w:szCs w:val="20"/>
          <w:lang w:val="en"/>
        </w:rPr>
        <w:t xml:space="preserve">, or </w:t>
      </w:r>
      <w:hyperlink r:id="rId8" w:tooltip="Learn more about Valproic acid" w:history="1">
        <w:r>
          <w:rPr>
            <w:rStyle w:val="Hyperlink"/>
            <w:rFonts w:ascii="Arial" w:hAnsi="Arial" w:cs="Arial"/>
            <w:sz w:val="20"/>
            <w:szCs w:val="20"/>
            <w:lang w:val="en"/>
          </w:rPr>
          <w:t>valproic acid</w:t>
        </w:r>
      </w:hyperlink>
      <w:r>
        <w:rPr>
          <w:rFonts w:ascii="Arial" w:hAnsi="Arial" w:cs="Arial"/>
          <w:color w:val="737373"/>
          <w:sz w:val="20"/>
          <w:szCs w:val="20"/>
          <w:lang w:val="en"/>
        </w:rPr>
        <w:t xml:space="preserve">. If the patient is younger than 2 years of age, </w:t>
      </w:r>
      <w:hyperlink r:id="rId9" w:tooltip="Learn more about Pyridoxine" w:history="1">
        <w:r>
          <w:rPr>
            <w:rStyle w:val="Hyperlink"/>
            <w:rFonts w:ascii="Arial" w:hAnsi="Arial" w:cs="Arial"/>
            <w:sz w:val="20"/>
            <w:szCs w:val="20"/>
            <w:lang w:val="en"/>
          </w:rPr>
          <w:t>pyridoxine</w:t>
        </w:r>
      </w:hyperlink>
      <w:r>
        <w:rPr>
          <w:rFonts w:ascii="Arial" w:hAnsi="Arial" w:cs="Arial"/>
          <w:color w:val="737373"/>
          <w:sz w:val="20"/>
          <w:szCs w:val="20"/>
          <w:lang w:val="en"/>
        </w:rPr>
        <w:t xml:space="preserve"> and </w:t>
      </w:r>
      <w:hyperlink r:id="rId10" w:tooltip="Learn more about Thiamine" w:history="1">
        <w:r>
          <w:rPr>
            <w:rStyle w:val="Hyperlink"/>
            <w:rFonts w:ascii="Arial" w:hAnsi="Arial" w:cs="Arial"/>
            <w:sz w:val="20"/>
            <w:szCs w:val="20"/>
            <w:lang w:val="en"/>
          </w:rPr>
          <w:t>thiamine</w:t>
        </w:r>
      </w:hyperlink>
      <w:r>
        <w:rPr>
          <w:rFonts w:ascii="Arial" w:hAnsi="Arial" w:cs="Arial"/>
          <w:color w:val="737373"/>
          <w:sz w:val="20"/>
          <w:szCs w:val="20"/>
          <w:lang w:val="en"/>
        </w:rPr>
        <w:t xml:space="preserve"> should be considered after failure of the first 2–3 treatments. Additional (and overlapping) systemic management should consider potential correction of </w:t>
      </w:r>
      <w:hyperlink r:id="rId11" w:tooltip="Learn more about Hypoxia (medical)" w:history="1">
        <w:r>
          <w:rPr>
            <w:rStyle w:val="Hyperlink"/>
            <w:rFonts w:ascii="Arial" w:hAnsi="Arial" w:cs="Arial"/>
            <w:sz w:val="20"/>
            <w:szCs w:val="20"/>
            <w:lang w:val="en"/>
          </w:rPr>
          <w:t>hypoxia</w:t>
        </w:r>
      </w:hyperlink>
      <w:r>
        <w:rPr>
          <w:rFonts w:ascii="Arial" w:hAnsi="Arial" w:cs="Arial"/>
          <w:color w:val="737373"/>
          <w:sz w:val="20"/>
          <w:szCs w:val="20"/>
          <w:lang w:val="en"/>
        </w:rPr>
        <w:t xml:space="preserve">, </w:t>
      </w:r>
      <w:hyperlink r:id="rId12" w:tooltip="Learn more about Hemodynamics" w:history="1">
        <w:r>
          <w:rPr>
            <w:rStyle w:val="Hyperlink"/>
            <w:rFonts w:ascii="Arial" w:hAnsi="Arial" w:cs="Arial"/>
            <w:sz w:val="20"/>
            <w:szCs w:val="20"/>
            <w:lang w:val="en"/>
          </w:rPr>
          <w:t>hemodynamics</w:t>
        </w:r>
      </w:hyperlink>
      <w:r>
        <w:rPr>
          <w:rFonts w:ascii="Arial" w:hAnsi="Arial" w:cs="Arial"/>
          <w:color w:val="737373"/>
          <w:sz w:val="20"/>
          <w:szCs w:val="20"/>
          <w:lang w:val="en"/>
        </w:rPr>
        <w:t xml:space="preserve">, </w:t>
      </w:r>
      <w:hyperlink r:id="rId13" w:tooltip="Learn more about Hyperthermia" w:history="1">
        <w:r>
          <w:rPr>
            <w:rStyle w:val="Hyperlink"/>
            <w:rFonts w:ascii="Arial" w:hAnsi="Arial" w:cs="Arial"/>
            <w:sz w:val="20"/>
            <w:szCs w:val="20"/>
            <w:lang w:val="en"/>
          </w:rPr>
          <w:t>hyperthermia</w:t>
        </w:r>
      </w:hyperlink>
      <w:r>
        <w:rPr>
          <w:rFonts w:ascii="Arial" w:hAnsi="Arial" w:cs="Arial"/>
          <w:color w:val="737373"/>
          <w:sz w:val="20"/>
          <w:szCs w:val="20"/>
          <w:lang w:val="en"/>
        </w:rPr>
        <w:t xml:space="preserve">, </w:t>
      </w:r>
      <w:hyperlink r:id="rId14" w:tooltip="Learn more about Hypoglycemia" w:history="1">
        <w:r>
          <w:rPr>
            <w:rStyle w:val="Hyperlink"/>
            <w:rFonts w:ascii="Arial" w:hAnsi="Arial" w:cs="Arial"/>
            <w:sz w:val="20"/>
            <w:szCs w:val="20"/>
            <w:lang w:val="en"/>
          </w:rPr>
          <w:t>hypoglycemia</w:t>
        </w:r>
      </w:hyperlink>
      <w:r>
        <w:rPr>
          <w:rFonts w:ascii="Arial" w:hAnsi="Arial" w:cs="Arial"/>
          <w:color w:val="737373"/>
          <w:sz w:val="20"/>
          <w:szCs w:val="20"/>
          <w:lang w:val="en"/>
        </w:rPr>
        <w:t xml:space="preserve">, and </w:t>
      </w:r>
      <w:hyperlink r:id="rId15" w:tooltip="Learn more about Hyponatremia" w:history="1">
        <w:r>
          <w:rPr>
            <w:rStyle w:val="Hyperlink"/>
            <w:rFonts w:ascii="Arial" w:hAnsi="Arial" w:cs="Arial"/>
            <w:sz w:val="20"/>
            <w:szCs w:val="20"/>
            <w:lang w:val="en"/>
          </w:rPr>
          <w:t>hyponatremia</w:t>
        </w:r>
      </w:hyperlink>
      <w:r>
        <w:rPr>
          <w:rFonts w:ascii="Arial" w:hAnsi="Arial" w:cs="Arial"/>
          <w:color w:val="737373"/>
          <w:sz w:val="20"/>
          <w:szCs w:val="20"/>
          <w:lang w:val="en"/>
        </w:rPr>
        <w:t xml:space="preserve">. Diagnostic laboratory tests, EKG, and imaging may be obtained simultaneously. If status epilepticus becomes refractory (at the latest, after failure of the second medication) continuous </w:t>
      </w:r>
      <w:hyperlink r:id="rId16" w:tooltip="Learn more about Electroencephalography" w:history="1">
        <w:r>
          <w:rPr>
            <w:rStyle w:val="Hyperlink"/>
            <w:rFonts w:ascii="Arial" w:hAnsi="Arial" w:cs="Arial"/>
            <w:sz w:val="20"/>
            <w:szCs w:val="20"/>
            <w:lang w:val="en"/>
          </w:rPr>
          <w:t>EEG</w:t>
        </w:r>
      </w:hyperlink>
      <w:r>
        <w:rPr>
          <w:rFonts w:ascii="Arial" w:hAnsi="Arial" w:cs="Arial"/>
          <w:color w:val="737373"/>
          <w:sz w:val="20"/>
          <w:szCs w:val="20"/>
          <w:lang w:val="en"/>
        </w:rPr>
        <w:t xml:space="preserve"> monitoring should be initiated. If treatment with two or three AEDs fails, </w:t>
      </w:r>
      <w:hyperlink r:id="rId17" w:tooltip="Learn more about Burst suppression" w:history="1">
        <w:r>
          <w:rPr>
            <w:rStyle w:val="Hyperlink"/>
            <w:rFonts w:ascii="Arial" w:hAnsi="Arial" w:cs="Arial"/>
            <w:sz w:val="20"/>
            <w:szCs w:val="20"/>
            <w:lang w:val="en"/>
          </w:rPr>
          <w:t>burst suppression</w:t>
        </w:r>
      </w:hyperlink>
      <w:r>
        <w:rPr>
          <w:rFonts w:ascii="Arial" w:hAnsi="Arial" w:cs="Arial"/>
          <w:color w:val="737373"/>
          <w:sz w:val="20"/>
          <w:szCs w:val="20"/>
          <w:lang w:val="en"/>
        </w:rPr>
        <w:t xml:space="preserve"> with midazolam or pentobarbital may be initiated. In children less than 2 years of age, a pyridoxine trial should be considered. This approach is mainly derived from medical convention and adult </w:t>
      </w:r>
      <w:proofErr w:type="gramStart"/>
      <w:r>
        <w:rPr>
          <w:rFonts w:ascii="Arial" w:hAnsi="Arial" w:cs="Arial"/>
          <w:color w:val="737373"/>
          <w:sz w:val="20"/>
          <w:szCs w:val="20"/>
          <w:lang w:val="en"/>
        </w:rPr>
        <w:t>data, and</w:t>
      </w:r>
      <w:proofErr w:type="gramEnd"/>
      <w:r>
        <w:rPr>
          <w:rFonts w:ascii="Arial" w:hAnsi="Arial" w:cs="Arial"/>
          <w:color w:val="737373"/>
          <w:sz w:val="20"/>
          <w:szCs w:val="20"/>
          <w:lang w:val="en"/>
        </w:rPr>
        <w:t xml:space="preserve"> will need to be evaluated in children. Data to corroborate or evaluate this and other approaches in children are limited or not available. Legend: ABC: Airway, breathing, circulation. AED: Antiepileptic drug. CI: Continuous infusion. DZP: </w:t>
      </w:r>
      <w:hyperlink r:id="rId18" w:tooltip="Learn more about Diazepam" w:history="1">
        <w:r>
          <w:rPr>
            <w:rStyle w:val="Hyperlink"/>
            <w:rFonts w:ascii="Arial" w:hAnsi="Arial" w:cs="Arial"/>
            <w:sz w:val="20"/>
            <w:szCs w:val="20"/>
            <w:lang w:val="en"/>
          </w:rPr>
          <w:t>Diazepam</w:t>
        </w:r>
      </w:hyperlink>
      <w:r>
        <w:rPr>
          <w:rFonts w:ascii="Arial" w:hAnsi="Arial" w:cs="Arial"/>
          <w:color w:val="737373"/>
          <w:sz w:val="20"/>
          <w:szCs w:val="20"/>
          <w:lang w:val="en"/>
        </w:rPr>
        <w:t xml:space="preserve">. EEG: </w:t>
      </w:r>
      <w:hyperlink r:id="rId19" w:tooltip="Learn more about Electroencephalography" w:history="1">
        <w:r>
          <w:rPr>
            <w:rStyle w:val="Hyperlink"/>
            <w:rFonts w:ascii="Arial" w:hAnsi="Arial" w:cs="Arial"/>
            <w:sz w:val="20"/>
            <w:szCs w:val="20"/>
            <w:lang w:val="en"/>
          </w:rPr>
          <w:t>Electroencephalogram</w:t>
        </w:r>
      </w:hyperlink>
      <w:r>
        <w:rPr>
          <w:rFonts w:ascii="Arial" w:hAnsi="Arial" w:cs="Arial"/>
          <w:color w:val="737373"/>
          <w:sz w:val="20"/>
          <w:szCs w:val="20"/>
          <w:lang w:val="en"/>
        </w:rPr>
        <w:t xml:space="preserve">. EKG: </w:t>
      </w:r>
      <w:hyperlink r:id="rId20" w:tooltip="Learn more about Electrocardiography" w:history="1">
        <w:r>
          <w:rPr>
            <w:rStyle w:val="Hyperlink"/>
            <w:rFonts w:ascii="Arial" w:hAnsi="Arial" w:cs="Arial"/>
            <w:sz w:val="20"/>
            <w:szCs w:val="20"/>
            <w:lang w:val="en"/>
          </w:rPr>
          <w:t>Electrocardiogram</w:t>
        </w:r>
      </w:hyperlink>
      <w:r>
        <w:rPr>
          <w:rFonts w:ascii="Arial" w:hAnsi="Arial" w:cs="Arial"/>
          <w:color w:val="737373"/>
          <w:sz w:val="20"/>
          <w:szCs w:val="20"/>
          <w:lang w:val="en"/>
        </w:rPr>
        <w:t xml:space="preserve">. FPHT: </w:t>
      </w:r>
      <w:proofErr w:type="spellStart"/>
      <w:r>
        <w:rPr>
          <w:rFonts w:ascii="Arial" w:hAnsi="Arial" w:cs="Arial"/>
          <w:color w:val="737373"/>
          <w:sz w:val="20"/>
          <w:szCs w:val="20"/>
          <w:lang w:val="en"/>
        </w:rPr>
        <w:t>Fosphenytoin</w:t>
      </w:r>
      <w:proofErr w:type="spellEnd"/>
      <w:r>
        <w:rPr>
          <w:rFonts w:ascii="Arial" w:hAnsi="Arial" w:cs="Arial"/>
          <w:color w:val="737373"/>
          <w:sz w:val="20"/>
          <w:szCs w:val="20"/>
          <w:lang w:val="en"/>
        </w:rPr>
        <w:t xml:space="preserve">. LEV: Levetiracetam. LZP: Lorazepam. MDZ: Midazolam. PB: Phenobarbital. PE: Phenytoin equivalents. PHT: Phenytoin. PR: per rectum. PTB: Pentobarbital. VPA: Valproate. Reproduced with permission from </w:t>
      </w:r>
      <w:proofErr w:type="spellStart"/>
      <w:r>
        <w:rPr>
          <w:rFonts w:ascii="Arial" w:hAnsi="Arial" w:cs="Arial"/>
          <w:color w:val="737373"/>
          <w:sz w:val="20"/>
          <w:szCs w:val="20"/>
          <w:lang w:val="en"/>
        </w:rPr>
        <w:t>Loddenkemper</w:t>
      </w:r>
      <w:proofErr w:type="spellEnd"/>
      <w:r>
        <w:rPr>
          <w:rFonts w:ascii="Arial" w:hAnsi="Arial" w:cs="Arial"/>
          <w:color w:val="737373"/>
          <w:sz w:val="20"/>
          <w:szCs w:val="20"/>
          <w:lang w:val="en"/>
        </w:rPr>
        <w:t xml:space="preserve"> and Goodkin</w:t>
      </w:r>
      <w:bookmarkStart w:id="1" w:name="bbib0105"/>
      <w:r>
        <w:rPr>
          <w:rFonts w:ascii="Arial" w:hAnsi="Arial" w:cs="Arial"/>
          <w:color w:val="737373"/>
          <w:sz w:val="20"/>
          <w:szCs w:val="20"/>
          <w:lang w:val="en"/>
        </w:rPr>
        <w:fldChar w:fldCharType="begin"/>
      </w:r>
      <w:r>
        <w:rPr>
          <w:rFonts w:ascii="Arial" w:hAnsi="Arial" w:cs="Arial"/>
          <w:color w:val="737373"/>
          <w:sz w:val="20"/>
          <w:szCs w:val="20"/>
          <w:lang w:val="en"/>
        </w:rPr>
        <w:instrText xml:space="preserve"> HYPERLINK "https://www.sciencedirect.com/science/article/pii/S1059131113002811?via%3Dihub" \l "bib0105" </w:instrText>
      </w:r>
      <w:r>
        <w:rPr>
          <w:rFonts w:ascii="Arial" w:hAnsi="Arial" w:cs="Arial"/>
          <w:color w:val="737373"/>
          <w:sz w:val="20"/>
          <w:szCs w:val="20"/>
          <w:lang w:val="en"/>
        </w:rPr>
        <w:fldChar w:fldCharType="separate"/>
      </w:r>
      <w:r>
        <w:rPr>
          <w:rStyle w:val="Hyperlink"/>
          <w:rFonts w:ascii="Arial" w:hAnsi="Arial" w:cs="Arial"/>
          <w:sz w:val="15"/>
          <w:szCs w:val="15"/>
          <w:vertAlign w:val="superscript"/>
          <w:lang w:val="en"/>
        </w:rPr>
        <w:t>21</w:t>
      </w:r>
      <w:r>
        <w:rPr>
          <w:rFonts w:ascii="Arial" w:hAnsi="Arial" w:cs="Arial"/>
          <w:color w:val="737373"/>
          <w:sz w:val="20"/>
          <w:szCs w:val="20"/>
          <w:lang w:val="en"/>
        </w:rPr>
        <w:fldChar w:fldCharType="end"/>
      </w:r>
      <w:bookmarkEnd w:id="1"/>
      <w:r>
        <w:rPr>
          <w:rFonts w:ascii="Arial" w:hAnsi="Arial" w:cs="Arial"/>
          <w:color w:val="737373"/>
          <w:sz w:val="20"/>
          <w:szCs w:val="20"/>
          <w:lang w:val="en"/>
        </w:rPr>
        <w:t>.</w:t>
      </w:r>
    </w:p>
    <w:p w:rsidR="00F22449" w:rsidRDefault="00F22449" w:rsidP="00F22449">
      <w:pPr>
        <w:tabs>
          <w:tab w:val="left" w:pos="3150"/>
        </w:tabs>
        <w:jc w:val="both"/>
        <w:rPr>
          <w:rFonts w:ascii="Arial" w:hAnsi="Arial" w:cs="Arial"/>
          <w:color w:val="737373"/>
          <w:sz w:val="20"/>
          <w:szCs w:val="20"/>
          <w:lang w:val="en"/>
        </w:rPr>
      </w:pPr>
    </w:p>
    <w:p w:rsidR="00F22449" w:rsidRDefault="00F22449" w:rsidP="00F22449">
      <w:pPr>
        <w:tabs>
          <w:tab w:val="left" w:pos="3150"/>
        </w:tabs>
        <w:jc w:val="both"/>
      </w:pPr>
      <w:r>
        <w:rPr>
          <w:rStyle w:val="label5"/>
          <w:rFonts w:ascii="Arial" w:hAnsi="Arial" w:cs="Arial"/>
          <w:color w:val="737373"/>
          <w:sz w:val="20"/>
          <w:szCs w:val="20"/>
          <w:lang w:val="en"/>
        </w:rPr>
        <w:t>Supplementary Fig. S2</w:t>
      </w:r>
      <w:r>
        <w:rPr>
          <w:rFonts w:ascii="Arial" w:hAnsi="Arial" w:cs="Arial"/>
          <w:color w:val="737373"/>
          <w:sz w:val="20"/>
          <w:szCs w:val="20"/>
          <w:lang w:val="en"/>
        </w:rPr>
        <w:t xml:space="preserve">. Structural organization of </w:t>
      </w:r>
      <w:proofErr w:type="spellStart"/>
      <w:r>
        <w:rPr>
          <w:rFonts w:ascii="Arial" w:hAnsi="Arial" w:cs="Arial"/>
          <w:color w:val="737373"/>
          <w:sz w:val="20"/>
          <w:szCs w:val="20"/>
          <w:lang w:val="en"/>
        </w:rPr>
        <w:t>pSERG</w:t>
      </w:r>
      <w:proofErr w:type="spellEnd"/>
      <w:r>
        <w:rPr>
          <w:rFonts w:ascii="Arial" w:hAnsi="Arial" w:cs="Arial"/>
          <w:color w:val="737373"/>
          <w:sz w:val="20"/>
          <w:szCs w:val="20"/>
          <w:lang w:val="en"/>
        </w:rPr>
        <w:t xml:space="preserve"> with the different governing structures. This figure outlines the relationship between the </w:t>
      </w:r>
      <w:proofErr w:type="spellStart"/>
      <w:r>
        <w:rPr>
          <w:rFonts w:ascii="Arial" w:hAnsi="Arial" w:cs="Arial"/>
          <w:color w:val="737373"/>
          <w:sz w:val="20"/>
          <w:szCs w:val="20"/>
          <w:lang w:val="en"/>
        </w:rPr>
        <w:t>pSERG</w:t>
      </w:r>
      <w:proofErr w:type="spellEnd"/>
      <w:r>
        <w:rPr>
          <w:rFonts w:ascii="Arial" w:hAnsi="Arial" w:cs="Arial"/>
          <w:color w:val="737373"/>
          <w:sz w:val="20"/>
          <w:szCs w:val="20"/>
          <w:lang w:val="en"/>
        </w:rPr>
        <w:t xml:space="preserve"> committees, including the database management working group, operations advisory working group, executive committee, data collection and evaluations group, and quality control working group.</w:t>
      </w:r>
    </w:p>
    <w:sectPr w:rsidR="00F2244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449"/>
    <w:rsid w:val="00037E42"/>
    <w:rsid w:val="005A0AB5"/>
    <w:rsid w:val="00885993"/>
    <w:rsid w:val="00EF3CF8"/>
    <w:rsid w:val="00F22449"/>
    <w:rsid w:val="00F71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49373"/>
  <w15:chartTrackingRefBased/>
  <w15:docId w15:val="{FEFB6A48-A397-4EA4-AB5D-ABFFC35E0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22449"/>
    <w:rPr>
      <w:strike w:val="0"/>
      <w:dstrike w:val="0"/>
      <w:color w:val="007398"/>
      <w:u w:val="none"/>
      <w:effect w:val="none"/>
      <w:shd w:val="clear" w:color="auto" w:fill="auto"/>
    </w:rPr>
  </w:style>
  <w:style w:type="character" w:customStyle="1" w:styleId="label5">
    <w:name w:val="label5"/>
    <w:basedOn w:val="DefaultParagraphFont"/>
    <w:rsid w:val="00F224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iencedirect.com/topics/neuroscience/valproic-acid" TargetMode="External"/><Relationship Id="rId13" Type="http://schemas.openxmlformats.org/officeDocument/2006/relationships/hyperlink" Target="https://www.sciencedirect.com/topics/medicine-and-dentistry/hyperthermia" TargetMode="External"/><Relationship Id="rId18" Type="http://schemas.openxmlformats.org/officeDocument/2006/relationships/hyperlink" Target="https://www.sciencedirect.com/topics/neuroscience/diazepam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www.sciencedirect.com/topics/neuroscience/levetiracetam" TargetMode="External"/><Relationship Id="rId12" Type="http://schemas.openxmlformats.org/officeDocument/2006/relationships/hyperlink" Target="https://www.sciencedirect.com/topics/medicine-and-dentistry/hemodynamics" TargetMode="External"/><Relationship Id="rId17" Type="http://schemas.openxmlformats.org/officeDocument/2006/relationships/hyperlink" Target="https://www.sciencedirect.com/topics/medicine-and-dentistry/burst-suppression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sciencedirect.com/topics/medicine-and-dentistry/electroencephalography" TargetMode="External"/><Relationship Id="rId20" Type="http://schemas.openxmlformats.org/officeDocument/2006/relationships/hyperlink" Target="https://www.sciencedirect.com/topics/neuroscience/electrocardiography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sciencedirect.com/topics/neuroscience/epilepsy" TargetMode="External"/><Relationship Id="rId11" Type="http://schemas.openxmlformats.org/officeDocument/2006/relationships/hyperlink" Target="https://www.sciencedirect.com/topics/medicine-and-dentistry/hypoxia-medical" TargetMode="External"/><Relationship Id="rId5" Type="http://schemas.openxmlformats.org/officeDocument/2006/relationships/hyperlink" Target="https://www.sciencedirect.com/topics/neuroscience/phenytoin" TargetMode="External"/><Relationship Id="rId15" Type="http://schemas.openxmlformats.org/officeDocument/2006/relationships/hyperlink" Target="https://www.sciencedirect.com/topics/medicine-and-dentistry/hyponatremia" TargetMode="External"/><Relationship Id="rId10" Type="http://schemas.openxmlformats.org/officeDocument/2006/relationships/hyperlink" Target="https://www.sciencedirect.com/topics/neuroscience/thiamine" TargetMode="External"/><Relationship Id="rId19" Type="http://schemas.openxmlformats.org/officeDocument/2006/relationships/hyperlink" Target="https://www.sciencedirect.com/topics/medicine-and-dentistry/electroencephalography" TargetMode="External"/><Relationship Id="rId4" Type="http://schemas.openxmlformats.org/officeDocument/2006/relationships/hyperlink" Target="https://www.sciencedirect.com/topics/neuroscience/status-epilepticus" TargetMode="External"/><Relationship Id="rId9" Type="http://schemas.openxmlformats.org/officeDocument/2006/relationships/hyperlink" Target="https://www.sciencedirect.com/topics/neuroscience/pyridoxine" TargetMode="External"/><Relationship Id="rId14" Type="http://schemas.openxmlformats.org/officeDocument/2006/relationships/hyperlink" Target="https://www.sciencedirect.com/topics/neuroscience/hypoglycemia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ELSEVIER</Company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Mohan, Ravichandran (ELS-CHN)</dc:creator>
  <cp:keywords/>
  <dc:description/>
  <cp:lastModifiedBy>Mohan, Ravichandran (ELS-CHN)</cp:lastModifiedBy>
  <cp:revision>1</cp:revision>
  <dcterms:created xsi:type="dcterms:W3CDTF">2018-10-24T06:42:00Z</dcterms:created>
  <dcterms:modified xsi:type="dcterms:W3CDTF">2018-10-24T06:44:00Z</dcterms:modified>
</cp:coreProperties>
</file>