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10" w:rsidRDefault="00B41B10" w:rsidP="00B41B1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41B10">
        <w:rPr>
          <w:rFonts w:ascii="Times New Roman" w:hAnsi="Times New Roman" w:cs="Times New Roman"/>
          <w:b/>
        </w:rPr>
        <w:t>Table S1. Laboratory characteristics of LA positive s</w:t>
      </w:r>
      <w:r>
        <w:rPr>
          <w:rFonts w:ascii="Times New Roman" w:hAnsi="Times New Roman" w:cs="Times New Roman"/>
          <w:b/>
        </w:rPr>
        <w:t xml:space="preserve">amples in </w:t>
      </w:r>
      <w:proofErr w:type="spellStart"/>
      <w:proofErr w:type="gramStart"/>
      <w:r>
        <w:rPr>
          <w:rFonts w:ascii="Times New Roman" w:hAnsi="Times New Roman" w:cs="Times New Roman"/>
          <w:b/>
        </w:rPr>
        <w:t>non hemophilia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study group.</w:t>
      </w:r>
    </w:p>
    <w:p w:rsidR="00B41B10" w:rsidRDefault="00B41B10" w:rsidP="00B41B10">
      <w:pPr>
        <w:rPr>
          <w:rFonts w:ascii="Times New Roman" w:hAnsi="Times New Roman" w:cs="Times New Roman"/>
        </w:rPr>
      </w:pPr>
      <w:r w:rsidRPr="00B41B10">
        <w:rPr>
          <w:rFonts w:ascii="Times New Roman" w:hAnsi="Times New Roman" w:cs="Times New Roman"/>
        </w:rPr>
        <w:t xml:space="preserve">35 samples were obtained as </w:t>
      </w:r>
      <w:proofErr w:type="spellStart"/>
      <w:r w:rsidRPr="00B41B10">
        <w:rPr>
          <w:rFonts w:ascii="Times New Roman" w:hAnsi="Times New Roman" w:cs="Times New Roman"/>
        </w:rPr>
        <w:t>deidentified</w:t>
      </w:r>
      <w:proofErr w:type="spellEnd"/>
      <w:r w:rsidRPr="00B41B10">
        <w:rPr>
          <w:rFonts w:ascii="Times New Roman" w:hAnsi="Times New Roman" w:cs="Times New Roman"/>
        </w:rPr>
        <w:t xml:space="preserve"> specimens from MACL while </w:t>
      </w:r>
      <w:proofErr w:type="gramStart"/>
      <w:r w:rsidRPr="00B41B10">
        <w:rPr>
          <w:rFonts w:ascii="Times New Roman" w:hAnsi="Times New Roman" w:cs="Times New Roman"/>
        </w:rPr>
        <w:t>6</w:t>
      </w:r>
      <w:proofErr w:type="gramEnd"/>
      <w:r w:rsidRPr="00B41B10">
        <w:rPr>
          <w:rFonts w:ascii="Times New Roman" w:hAnsi="Times New Roman" w:cs="Times New Roman"/>
        </w:rPr>
        <w:t xml:space="preserve"> were obtained from patients of the IHTC being followed for LA. All 41 samples were tested in the NBA, CBA </w:t>
      </w:r>
      <w:proofErr w:type="gramStart"/>
      <w:r w:rsidRPr="00B41B10">
        <w:rPr>
          <w:rFonts w:ascii="Times New Roman" w:hAnsi="Times New Roman" w:cs="Times New Roman"/>
        </w:rPr>
        <w:t>and  FLI</w:t>
      </w:r>
      <w:proofErr w:type="gramEnd"/>
      <w:r w:rsidRPr="00B41B10">
        <w:rPr>
          <w:rFonts w:ascii="Times New Roman" w:hAnsi="Times New Roman" w:cs="Times New Roman"/>
        </w:rPr>
        <w:t xml:space="preserve"> assay at CDC.</w:t>
      </w:r>
      <w:r>
        <w:rPr>
          <w:rFonts w:ascii="Times New Roman" w:hAnsi="Times New Roman" w:cs="Times New Roman"/>
        </w:rPr>
        <w:t xml:space="preserve"> </w:t>
      </w:r>
      <w:r w:rsidRPr="00B41B10">
        <w:rPr>
          <w:rFonts w:ascii="Times New Roman" w:hAnsi="Times New Roman" w:cs="Times New Roman"/>
        </w:rPr>
        <w:t xml:space="preserve">Lupus anticoagulant testing </w:t>
      </w:r>
      <w:proofErr w:type="gramStart"/>
      <w:r w:rsidRPr="00B41B10">
        <w:rPr>
          <w:rFonts w:ascii="Times New Roman" w:hAnsi="Times New Roman" w:cs="Times New Roman"/>
        </w:rPr>
        <w:t>was performed</w:t>
      </w:r>
      <w:proofErr w:type="gramEnd"/>
      <w:r w:rsidRPr="00B41B10">
        <w:rPr>
          <w:rFonts w:ascii="Times New Roman" w:hAnsi="Times New Roman" w:cs="Times New Roman"/>
        </w:rPr>
        <w:t xml:space="preserve"> by the treating physician </w:t>
      </w:r>
      <w:r>
        <w:rPr>
          <w:rFonts w:ascii="Times New Roman" w:hAnsi="Times New Roman" w:cs="Times New Roman"/>
        </w:rPr>
        <w:t>and is included when</w:t>
      </w:r>
      <w:r w:rsidRPr="00B41B10">
        <w:rPr>
          <w:rFonts w:ascii="Times New Roman" w:hAnsi="Times New Roman" w:cs="Times New Roman"/>
        </w:rPr>
        <w:t xml:space="preserve"> available.</w:t>
      </w:r>
    </w:p>
    <w:p w:rsidR="00B41B10" w:rsidRPr="00B41B10" w:rsidRDefault="00B41B10" w:rsidP="00B41B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12 of these </w:t>
      </w:r>
      <w:proofErr w:type="spellStart"/>
      <w:proofErr w:type="gramStart"/>
      <w:r>
        <w:rPr>
          <w:rFonts w:ascii="Times New Roman" w:hAnsi="Times New Roman" w:cs="Times New Roman"/>
        </w:rPr>
        <w:t>non hemophilia</w:t>
      </w:r>
      <w:proofErr w:type="spellEnd"/>
      <w:proofErr w:type="gramEnd"/>
      <w:r>
        <w:rPr>
          <w:rFonts w:ascii="Times New Roman" w:hAnsi="Times New Roman" w:cs="Times New Roman"/>
        </w:rPr>
        <w:t xml:space="preserve"> subjects showed positive NBA testing (Mean 1.9, Median 1.2, Range 4.5).</w:t>
      </w:r>
    </w:p>
    <w:p w:rsidR="00B41B10" w:rsidRPr="00B41B10" w:rsidRDefault="00B41B10" w:rsidP="00B41B10">
      <w:pPr>
        <w:rPr>
          <w:rFonts w:ascii="Times New Roman" w:hAnsi="Times New Roman" w:cs="Times New Roman"/>
        </w:rPr>
      </w:pPr>
      <w:r w:rsidRPr="00B41B10">
        <w:rPr>
          <w:rFonts w:ascii="Times New Roman" w:hAnsi="Times New Roman" w:cs="Times New Roman"/>
        </w:rPr>
        <w:t xml:space="preserve">Normal range: NBA&lt;0.5NBU and CBA&lt;0.5CBU. C= </w:t>
      </w:r>
      <w:proofErr w:type="spellStart"/>
      <w:r w:rsidRPr="00B41B10">
        <w:rPr>
          <w:rFonts w:ascii="Times New Roman" w:hAnsi="Times New Roman" w:cs="Times New Roman"/>
        </w:rPr>
        <w:t>anticardiolipin</w:t>
      </w:r>
      <w:proofErr w:type="spellEnd"/>
      <w:r w:rsidRPr="00B41B10">
        <w:rPr>
          <w:rFonts w:ascii="Times New Roman" w:hAnsi="Times New Roman" w:cs="Times New Roman"/>
        </w:rPr>
        <w:t xml:space="preserve"> antibody positivity</w:t>
      </w:r>
    </w:p>
    <w:p w:rsidR="00B41B10" w:rsidRPr="00B41B10" w:rsidRDefault="00B41B10" w:rsidP="00B41B10">
      <w:pPr>
        <w:rPr>
          <w:rFonts w:ascii="Times New Roman" w:hAnsi="Times New Roman" w:cs="Times New Roman"/>
        </w:rPr>
      </w:pPr>
      <w:r w:rsidRPr="00B41B10">
        <w:rPr>
          <w:rFonts w:ascii="Times New Roman" w:hAnsi="Times New Roman" w:cs="Times New Roman"/>
        </w:rPr>
        <w:t xml:space="preserve">B=antibeta2lipoprotein antibody </w:t>
      </w:r>
      <w:proofErr w:type="spellStart"/>
      <w:r w:rsidRPr="00B41B10">
        <w:rPr>
          <w:rFonts w:ascii="Times New Roman" w:hAnsi="Times New Roman" w:cs="Times New Roman"/>
        </w:rPr>
        <w:t>positivity.P</w:t>
      </w:r>
      <w:proofErr w:type="spellEnd"/>
      <w:r w:rsidRPr="00B41B10">
        <w:rPr>
          <w:rFonts w:ascii="Times New Roman" w:hAnsi="Times New Roman" w:cs="Times New Roman"/>
        </w:rPr>
        <w:t xml:space="preserve">= </w:t>
      </w:r>
      <w:proofErr w:type="spellStart"/>
      <w:r w:rsidRPr="00B41B10">
        <w:rPr>
          <w:rFonts w:ascii="Times New Roman" w:hAnsi="Times New Roman" w:cs="Times New Roman"/>
        </w:rPr>
        <w:t>antiphosphotidyserine</w:t>
      </w:r>
      <w:proofErr w:type="spellEnd"/>
      <w:r w:rsidRPr="00B41B10">
        <w:rPr>
          <w:rFonts w:ascii="Times New Roman" w:hAnsi="Times New Roman" w:cs="Times New Roman"/>
        </w:rPr>
        <w:t xml:space="preserve"> antibody positivity</w:t>
      </w:r>
      <w:r w:rsidR="00D8566C">
        <w:rPr>
          <w:rFonts w:ascii="Times New Roman" w:hAnsi="Times New Roman" w:cs="Times New Roman"/>
        </w:rPr>
        <w:t>.</w:t>
      </w:r>
    </w:p>
    <w:p w:rsidR="00B41B10" w:rsidRDefault="00B41B10"/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80"/>
        <w:gridCol w:w="740"/>
        <w:gridCol w:w="760"/>
        <w:gridCol w:w="980"/>
        <w:gridCol w:w="920"/>
        <w:gridCol w:w="880"/>
        <w:gridCol w:w="879"/>
        <w:gridCol w:w="879"/>
        <w:gridCol w:w="1376"/>
      </w:tblGrid>
      <w:tr w:rsidR="0077471F" w:rsidRPr="00EE7A81" w:rsidTr="00B41B10">
        <w:trPr>
          <w:trHeight w:val="465"/>
          <w:tblHeader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Report ID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BU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NBU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CBU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FLI subclass positivity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DRVVT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STACLOT 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APTT-LA 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Dilute </w:t>
            </w:r>
            <w:proofErr w:type="spellStart"/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ProTime</w:t>
            </w:r>
            <w:proofErr w:type="spellEnd"/>
          </w:p>
        </w:tc>
        <w:tc>
          <w:tcPr>
            <w:tcW w:w="1376" w:type="dxa"/>
            <w:shd w:val="clear" w:color="auto" w:fill="auto"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Antiphospholipid Antibodies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L01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FFC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FFC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FFC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FFC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56CBC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56CBC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L02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FFC000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6650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FFC000"/>
                <w:sz w:val="16"/>
                <w:szCs w:val="16"/>
              </w:rPr>
            </w:pPr>
            <w:r w:rsidRPr="0096650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650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650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6508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L03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2,3, 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L06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C,B,P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C214E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C214E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C214E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C,P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184F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184F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7184F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C,B,P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FFC000"/>
                <w:sz w:val="16"/>
                <w:szCs w:val="16"/>
              </w:rPr>
            </w:pPr>
            <w:r w:rsidRPr="00F85D8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FFC000"/>
                <w:sz w:val="16"/>
                <w:szCs w:val="16"/>
              </w:rPr>
            </w:pPr>
            <w:r w:rsidRPr="00F85D8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5D8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5D82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85D82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FFC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FFC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FFC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FFC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B4A5B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A6D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A6D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A6D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1A6D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C,P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None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50BA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E50BA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E50BA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E50BA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E50BA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471A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471A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471A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471A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C,B,P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C,B,P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18C0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18C0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01763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22A3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22A39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081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081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081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A081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B2C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L31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B2C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L32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L33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54B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54B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L34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54B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54B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L35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2,M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54B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54B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1AA9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L36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47744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L37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47744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L38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POSITIVE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47744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L39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17C0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01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222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011909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47744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17C0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01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222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47744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77471F" w:rsidRPr="00EE7A81" w:rsidTr="00B41B1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L41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217C0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01B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2228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47744">
              <w:rPr>
                <w:rFonts w:ascii="Calibri" w:hAnsi="Calibri"/>
                <w:sz w:val="20"/>
                <w:szCs w:val="20"/>
              </w:rPr>
              <w:t>—</w:t>
            </w:r>
          </w:p>
        </w:tc>
      </w:tr>
      <w:tr w:rsidR="00A856BD" w:rsidRPr="00EE7A81" w:rsidTr="00B41B10">
        <w:trPr>
          <w:trHeight w:val="465"/>
        </w:trPr>
        <w:tc>
          <w:tcPr>
            <w:tcW w:w="880" w:type="dxa"/>
            <w:shd w:val="clear" w:color="auto" w:fill="auto"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856BD" w:rsidRPr="00EE7A81" w:rsidRDefault="00D8566C" w:rsidP="00D856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A856BD" w:rsidRDefault="00A856BD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A856BD" w:rsidRDefault="00A856BD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856BD" w:rsidRPr="00EE7A81" w:rsidTr="00B41B10">
        <w:trPr>
          <w:trHeight w:val="465"/>
        </w:trPr>
        <w:tc>
          <w:tcPr>
            <w:tcW w:w="880" w:type="dxa"/>
            <w:shd w:val="clear" w:color="auto" w:fill="auto"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856BD" w:rsidRPr="00EE7A81" w:rsidRDefault="00D8566C" w:rsidP="00D856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85251">
              <w:rPr>
                <w:rFonts w:ascii="Calibri" w:hAnsi="Calibri"/>
                <w:sz w:val="20"/>
                <w:szCs w:val="20"/>
              </w:rPr>
              <w:t>—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A856BD" w:rsidRDefault="00A856BD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A856BD" w:rsidRDefault="00A856BD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856BD" w:rsidRPr="00EE7A81" w:rsidRDefault="00A856BD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7471F" w:rsidRPr="00EE7A81" w:rsidTr="00B41B10">
        <w:trPr>
          <w:trHeight w:val="465"/>
        </w:trPr>
        <w:tc>
          <w:tcPr>
            <w:tcW w:w="880" w:type="dxa"/>
            <w:shd w:val="clear" w:color="auto" w:fill="auto"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Normal range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</w:t>
            </w: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</w:t>
            </w: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77471F" w:rsidRPr="00EE7A81" w:rsidRDefault="0077471F" w:rsidP="00A04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</w:tr>
    </w:tbl>
    <w:p w:rsidR="00E24056" w:rsidRDefault="00A91876"/>
    <w:sectPr w:rsidR="00E2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1F"/>
    <w:rsid w:val="0062614A"/>
    <w:rsid w:val="0077471F"/>
    <w:rsid w:val="00A856BD"/>
    <w:rsid w:val="00A91876"/>
    <w:rsid w:val="00B41B10"/>
    <w:rsid w:val="00B67E04"/>
    <w:rsid w:val="00D8566C"/>
    <w:rsid w:val="00F87F57"/>
    <w:rsid w:val="00FA7465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4B91A-1D31-4DF8-92B0-7AEF27A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1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Hemophilia and Thrombosis Center, Inc.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 Rampersad</dc:creator>
  <cp:keywords/>
  <dc:description/>
  <cp:lastModifiedBy>Wade, Diane (CDC/ONDIEH/NCBDDD) (CTR)</cp:lastModifiedBy>
  <cp:revision>2</cp:revision>
  <dcterms:created xsi:type="dcterms:W3CDTF">2018-12-27T14:45:00Z</dcterms:created>
  <dcterms:modified xsi:type="dcterms:W3CDTF">2018-12-27T14:45:00Z</dcterms:modified>
</cp:coreProperties>
</file>